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Modèle de plan opérationnel</w:t>
      </w:r>
    </w:p>
    <w:p>
      <w:pPr>
        <w:spacing w:after="120"/>
      </w:pPr>
      <w:r>
        <w:t xml:space="preserve">Utilisez ce modèle pour transformer les objectifs en actions concrètes, responsabilités, échéances, ressources, indicateurs et suivi.</w:t>
      </w:r>
    </w:p>
    <w:p>
      <w:pPr>
        <w:pStyle w:val="Heading1"/>
      </w:pPr>
      <w:r>
        <w:t xml:space="preserve">Plan d'action opérationnel</w:t>
      </w:r>
    </w:p>
    <w:tbl>
      <w:tblPr>
        <w:tblW w:w="9360" w:type="dxa"/>
        <w:tblInd w:w="120" w:type="dxa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Objectif</w:t>
            </w:r>
          </w:p>
        </w:tc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Action</w:t>
            </w:r>
          </w:p>
        </w:tc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Échéance</w:t>
            </w:r>
          </w:p>
        </w:tc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Ressources nécessaires</w:t>
            </w:r>
          </w:p>
        </w:tc>
        <w:tc>
          <w:tcPr>
            <w:tcW w:w="1337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Indicateur de suivi</w:t>
            </w:r>
          </w:p>
        </w:tc>
        <w:tc>
          <w:tcPr>
            <w:tcW w:w="1338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Statut</w:t>
            </w:r>
          </w:p>
        </w:tc>
      </w:tr>
      <w:tr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8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8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8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8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7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1338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</w:tbl>
    <w:p>
      <w:pPr>
        <w:pStyle w:val="Heading1"/>
      </w:pPr>
      <w:r>
        <w:t xml:space="preserve">Rythme de suivi</w:t>
      </w:r>
    </w:p>
    <w:tbl>
      <w:tblPr>
        <w:tblW w:w="9360" w:type="dxa"/>
        <w:tblInd w:w="120" w:type="dxa"/>
        <w:tblLayout w:type="fixed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D7DEE8"/>
          <w:insideV w:val="single" w:sz="4" w:space="0" w:color="D7DEE8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Fréquence de suivi</w:t>
            </w:r>
          </w:p>
        </w:tc>
        <w:tc>
          <w:tcPr>
            <w:tcW w:w="312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Participants</w:t>
            </w:r>
          </w:p>
        </w:tc>
        <w:tc>
          <w:tcPr>
            <w:tcW w:w="3120" w:type="dxa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Décisions attendues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/>
              <w:t xml:space="preserve"/>
            </w:r>
          </w:p>
        </w:tc>
      </w:tr>
    </w:tbl>
    <w:p>
      <w:pPr>
        <w:pStyle w:val="FooterNote"/>
      </w:pPr>
      <w:r>
        <w:t xml:space="preserve">ConsuTrain - Modèle pratique à adapter selon le contexte de l'organisation.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80" w:lineRule="auto"/>
    </w:pPr>
    <w:rPr>
      <w:rFonts w:ascii="Calibri" w:hAnsi="Calibri"/>
      <w:sz w:val="22"/>
      <w:color w:val="1F2937"/>
    </w:rPr>
  </w:style>
  <w:style w:type="paragraph" w:styleId="Title">
    <w:name w:val="Title"/>
    <w:basedOn w:val="Normal"/>
    <w:qFormat/>
    <w:pPr>
      <w:spacing w:after="180"/>
    </w:pPr>
    <w:rPr>
      <w:b/>
      <w:sz w:val="32"/>
      <w:color w:val="0B2545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26"/>
      <w:color w:val="2E74B5"/>
    </w:rPr>
  </w:style>
  <w:style w:type="paragraph" w:styleId="FooterNote">
    <w:name w:val="Footer Note"/>
    <w:basedOn w:val="Normal"/>
    <w:pPr>
      <w:spacing w:before="180" w:after="0"/>
    </w:pPr>
    <w:rPr>
      <w:i/>
      <w:sz w:val="18"/>
      <w:color w:val="6B728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