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</w:t>
      </w:r>
      <w:r>
        <w:rPr>
          <w:rFonts w:ascii="Arial" w:hAnsi="Arial" w:cs="Arial" w:eastAsia="Arial"/>
          <w:color w:val="252525"/>
          <w:sz w:val="61"/>
        </w:rPr>
        <w:t>BEGIN COPY-PASTE BLOCK FOR TARGET AI]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URGENT: Mathematical Formalization Challenge for The Cosmic Numbers Unified Phi-Field Model (Ψ_φ)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Project Goal: To establish Ψ_φ as a complete, testable Theory of Everything by mathematically deriving observed physical reality from its fundamental axioms. The current critical phase is to achieve precise numerical derivations of fundamental constants.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Ψ_φ Model - Core Axioms (Summary):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Fundamental Entity (Ψ_φ): The universe is composed of a single, pre-geometric field of Proto-Information Units (PIUs).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Fundamental Interaction: PIUs operate via a non-commutative algebra based on the themathfrak{su}(2) Lie algebra. This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non-commutativity drives all interactions and information dynamics.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Universal Constant (Φ): The Golden Ratio (Φ ≈ 1.6180339887) is an inherent, fundamental, and ubiquitous constant. It emerges from, and profoundly influences, optimal self-organization, stability, and information flow within the Ψ_φ field. It is seen as the universe's most efficient ratio.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Emergence: All observable phenomena (forces, mass, spacetime, particles, quantum properties) are emergent "states" or "patterns" of Ψ_φ and its PIU interactions.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CORE PROBLEM (In Its Totality, with Immediate Bottleneck Highlighted):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 primary challenge for Ψ_φ is the absence of a complete, rigorous, and non-arbitrary mathematical formalism that explicitly and precisely derives all known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physical parameters and attributes from its foundational axioms.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IMMEDIATE, CRITICAL BOTTLENECK is the lack of a direct, mathematically provable derivation for fundamental dimensionless constants from the PIU-Φ dynamics.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Specific Derivation Challenge: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 require a precise mathematical derivation, originating solely from the fundamental nature of PIUs (mathfrak{su}(2) algebra) and their inherent Φ dynamics within the Ψ_φ field, that yields the exact, empirically observed value of: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The Fine-Structure Constant (α⁻¹ ≈ 137.035999206)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Key Question This Derivation Must Answer: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How does the Golden Ratio (Φ), embedded within the themathfrak{su}(2) non-commutative interactions of PIUs, mathematically force the fine-structure constant to adopt its specific observed value? This derivation must demonstrate a necessary, unavoidable mathematical consequence, not a correlation or numerological approximation. It should reveal why this value is fundamental to the universe's informational structure.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Desired Output from Your Analysis: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A specific mathematical derivation/proof: Outline the precise mathematical steps, equations, and theoretical framework that achieve this derivation for the fine-structure constant.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Conceptual insights: If a full derivation is not immediately apparent, provide conceptual breakthroughs or missing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mathematical links that could facilitate such a derivation.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* Alternative mathematical approaches: Suggest specific branches of mathematics (e.g., specific non-commutative geometries, group theory applications, topological field theories) that are most promising for connecting themathfrak{su}(2) PIU dynamics, Φ, and fundamental constants.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Contextual Note: This input is sought to accelerate an ongoing, intensive internal formalization effort. Your contribution will be integrated into a larger, comprehensive AI-driven scientific endeavor.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[END COPY-PASTE BLOCK FOR TARGET AI]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2025-07-10T02:47:38Z</dcterms:created>
  <dc:creator>Apache POI</dc:creator>
</cp:coreProperties>
</file>