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ijhp3wp70ifi" w:colLast="0"/>
      <w:bookmarkEnd w:id="0"/>
      <w:r w:rsidRPr="00000000" w:rsidR="00000000" w:rsidDel="00000000">
        <w:rPr>
          <w:rtl w:val="0"/>
        </w:rPr>
        <w:t xml:space="preserve">BJC Overview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 can follow the outline of ECS here: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Executive summary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goals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standards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hardware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software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prerequisites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Instructional Philosophy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lab-based, exploratory, teacher as tutor, pair programming, project based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inquiry based discussion of meaningful CS topics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Overview of instructional materials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Units [objectives, student learning goals, requirements]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prefunction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postfunction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recursion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hof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oop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projects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possible sequences and tracks through the units (scope and sequence)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Beauty and Joy of Computing Overview.docx</dc:title>
</cp:coreProperties>
</file>