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aps/>
          <w:color w:val="1B4F8C"/>
          <w:sz w:val="64"/>
          <w:szCs w:val="64"/>
        </w:rPr>
        <w:t xml:space="preserve">NEW ZEALAND</w:t>
      </w:r>
    </w:p>
    <w:p>
      <w:pPr>
        <w:spacing w:after="80" w:before="0"/>
      </w:pPr>
      <w:r>
        <w:rPr>
          <w:rFonts w:ascii="Arial" w:cs="Arial" w:eastAsia="Arial" w:hAnsi="Arial"/>
          <w:b/>
          <w:bCs/>
          <w:caps/>
          <w:color w:val="1B4F8C"/>
          <w:sz w:val="64"/>
          <w:szCs w:val="64"/>
        </w:rPr>
        <w:t xml:space="preserve">BUILDING CODE</w:t>
      </w:r>
    </w:p>
    <w:p>
      <w:pPr>
        <w:pBdr>
          <w:bottom w:val="single" w:color="4A90C4" w:sz="12" w:space="4"/>
        </w:pBdr>
        <w:spacing w:after="200" w:before="0"/>
      </w:pPr>
      <w:r>
        <w:rPr>
          <w:rFonts w:ascii="Arial" w:cs="Arial" w:eastAsia="Arial" w:hAnsi="Arial"/>
          <w:color w:val="4A90C4"/>
          <w:sz w:val="28"/>
          <w:szCs w:val="28"/>
        </w:rPr>
        <w:t xml:space="preserve">Building Regulations 1992 — Schedule 1</w:t>
      </w:r>
    </w:p>
    <w:p>
      <w:pPr>
        <w:spacing w:after="40" w:before="80"/>
      </w:pPr>
    </w:p>
    <w:p>
      <w:pPr>
        <w:spacing w:after="80" w:before="60"/>
      </w:pPr>
      <w:r>
        <w:rPr>
          <w:rFonts w:ascii="Arial" w:cs="Arial" w:eastAsia="Arial" w:hAnsi="Arial"/>
          <w:b/>
          <w:bCs/>
          <w:sz w:val="20"/>
          <w:szCs w:val="20"/>
        </w:rPr>
        <w:t xml:space="preserve">Administered by: Ministry of Business, Innovation and Employment (MBIE)</w:t>
      </w:r>
    </w:p>
    <w:p>
      <w:pPr>
        <w:spacing w:after="80" w:before="60"/>
      </w:pPr>
      <w:r>
        <w:rPr>
          <w:rFonts w:ascii="Arial" w:cs="Arial" w:eastAsia="Arial" w:hAnsi="Arial"/>
          <w:color w:val="555555"/>
          <w:sz w:val="20"/>
          <w:szCs w:val="20"/>
        </w:rPr>
        <w:t xml:space="preserve">Current as of: May 2026 (reflecting 2025 Building Code update — effective 28 July 2025)</w:t>
      </w:r>
    </w:p>
    <w:p>
      <w:pPr>
        <w:spacing w:after="80" w:before="60"/>
      </w:pPr>
      <w:r>
        <w:rPr>
          <w:rFonts w:ascii="Arial" w:cs="Arial" w:eastAsia="Arial" w:hAnsi="Arial"/>
          <w:color w:val="4A90C4"/>
          <w:sz w:val="20"/>
          <w:szCs w:val="20"/>
        </w:rPr>
        <w:t xml:space="preserve">Official source: https://www.building.govt.nz/building-code-compliance/building-code-and-handbooks</w:t>
      </w:r>
    </w:p>
    <w:p>
      <w:pPr>
        <w:spacing w:after="80" w:before="60"/>
      </w:pPr>
      <w:r>
        <w:rPr>
          <w:rFonts w:ascii="Arial" w:cs="Arial" w:eastAsia="Arial" w:hAnsi="Arial"/>
          <w:color w:val="4A90C4"/>
          <w:sz w:val="20"/>
          <w:szCs w:val="20"/>
        </w:rPr>
        <w:t xml:space="preserve">Legislation: https://www.legislation.govt.nz/regulation/public/1992/0150/latest/whole.html</w:t>
      </w:r>
    </w:p>
    <w:p>
      <w:pPr>
        <w:spacing w:after="40" w:before="40"/>
      </w:pPr>
    </w:p>
    <w:p>
      <w:pPr>
        <w:spacing w:after="80" w:before="60"/>
      </w:pPr>
      <w:r>
        <w:rPr>
          <w:rFonts w:ascii="Arial" w:cs="Arial" w:eastAsia="Arial" w:hAnsi="Arial"/>
          <w:i/>
          <w:iCs/>
          <w:color w:val="7F0000"/>
          <w:sz w:val="18"/>
          <w:szCs w:val="18"/>
        </w:rPr>
        <w:t xml:space="preserve">IMPORTANT NOTICE: This document is a structured reference summary of the NZ Building Code for project use. It is not a substitute for the official legislation. Always verify current clauses and acceptable solutions at building.govt.nz, as the Building Code is amended periodically. The most recent update (2025) introduced Building Product Specifications effective 28 July 2025.</w:t>
      </w:r>
    </w:p>
    <w:p>
      <w:pPr>
        <w:pBdr>
          <w:bottom w:val="single" w:color="4A90C4" w:sz="4" w:space="1"/>
        </w:pBdr>
        <w:spacing w:after="120" w:before="120"/>
      </w:pPr>
    </w:p>
    <w:p>
      <w:pPr>
        <w:pStyle w:val="Heading1"/>
        <w:spacing w:after="120" w:before="360"/>
      </w:pPr>
      <w:r>
        <w:rPr>
          <w:rFonts w:ascii="Arial" w:cs="Arial" w:eastAsia="Arial" w:hAnsi="Arial"/>
          <w:b/>
          <w:bCs/>
          <w:color w:val="1B4F8C"/>
          <w:sz w:val="28"/>
          <w:szCs w:val="28"/>
        </w:rPr>
        <w:t xml:space="preserve">1. Overview of the New Zealand Building Code</w:t>
      </w:r>
    </w:p>
    <w:p>
      <w:pPr>
        <w:spacing w:after="80" w:before="60"/>
      </w:pPr>
      <w:r>
        <w:rPr>
          <w:rFonts w:ascii="Arial" w:cs="Arial" w:eastAsia="Arial" w:hAnsi="Arial"/>
          <w:sz w:val="20"/>
          <w:szCs w:val="20"/>
        </w:rPr>
        <w:t xml:space="preserve">The New Zealand Building Code (NZBC) is contained in Schedule 1 of the Building Regulations 1992, made under the Building Act 2004. It sets the minimum performance standards that all building work in New Zealand must meet, whether or not a building consent is required. The Code is performance-based — it specifies how a building must perform in its intended use, not how it must be designed or constructed.</w:t>
      </w:r>
    </w:p>
    <w:p>
      <w:pPr>
        <w:spacing w:after="80" w:before="80"/>
      </w:pPr>
    </w:p>
    <w:p>
      <w:pPr>
        <w:pStyle w:val="Heading2"/>
        <w:spacing w:after="80" w:before="240"/>
      </w:pPr>
      <w:r>
        <w:rPr>
          <w:rFonts w:ascii="Arial" w:cs="Arial" w:eastAsia="Arial" w:hAnsi="Arial"/>
          <w:b/>
          <w:bCs/>
          <w:color w:val="2C3E50"/>
          <w:sz w:val="24"/>
          <w:szCs w:val="24"/>
        </w:rPr>
        <w:t xml:space="preserve">1.1 Structure</w:t>
      </w:r>
    </w:p>
    <w:p>
      <w:pPr>
        <w:pStyle w:val="ListParagraph"/>
        <w:numPr>
          <w:ilvl w:val="0"/>
          <w:numId w:val="2"/>
        </w:numPr>
        <w:spacing w:after="40" w:before="40"/>
      </w:pPr>
      <w:r>
        <w:rPr>
          <w:rFonts w:ascii="Arial" w:cs="Arial" w:eastAsia="Arial" w:hAnsi="Arial"/>
          <w:sz w:val="20"/>
          <w:szCs w:val="20"/>
        </w:rPr>
        <w:t xml:space="preserve">The Building Code consists of 2 preliminary clauses (A1, A2) and 35 technical clauses</w:t>
      </w:r>
    </w:p>
    <w:p>
      <w:pPr>
        <w:pStyle w:val="ListParagraph"/>
        <w:numPr>
          <w:ilvl w:val="0"/>
          <w:numId w:val="2"/>
        </w:numPr>
        <w:spacing w:after="40" w:before="40"/>
      </w:pPr>
      <w:r>
        <w:rPr>
          <w:rFonts w:ascii="Arial" w:cs="Arial" w:eastAsia="Arial" w:hAnsi="Arial"/>
          <w:sz w:val="20"/>
          <w:szCs w:val="20"/>
        </w:rPr>
        <w:t xml:space="preserve">Each technical clause contains: Objective, Functional Requirement, and Performance Criteria</w:t>
      </w:r>
    </w:p>
    <w:p>
      <w:pPr>
        <w:pStyle w:val="ListParagraph"/>
        <w:numPr>
          <w:ilvl w:val="0"/>
          <w:numId w:val="2"/>
        </w:numPr>
        <w:spacing w:after="40" w:before="40"/>
      </w:pPr>
      <w:r>
        <w:rPr>
          <w:rFonts w:ascii="Arial" w:cs="Arial" w:eastAsia="Arial" w:hAnsi="Arial"/>
          <w:sz w:val="20"/>
          <w:szCs w:val="20"/>
        </w:rPr>
        <w:t xml:space="preserve">Compliance is demonstrated via Acceptable Solutions (AS) or Verification Methods (VM)</w:t>
      </w:r>
    </w:p>
    <w:p>
      <w:pPr>
        <w:pStyle w:val="ListParagraph"/>
        <w:numPr>
          <w:ilvl w:val="0"/>
          <w:numId w:val="2"/>
        </w:numPr>
        <w:spacing w:after="40" w:before="40"/>
      </w:pPr>
      <w:r>
        <w:rPr>
          <w:rFonts w:ascii="Arial" w:cs="Arial" w:eastAsia="Arial" w:hAnsi="Arial"/>
          <w:sz w:val="20"/>
          <w:szCs w:val="20"/>
        </w:rPr>
        <w:t xml:space="preserve">Alternative solutions are also permitted if they meet performance requirements</w:t>
      </w:r>
    </w:p>
    <w:p>
      <w:pPr>
        <w:spacing w:after="80" w:before="80"/>
      </w:pPr>
    </w:p>
    <w:p>
      <w:pPr>
        <w:pStyle w:val="Heading2"/>
        <w:spacing w:after="80" w:before="240"/>
      </w:pPr>
      <w:r>
        <w:rPr>
          <w:rFonts w:ascii="Arial" w:cs="Arial" w:eastAsia="Arial" w:hAnsi="Arial"/>
          <w:b/>
          <w:bCs/>
          <w:color w:val="2C3E50"/>
          <w:sz w:val="24"/>
          <w:szCs w:val="24"/>
        </w:rPr>
        <w:t xml:space="preserve">1.2 Regulatory Framework</w:t>
      </w:r>
    </w:p>
    <w:p>
      <w:pPr>
        <w:pStyle w:val="ListParagraph"/>
        <w:numPr>
          <w:ilvl w:val="0"/>
          <w:numId w:val="2"/>
        </w:numPr>
        <w:spacing w:after="40" w:before="40"/>
      </w:pPr>
      <w:r>
        <w:rPr>
          <w:rFonts w:ascii="Arial" w:cs="Arial" w:eastAsia="Arial" w:hAnsi="Arial"/>
          <w:sz w:val="20"/>
          <w:szCs w:val="20"/>
        </w:rPr>
        <w:t xml:space="preserve">Building Act 2004 — primary legislation governing building and construction</w:t>
      </w:r>
    </w:p>
    <w:p>
      <w:pPr>
        <w:pStyle w:val="ListParagraph"/>
        <w:numPr>
          <w:ilvl w:val="0"/>
          <w:numId w:val="2"/>
        </w:numPr>
        <w:spacing w:after="40" w:before="40"/>
      </w:pPr>
      <w:r>
        <w:rPr>
          <w:rFonts w:ascii="Arial" w:cs="Arial" w:eastAsia="Arial" w:hAnsi="Arial"/>
          <w:sz w:val="20"/>
          <w:szCs w:val="20"/>
        </w:rPr>
        <w:t xml:space="preserve">Building Regulations 1992 — contain the Building Code (Schedule 1) and other controls</w:t>
      </w:r>
    </w:p>
    <w:p>
      <w:pPr>
        <w:pStyle w:val="ListParagraph"/>
        <w:numPr>
          <w:ilvl w:val="0"/>
          <w:numId w:val="2"/>
        </w:numPr>
        <w:spacing w:after="40" w:before="40"/>
      </w:pPr>
      <w:r>
        <w:rPr>
          <w:rFonts w:ascii="Arial" w:cs="Arial" w:eastAsia="Arial" w:hAnsi="Arial"/>
          <w:sz w:val="20"/>
          <w:szCs w:val="20"/>
        </w:rPr>
        <w:t xml:space="preserve">Acceptable Solutions — prescriptive methods deemed to comply with the Code ('cookbook' solutions)</w:t>
      </w:r>
    </w:p>
    <w:p>
      <w:pPr>
        <w:pStyle w:val="ListParagraph"/>
        <w:numPr>
          <w:ilvl w:val="0"/>
          <w:numId w:val="2"/>
        </w:numPr>
        <w:spacing w:after="40" w:before="40"/>
      </w:pPr>
      <w:r>
        <w:rPr>
          <w:rFonts w:ascii="Arial" w:cs="Arial" w:eastAsia="Arial" w:hAnsi="Arial"/>
          <w:sz w:val="20"/>
          <w:szCs w:val="20"/>
        </w:rPr>
        <w:t xml:space="preserve">Verification Methods — calculations or tests that demonstrate compliance</w:t>
      </w:r>
    </w:p>
    <w:p>
      <w:pPr>
        <w:pStyle w:val="ListParagraph"/>
        <w:numPr>
          <w:ilvl w:val="0"/>
          <w:numId w:val="2"/>
        </w:numPr>
        <w:spacing w:after="40" w:before="40"/>
      </w:pPr>
      <w:r>
        <w:rPr>
          <w:rFonts w:ascii="Arial" w:cs="Arial" w:eastAsia="Arial" w:hAnsi="Arial"/>
          <w:sz w:val="20"/>
          <w:szCs w:val="20"/>
        </w:rPr>
        <w:t xml:space="preserve">Building Product Specifications — new in 2025; sets product standards cited in AS and VMs</w:t>
      </w:r>
    </w:p>
    <w:p>
      <w:pPr>
        <w:spacing w:after="80" w:before="80"/>
      </w:pPr>
    </w:p>
    <w:p>
      <w:pPr>
        <w:pStyle w:val="Heading2"/>
        <w:spacing w:after="80" w:before="240"/>
      </w:pPr>
      <w:r>
        <w:rPr>
          <w:rFonts w:ascii="Arial" w:cs="Arial" w:eastAsia="Arial" w:hAnsi="Arial"/>
          <w:b/>
          <w:bCs/>
          <w:color w:val="2C3E50"/>
          <w:sz w:val="24"/>
          <w:szCs w:val="24"/>
        </w:rPr>
        <w:t xml:space="preserve">1.3 2025 Building Code Update (Effective 28 July 2025)</w:t>
      </w:r>
    </w:p>
    <w:p>
      <w:pPr>
        <w:spacing w:after="80" w:before="60"/>
      </w:pPr>
      <w:r>
        <w:rPr>
          <w:rFonts w:ascii="Arial" w:cs="Arial" w:eastAsia="Arial" w:hAnsi="Arial"/>
          <w:sz w:val="20"/>
          <w:szCs w:val="20"/>
        </w:rPr>
        <w:t xml:space="preserve">The 2025 update is the most significant recent change. Key updates include:</w:t>
      </w:r>
    </w:p>
    <w:p>
      <w:pPr>
        <w:pStyle w:val="ListParagraph"/>
        <w:numPr>
          <w:ilvl w:val="0"/>
          <w:numId w:val="2"/>
        </w:numPr>
        <w:spacing w:after="40" w:before="40"/>
      </w:pPr>
      <w:r>
        <w:rPr>
          <w:rFonts w:ascii="Arial" w:cs="Arial" w:eastAsia="Arial" w:hAnsi="Arial"/>
          <w:sz w:val="20"/>
          <w:szCs w:val="20"/>
        </w:rPr>
        <w:t xml:space="preserve">Introduction of Building Product Specifications — first published version effective 28 July 2025</w:t>
      </w:r>
    </w:p>
    <w:p>
      <w:pPr>
        <w:pStyle w:val="ListParagraph"/>
        <w:numPr>
          <w:ilvl w:val="0"/>
          <w:numId w:val="2"/>
        </w:numPr>
        <w:spacing w:after="40" w:before="40"/>
      </w:pPr>
      <w:r>
        <w:rPr>
          <w:rFonts w:ascii="Arial" w:cs="Arial" w:eastAsia="Arial" w:hAnsi="Arial"/>
          <w:sz w:val="20"/>
          <w:szCs w:val="20"/>
        </w:rPr>
        <w:t xml:space="preserve">New editions of B1 Structure documents: B1/AS1, B1/AS3, B1/VM1, B1/VM2</w:t>
      </w:r>
    </w:p>
    <w:p>
      <w:pPr>
        <w:pStyle w:val="ListParagraph"/>
        <w:numPr>
          <w:ilvl w:val="0"/>
          <w:numId w:val="2"/>
        </w:numPr>
        <w:spacing w:after="40" w:before="40"/>
      </w:pPr>
      <w:r>
        <w:rPr>
          <w:rFonts w:ascii="Arial" w:cs="Arial" w:eastAsia="Arial" w:hAnsi="Arial"/>
          <w:sz w:val="20"/>
          <w:szCs w:val="20"/>
        </w:rPr>
        <w:t xml:space="preserve">Updated H1 Energy Efficiency: H1/AS1, H1/AS2, H1/VM1, H1/VM2 effective 27 November 2025</w:t>
      </w:r>
    </w:p>
    <w:p>
      <w:pPr>
        <w:pStyle w:val="ListParagraph"/>
        <w:numPr>
          <w:ilvl w:val="0"/>
          <w:numId w:val="2"/>
        </w:numPr>
        <w:spacing w:after="40" w:before="40"/>
      </w:pPr>
      <w:r>
        <w:rPr>
          <w:rFonts w:ascii="Arial" w:cs="Arial" w:eastAsia="Arial" w:hAnsi="Arial"/>
          <w:sz w:val="20"/>
          <w:szCs w:val="20"/>
        </w:rPr>
        <w:t xml:space="preserve">Transition period: previous versions usable until 31 July 2026 (H1 until 26 November 2026)</w:t>
      </w:r>
    </w:p>
    <w:p>
      <w:pPr>
        <w:pBdr>
          <w:bottom w:val="single" w:color="4A90C4" w:sz="4" w:space="1"/>
        </w:pBdr>
        <w:spacing w:after="120" w:before="120"/>
      </w:pPr>
    </w:p>
    <w:p>
      <w:pPr>
        <w:pStyle w:val="Heading1"/>
        <w:spacing w:after="120" w:before="360"/>
      </w:pPr>
      <w:r>
        <w:rPr>
          <w:rFonts w:ascii="Arial" w:cs="Arial" w:eastAsia="Arial" w:hAnsi="Arial"/>
          <w:b/>
          <w:bCs/>
          <w:color w:val="1B4F8C"/>
          <w:sz w:val="28"/>
          <w:szCs w:val="28"/>
        </w:rPr>
        <w:t xml:space="preserve">2. Building Code Clauses</w:t>
      </w:r>
    </w:p>
    <w:p>
      <w:pPr>
        <w:spacing w:after="80" w:before="60"/>
      </w:pPr>
      <w:r>
        <w:rPr>
          <w:rFonts w:ascii="Arial" w:cs="Arial" w:eastAsia="Arial" w:hAnsi="Arial"/>
          <w:sz w:val="20"/>
          <w:szCs w:val="20"/>
        </w:rPr>
        <w:t xml:space="preserve">The 35 technical clauses are grouped into categories A through H:</w:t>
      </w:r>
    </w:p>
    <w:p>
      <w:pPr>
        <w:spacing w:after="80" w:before="80"/>
      </w:pPr>
    </w:p>
    <w:p>
      <w:pPr>
        <w:pStyle w:val="Heading2"/>
        <w:spacing w:after="80" w:before="240"/>
      </w:pPr>
      <w:r>
        <w:rPr>
          <w:rFonts w:ascii="Arial" w:cs="Arial" w:eastAsia="Arial" w:hAnsi="Arial"/>
          <w:b/>
          <w:bCs/>
          <w:color w:val="2C3E50"/>
          <w:sz w:val="24"/>
          <w:szCs w:val="24"/>
        </w:rPr>
        <w:t xml:space="preserve">Group A — General Provisions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A1 — General Objectives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To define the scope, objectives and interpretation of the Building Code.</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 work must comply with all relevant clauses of the Building Code, even if no building consent is required.</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A2 — Definitions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To define terms used in the Building Code for consistent interpretation.</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All terms used in the Building Code are as defined in Clause A2. Definitions align with those in the Building Act 2004.</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A3 — Building Importance Levels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To classify buildings into importance levels to apply appropriate structural and fire safety standards.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are assigned an Importance Level (IL1–IL4) based on the consequences of failure. Higher importance levels require more stringent design standards.
IL1: Low consequence (e.g., farm buildings)
IL2: Normal (e.g., residential, commercial)
IL3: High consequence (e.g., schools, hospitals)
IL4: Post-disaster critical (e.g., emergency services)</w:t>
            </w:r>
          </w:p>
        </w:tc>
      </w:tr>
    </w:tbl>
    <w:p>
      <w:pPr>
        <w:spacing w:after="160" w:before="40"/>
      </w:pPr>
    </w:p>
    <w:p>
      <w:pPr>
        <w:pStyle w:val="Heading2"/>
        <w:spacing w:after="80" w:before="240"/>
      </w:pPr>
      <w:r>
        <w:rPr>
          <w:rFonts w:ascii="Arial" w:cs="Arial" w:eastAsia="Arial" w:hAnsi="Arial"/>
          <w:b/>
          <w:bCs/>
          <w:color w:val="2C3E50"/>
          <w:sz w:val="24"/>
          <w:szCs w:val="24"/>
        </w:rPr>
        <w:t xml:space="preserve">Group B — Stability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B1 — Structure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injury caused by structural failure; safeguard people from loss of amenity caused by structural behaviour; protect other property from physical damage caused by structural failure.</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building elements and sitework shall withstand likely loads, including dead loads, live loads, wind, snow, earthquake, and other relevant actions. Structures must remain serviceable and not exceed ultimate limit states. Must account for soil liquefaction where relevant.</w:t>
            </w:r>
          </w:p>
        </w:tc>
      </w:tr>
      <w:tr>
        <w:tc>
          <w:tcPr>
            <w:tcW w:type="dxa" w:w="1600"/>
            <w:tcBorders>
              <w:top w:val="none" w:color="FFFFFF" w:sz="0"/>
              <w:left w:val="none" w:color="FFFFFF" w:sz="0"/>
              <w:bottom w:val="none" w:color="FFFFFF" w:sz="0"/>
              <w:right w:val="none" w:color="FFFFFF" w:sz="0"/>
            </w:tcBorders>
            <w:shd w:fill="FEF9E7" w:val="clear"/>
            <w:tcMar>
              <w:top w:type="dxa" w:w="80"/>
              <w:left w:type="dxa" w:w="160"/>
              <w:bottom w:type="dxa" w:w="80"/>
              <w:right w:type="dxa" w:w="80"/>
            </w:tcMar>
          </w:tcPr>
          <w:p>
            <w:r>
              <w:rPr>
                <w:rFonts w:ascii="Arial" w:cs="Arial" w:eastAsia="Arial" w:hAnsi="Arial"/>
                <w:b/>
                <w:bCs/>
                <w:color w:val="7D6608"/>
                <w:sz w:val="18"/>
                <w:szCs w:val="18"/>
              </w:rPr>
              <w:t xml:space="preserve">Note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i/>
                <w:iCs/>
                <w:sz w:val="18"/>
                <w:szCs w:val="18"/>
              </w:rPr>
              <w:t xml:space="preserve">Updated 28 July 2025: B1/AS1 (2nd Ed), B1/AS3 (2nd Ed), B1/VM1 (2nd Ed), B1/VM2 (2nd Ed). Previous edition usable until 31 July 2026.</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B2 — Durability</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Ensure that buildings, throughout their lives, continue to satisfy the objectives of the Building Code.</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 materials and components must be durable for their expected life. For structural and weathertightness elements: minimum 50 years. For easily replaceable components: 15 years minimum.</w:t>
            </w:r>
          </w:p>
        </w:tc>
      </w:tr>
    </w:tbl>
    <w:p>
      <w:pPr>
        <w:spacing w:after="160" w:before="40"/>
      </w:pPr>
    </w:p>
    <w:p>
      <w:pPr>
        <w:pStyle w:val="Heading2"/>
        <w:spacing w:after="80" w:before="240"/>
      </w:pPr>
      <w:r>
        <w:rPr>
          <w:rFonts w:ascii="Arial" w:cs="Arial" w:eastAsia="Arial" w:hAnsi="Arial"/>
          <w:b/>
          <w:bCs/>
          <w:color w:val="2C3E50"/>
          <w:sz w:val="24"/>
          <w:szCs w:val="24"/>
        </w:rPr>
        <w:t xml:space="preserve">Group C — Fire Safety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C1 — Fire Spread between Kitchens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injury or illness and protect other property from damage caused by fire.</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be designed and constructed to prevent ignition of fire, including from cooking appliances.</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C2 — Means of Escape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injury or death as a result of fire by providing adequate means of escape.</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have means of escape from fire that are of a suitable number, size, and type; provide adequate visibility; and can be used safely. Escape routes must discharge to a safe place.</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C3 — Spread of Fire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injury or death, and protect other property, due to the spread of fire.</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be designed to limit the spread of fire and smoke within the building and to adjoining buildings or properties. Fire resistance ratings (FRR) are expressed as Structural Adequacy/Integrity/Insulation (e.g., 60/60/60 minutes).</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C4 — Structural Stability during Fire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Ensure buildings maintain stability during fire to allow safe evacuation and fire service operations.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Primary structure must maintain stability for long enough to allow evacuation of the building and any adjacent building likely to be affected.</w:t>
            </w:r>
          </w:p>
        </w:tc>
      </w:tr>
    </w:tbl>
    <w:p>
      <w:pPr>
        <w:spacing w:after="160" w:before="40"/>
      </w:pPr>
    </w:p>
    <w:p>
      <w:pPr>
        <w:pStyle w:val="Heading2"/>
        <w:spacing w:after="80" w:before="240"/>
      </w:pPr>
      <w:r>
        <w:rPr>
          <w:rFonts w:ascii="Arial" w:cs="Arial" w:eastAsia="Arial" w:hAnsi="Arial"/>
          <w:b/>
          <w:bCs/>
          <w:color w:val="2C3E50"/>
          <w:sz w:val="24"/>
          <w:szCs w:val="24"/>
        </w:rPr>
        <w:t xml:space="preserve">Group D — Access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D1 — Access Routes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injury and provide access to buildings for emergency services.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provide safe access to enable them to be used and maintained. Access routes must accommodate people with disabilities where required. Gradient and surface requirements apply.</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D2 — Mechanical Installations for Access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Enable people to use buildings regardless of physical ability by providing mechanical access systems.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Mechanical access systems (e.g., lifts, escalators) must be safe to use and designed so that users are not trapped. Systems must be maintained in safe working order.</w:t>
            </w:r>
          </w:p>
        </w:tc>
      </w:tr>
    </w:tbl>
    <w:p>
      <w:pPr>
        <w:spacing w:after="160" w:before="40"/>
      </w:pPr>
    </w:p>
    <w:p>
      <w:pPr>
        <w:pStyle w:val="Heading2"/>
        <w:spacing w:after="80" w:before="240"/>
      </w:pPr>
      <w:r>
        <w:rPr>
          <w:rFonts w:ascii="Arial" w:cs="Arial" w:eastAsia="Arial" w:hAnsi="Arial"/>
          <w:b/>
          <w:bCs/>
          <w:color w:val="2C3E50"/>
          <w:sz w:val="24"/>
          <w:szCs w:val="24"/>
        </w:rPr>
        <w:t xml:space="preserve">Group E — Moisture</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E1 — Surface Water</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and other property from the adverse effects of surface water.</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Drainage must be provided to dispose of surface water from the building and site. Drainage systems must be adequate for the likely rainfall intensity. Amended November 2023.</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E2 — External Moisture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illness caused by external moisture entering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be constructed to prevent penetration of water from the outside that could cause undue dampness or damage to building elements. Key clause for weathertightness. Cladding systems must manage the water entry, drainage, and drying.</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E3 — Internal Moisture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illness caused by moisture within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limit the likelihood of moisture forming on internal surfaces and damaging the building fabric. Adequate ventilation must be provided to remove moisture-laden air.</w:t>
            </w:r>
          </w:p>
        </w:tc>
      </w:tr>
    </w:tbl>
    <w:p>
      <w:pPr>
        <w:spacing w:after="160" w:before="40"/>
      </w:pPr>
    </w:p>
    <w:p>
      <w:pPr>
        <w:pStyle w:val="Heading2"/>
        <w:spacing w:after="80" w:before="240"/>
      </w:pPr>
      <w:r>
        <w:rPr>
          <w:rFonts w:ascii="Arial" w:cs="Arial" w:eastAsia="Arial" w:hAnsi="Arial"/>
          <w:b/>
          <w:bCs/>
          <w:color w:val="2C3E50"/>
          <w:sz w:val="24"/>
          <w:szCs w:val="24"/>
        </w:rPr>
        <w:t xml:space="preserve">Group F — Safety of Users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F1 — Hazardous Agents on Site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illness or injury caused by exposure to hazardous agents on site.</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 sites must be free of hazardous agents (e.g., contaminated soil, asbestos) to a level that does not endanger the health of occupants or visitors.</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F2 — Hazardous Building Materials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injury or illness caused by hazardous building materials.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 materials must not create a health or safety hazard through their physical or chemical properties. This includes restrictions on materials like asbestos, lead-based paints, and formaldehyde emissions.</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F3 — Hazardous Substances and Processes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illness or injury caused by exposure to hazardous substances used or stored in buildings.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used for hazardous substances or processes must be designed to contain spills and control exposure. Suitable storage, ventilation, and containment systems required.</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F4 — Safety from Falling</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injury caused by falling.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have barriers (handrails, balustrades) to prevent people falling from edges where the drop exceeds 1 metre. Barriers must be of appropriate height (generally 1.0 m for residential, 1.1 m for other buildings) and able to withstand required loads.</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F5 — Construction and Demolition Hazards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the public from injury caused by construction and demolition operations.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Construction and demolition work must be carried out so that it does not create undue danger for members of the public, whether adjacent to or passing near the work.</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F6 — Lighting for Emergency</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injury during an emergency by providing emergency lighting.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requiring emergency lighting must have systems adequate to enable safe evacuation. Emergency lighting must operate automatically on failure of normal supply for a minimum duration.</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F7 — Warning Systems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from injury or death by providing warning of fire and other hazards.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have suitable systems to warn occupants of fire. Smoke alarms required in residential buildings. Fire detection and alarm systems required for certain building types. Standards: NZS 4512:2021, NZS 4514:2021.</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F8 — Signs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Safeguard people by providing signs and notices to facilitate their safe evacuation and use of a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Required signage must be provided for means of escape, exits, and safety systems. Signs must be legible and illuminated where required.</w:t>
            </w:r>
          </w:p>
        </w:tc>
      </w:tr>
    </w:tbl>
    <w:p>
      <w:pPr>
        <w:spacing w:after="160" w:before="40"/>
      </w:pPr>
    </w:p>
    <w:p>
      <w:pPr>
        <w:pStyle w:val="Heading2"/>
        <w:spacing w:after="80" w:before="240"/>
      </w:pPr>
      <w:r>
        <w:rPr>
          <w:rFonts w:ascii="Arial" w:cs="Arial" w:eastAsia="Arial" w:hAnsi="Arial"/>
          <w:b/>
          <w:bCs/>
          <w:color w:val="2C3E50"/>
          <w:sz w:val="24"/>
          <w:szCs w:val="24"/>
        </w:rPr>
        <w:t xml:space="preserve">Group G — Services and Facilities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G1 — Personal Hygiene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facilities for personal hygiene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have adequate sanitary facilities (toilets, hand basins, showers) suitable for the number of occupants and the building use. Hot and cold water supply required. Facilities for people with disabilities where required.</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G2 — Laundering</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facilities for laundering for residential buildings.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Residential buildings must have adequate facilities for laundering of clothes and linen, including a suitable connection for a washing machine with hot and cold water.</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G3 — Food Preparation and Prevention of Contamination</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facilities for food preparation and prevent contamination of food.</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intended for food preparation must have adequate facilities, including sufficient workspace, sinks, and storage. Food preparation areas must be designed to prevent contamination.</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G4 — Ventilation</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ventilation for the intended use of the building to maintain air quality.</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be ventilated to maintain acceptable air quality and temperature for occupants. This may be achieved by natural ventilation, mechanical ventilation, or a combination. Minimum fresh air rates apply.</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G5 — Interior Environment</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an adequate interior environment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provide adequate thermal comfort and acoustic conditions for their intended use. Buildings must not transmit noise from adjacent spaces or external sources at levels that would cause illness or loss of amenity.</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G6 — Airborne and Impact Sound</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Limit the transmission of airborne and impact sound between occupancies.</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Sound transmission between separate occupancies in multi-unit residential buildings must be limited to prevent unacceptable noise levels. Sound Transmission Class (STC) and Impact Isolation Class (IIC) ratings apply.</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G7 — Natural Light</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natural light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Habitable spaces in residential buildings must have adequate natural light. Glazing areas and daylight factors apply. Minimum 10% window-to-floor-area ratio for habitable rooms in general.</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G8 — Artificial Light</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artificial light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Adequate artificial lighting must be provided appropriate to the use of each space. Minimum illuminance at floor level: 20 lux. Specific requirements apply to means of escape, car parks, and workplaces.</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G9 — Electricity</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electricity services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Electrical installations must be adequate for the intended use and comply with the Electricity Act 1992 and relevant standards. Electrical work must be carried out by a licensed electrical inspector.</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G10 — Piped Services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piped services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Piped water, gas, and drainage services must be adequate for the intended use. Systems must be designed to prevent contamination and must comply with relevant standards.</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G11 — Gas as an Energy Source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gas services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Gas installations must be adequate for the intended use and comply with the Gas Act 1992 and relevant standards. Gas work must be carried out by a licensed gasfitter.</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G12 — Water Supplies</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water supplies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have adequate hot and cold water supplies. Maximum hot water temperature at tap: 50°C (reduced from 55°C in 2023 amendment). Minimum cold water pressure and flow requirements apply. Lead content in plumbing products restricted.</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G13 — Foul Water</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foul water drainage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have adequate drainage for the removal of foul water. Systems must prevent the escape of foul air into the building and protect against blockage, backflow, and leakage. Updated November 2023.</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G14 — Industrial Liquid Waste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industrial liquid waste systems for the intended use of the building.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Industrial premises must have adequate systems for the treatment and disposal of industrial liquid waste, including trade waste. Systems must prevent contamination of public wastewater systems.</w:t>
            </w:r>
          </w:p>
        </w:tc>
      </w:tr>
    </w:tbl>
    <w:p>
      <w:pPr>
        <w:spacing w:after="10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G15 — Solid Waste</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Provide adequate facilities for the storage and disposal of solid waste.</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have adequate facilities for the storage and collection of solid waste. Storage areas must be accessible, hygienic, and designed to prevent contamination or nuisance.</w:t>
            </w:r>
          </w:p>
        </w:tc>
      </w:tr>
    </w:tbl>
    <w:p>
      <w:pPr>
        <w:spacing w:after="160" w:before="40"/>
      </w:pPr>
    </w:p>
    <w:p>
      <w:pPr>
        <w:pStyle w:val="Heading2"/>
        <w:spacing w:after="80" w:before="240"/>
      </w:pPr>
      <w:r>
        <w:rPr>
          <w:rFonts w:ascii="Arial" w:cs="Arial" w:eastAsia="Arial" w:hAnsi="Arial"/>
          <w:b/>
          <w:bCs/>
          <w:color w:val="2C3E50"/>
          <w:sz w:val="24"/>
          <w:szCs w:val="24"/>
        </w:rPr>
        <w:t xml:space="preserve">Group H — Energy Efficiency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426"/>
      </w:tblGrid>
      <w:tr>
        <w:tc>
          <w:tcPr>
            <w:gridSpan w:val="3"/>
            <w:tcBorders>
              <w:top w:val="none" w:color="FFFFFF" w:sz="0"/>
              <w:left w:val="none" w:color="FFFFFF" w:sz="0"/>
              <w:bottom w:val="none" w:color="FFFFFF" w:sz="0"/>
              <w:right w:val="none" w:color="FFFFFF" w:sz="0"/>
            </w:tcBorders>
            <w:shd w:fill="1B4F8C" w:val="clear"/>
            <w:tcMar>
              <w:top w:type="dxa" w:w="100"/>
              <w:left w:type="dxa" w:w="160"/>
              <w:bottom w:type="dxa" w:w="100"/>
              <w:right w:type="dxa" w:w="160"/>
            </w:tcMar>
          </w:tcPr>
          <w:p>
            <w:r>
              <w:rPr>
                <w:rFonts w:ascii="Arial" w:cs="Arial" w:eastAsia="Arial" w:hAnsi="Arial"/>
                <w:b/>
                <w:bCs/>
                <w:color w:val="FFFFFF"/>
                <w:sz w:val="22"/>
                <w:szCs w:val="22"/>
              </w:rPr>
              <w:t xml:space="preserve">H1 — Energy Efficiency</w:t>
            </w:r>
          </w:p>
        </w:tc>
      </w:tr>
      <w:tr>
        <w:tc>
          <w:tcPr>
            <w:tcW w:type="dxa" w:w="1600"/>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r>
              <w:rPr>
                <w:rFonts w:ascii="Arial" w:cs="Arial" w:eastAsia="Arial" w:hAnsi="Arial"/>
                <w:b/>
                <w:bCs/>
                <w:color w:val="1B4F8C"/>
                <w:sz w:val="18"/>
                <w:szCs w:val="18"/>
              </w:rPr>
              <w:t xml:space="preserve">Objective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Conserve energy by ensuring buildings are designed and constructed to enable efficient use of energy for heating and cooling.</w:t>
            </w:r>
          </w:p>
        </w:tc>
      </w:tr>
      <w:tr>
        <w:tc>
          <w:tcPr>
            <w:tcW w:type="dxa" w:w="1600"/>
            <w:tcBorders>
              <w:top w:val="none" w:color="FFFFFF" w:sz="0"/>
              <w:left w:val="none" w:color="FFFFFF" w:sz="0"/>
              <w:bottom w:val="none" w:color="FFFFFF" w:sz="0"/>
              <w:right w:val="none" w:color="FFFFFF" w:sz="0"/>
            </w:tcBorders>
            <w:shd w:fill="EAF2F8" w:val="clear"/>
            <w:tcMar>
              <w:top w:type="dxa" w:w="80"/>
              <w:left w:type="dxa" w:w="160"/>
              <w:bottom w:type="dxa" w:w="80"/>
              <w:right w:type="dxa" w:w="80"/>
            </w:tcMar>
          </w:tcPr>
          <w:p>
            <w:r>
              <w:rPr>
                <w:rFonts w:ascii="Arial" w:cs="Arial" w:eastAsia="Arial" w:hAnsi="Arial"/>
                <w:b/>
                <w:bCs/>
                <w:color w:val="1B4F8C"/>
                <w:sz w:val="18"/>
                <w:szCs w:val="18"/>
              </w:rPr>
              <w:t xml:space="preserve">Performance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sz w:val="18"/>
                <w:szCs w:val="18"/>
              </w:rPr>
              <w:t xml:space="preserve">Buildings must be designed to limit heat loss (for heating-dominated climates) and heat gain (for cooling-dominated climates) through the building envelope. Minimum R-values (thermal resistance) apply to roofs, walls, floors, and windows based on climate zone. H1/AS1 and H1/AS2 updated 27 November 2025.</w:t>
            </w:r>
          </w:p>
        </w:tc>
      </w:tr>
      <w:tr>
        <w:tc>
          <w:tcPr>
            <w:tcW w:type="dxa" w:w="1600"/>
            <w:tcBorders>
              <w:top w:val="none" w:color="FFFFFF" w:sz="0"/>
              <w:left w:val="none" w:color="FFFFFF" w:sz="0"/>
              <w:bottom w:val="none" w:color="FFFFFF" w:sz="0"/>
              <w:right w:val="none" w:color="FFFFFF" w:sz="0"/>
            </w:tcBorders>
            <w:shd w:fill="FEF9E7" w:val="clear"/>
            <w:tcMar>
              <w:top w:type="dxa" w:w="80"/>
              <w:left w:type="dxa" w:w="160"/>
              <w:bottom w:type="dxa" w:w="80"/>
              <w:right w:type="dxa" w:w="80"/>
            </w:tcMar>
          </w:tcPr>
          <w:p>
            <w:r>
              <w:rPr>
                <w:rFonts w:ascii="Arial" w:cs="Arial" w:eastAsia="Arial" w:hAnsi="Arial"/>
                <w:b/>
                <w:bCs/>
                <w:color w:val="7D6608"/>
                <w:sz w:val="18"/>
                <w:szCs w:val="18"/>
              </w:rPr>
              <w:t xml:space="preserve">Note</w:t>
            </w:r>
          </w:p>
        </w:tc>
        <w:tc>
          <w:tcPr>
            <w:tcW w:type="dxa" w:w="7426"/>
            <w:tcBorders>
              <w:top w:val="none" w:color="FFFFFF" w:sz="0"/>
              <w:left w:val="single" w:color="CCCCCC" w:sz="1"/>
              <w:bottom w:val="none" w:color="FFFFFF" w:sz="0"/>
              <w:right w:val="none" w:color="FFFFFF" w:sz="0"/>
            </w:tcBorders>
            <w:tcMar>
              <w:top w:type="dxa" w:w="80"/>
              <w:left w:type="dxa" w:w="160"/>
              <w:bottom w:type="dxa" w:w="80"/>
              <w:right w:type="dxa" w:w="160"/>
            </w:tcMar>
          </w:tcPr>
          <w:p>
            <w:r>
              <w:rPr>
                <w:rFonts w:ascii="Arial" w:cs="Arial" w:eastAsia="Arial" w:hAnsi="Arial"/>
                <w:i/>
                <w:iCs/>
                <w:sz w:val="18"/>
                <w:szCs w:val="18"/>
              </w:rPr>
              <w:t xml:space="preserve">NZ is divided into 6 climate zones. R-values vary by zone. The 2025 update improved measurement rules and modelling methods. New editions took effect 27 November 2025 with 12-month transition until 26 November 2026.</w:t>
            </w:r>
          </w:p>
        </w:tc>
      </w:tr>
    </w:tbl>
    <w:p>
      <w:pPr>
        <w:spacing w:after="160" w:before="40"/>
      </w:pPr>
    </w:p>
    <w:p>
      <w:pPr>
        <w:pBdr>
          <w:bottom w:val="single" w:color="4A90C4" w:sz="4" w:space="1"/>
        </w:pBdr>
        <w:spacing w:after="120" w:before="120"/>
      </w:pPr>
    </w:p>
    <w:p>
      <w:pPr>
        <w:pStyle w:val="Heading1"/>
        <w:spacing w:after="120" w:before="360"/>
      </w:pPr>
      <w:r>
        <w:rPr>
          <w:rFonts w:ascii="Arial" w:cs="Arial" w:eastAsia="Arial" w:hAnsi="Arial"/>
          <w:b/>
          <w:bCs/>
          <w:color w:val="1B4F8C"/>
          <w:sz w:val="28"/>
          <w:szCs w:val="28"/>
        </w:rPr>
        <w:t xml:space="preserve">3. Demonstrating Compliance</w:t>
      </w:r>
    </w:p>
    <w:p>
      <w:pPr>
        <w:pStyle w:val="Heading2"/>
        <w:spacing w:after="80" w:before="240"/>
      </w:pPr>
      <w:r>
        <w:rPr>
          <w:rFonts w:ascii="Arial" w:cs="Arial" w:eastAsia="Arial" w:hAnsi="Arial"/>
          <w:b/>
          <w:bCs/>
          <w:color w:val="2C3E50"/>
          <w:sz w:val="24"/>
          <w:szCs w:val="24"/>
        </w:rPr>
        <w:t xml:space="preserve">3.1 Acceptable Solutions and Verification Methods</w:t>
      </w:r>
    </w:p>
    <w:p>
      <w:pPr>
        <w:spacing w:after="80" w:before="60"/>
      </w:pPr>
      <w:r>
        <w:rPr>
          <w:rFonts w:ascii="Arial" w:cs="Arial" w:eastAsia="Arial" w:hAnsi="Arial"/>
          <w:sz w:val="20"/>
          <w:szCs w:val="20"/>
        </w:rPr>
        <w:t xml:space="preserve">Compliance can be demonstrated through:</w:t>
      </w:r>
    </w:p>
    <w:p>
      <w:pPr>
        <w:pStyle w:val="ListParagraph"/>
        <w:numPr>
          <w:ilvl w:val="0"/>
          <w:numId w:val="2"/>
        </w:numPr>
        <w:spacing w:after="40" w:before="40"/>
      </w:pPr>
      <w:r>
        <w:rPr>
          <w:rFonts w:ascii="Arial" w:cs="Arial" w:eastAsia="Arial" w:hAnsi="Arial"/>
          <w:sz w:val="20"/>
          <w:szCs w:val="20"/>
        </w:rPr>
        <w:t xml:space="preserve">Acceptable Solutions (AS): prescriptive 'cookbook' methods deemed to comply automatically with a clause.</w:t>
      </w:r>
    </w:p>
    <w:p>
      <w:pPr>
        <w:pStyle w:val="ListParagraph"/>
        <w:numPr>
          <w:ilvl w:val="0"/>
          <w:numId w:val="2"/>
        </w:numPr>
        <w:spacing w:after="40" w:before="40"/>
      </w:pPr>
      <w:r>
        <w:rPr>
          <w:rFonts w:ascii="Arial" w:cs="Arial" w:eastAsia="Arial" w:hAnsi="Arial"/>
          <w:sz w:val="20"/>
          <w:szCs w:val="20"/>
        </w:rPr>
        <w:t xml:space="preserve">Verification Methods (VM): calculations, tests, or assessments that demonstrate compliance.</w:t>
      </w:r>
    </w:p>
    <w:p>
      <w:pPr>
        <w:pStyle w:val="ListParagraph"/>
        <w:numPr>
          <w:ilvl w:val="0"/>
          <w:numId w:val="2"/>
        </w:numPr>
        <w:spacing w:after="40" w:before="40"/>
      </w:pPr>
      <w:r>
        <w:rPr>
          <w:rFonts w:ascii="Arial" w:cs="Arial" w:eastAsia="Arial" w:hAnsi="Arial"/>
          <w:sz w:val="20"/>
          <w:szCs w:val="20"/>
        </w:rPr>
        <w:t xml:space="preserve">Alternative Solutions: any other method that can be shown to meet the performance requirements. Must be assessed by the Building Consent Authority (BCA).</w:t>
      </w:r>
    </w:p>
    <w:p>
      <w:pPr>
        <w:spacing w:after="80" w:before="80"/>
      </w:pPr>
    </w:p>
    <w:p>
      <w:pPr>
        <w:pStyle w:val="Heading2"/>
        <w:spacing w:after="80" w:before="240"/>
      </w:pPr>
      <w:r>
        <w:rPr>
          <w:rFonts w:ascii="Arial" w:cs="Arial" w:eastAsia="Arial" w:hAnsi="Arial"/>
          <w:b/>
          <w:bCs/>
          <w:color w:val="2C3E50"/>
          <w:sz w:val="24"/>
          <w:szCs w:val="24"/>
        </w:rPr>
        <w:t xml:space="preserve">3.2 Building Consent Process</w:t>
      </w:r>
    </w:p>
    <w:p>
      <w:pPr>
        <w:pStyle w:val="ListParagraph"/>
        <w:numPr>
          <w:ilvl w:val="0"/>
          <w:numId w:val="2"/>
        </w:numPr>
        <w:spacing w:after="40" w:before="40"/>
      </w:pPr>
      <w:r>
        <w:rPr>
          <w:rFonts w:ascii="Arial" w:cs="Arial" w:eastAsia="Arial" w:hAnsi="Arial"/>
          <w:sz w:val="20"/>
          <w:szCs w:val="20"/>
        </w:rPr>
        <w:t xml:space="preserve">Most building work requires a building consent from the territorial authority (TA) or Building Consent Authority (BCA).</w:t>
      </w:r>
    </w:p>
    <w:p>
      <w:pPr>
        <w:pStyle w:val="ListParagraph"/>
        <w:numPr>
          <w:ilvl w:val="0"/>
          <w:numId w:val="2"/>
        </w:numPr>
        <w:spacing w:after="40" w:before="40"/>
      </w:pPr>
      <w:r>
        <w:rPr>
          <w:rFonts w:ascii="Arial" w:cs="Arial" w:eastAsia="Arial" w:hAnsi="Arial"/>
          <w:sz w:val="20"/>
          <w:szCs w:val="20"/>
        </w:rPr>
        <w:t xml:space="preserve">Some work is exempt under Schedule 1 of the Building Act 2004 (e.g., routine maintenance, certain minor works).</w:t>
      </w:r>
    </w:p>
    <w:p>
      <w:pPr>
        <w:pStyle w:val="ListParagraph"/>
        <w:numPr>
          <w:ilvl w:val="0"/>
          <w:numId w:val="2"/>
        </w:numPr>
        <w:spacing w:after="40" w:before="40"/>
      </w:pPr>
      <w:r>
        <w:rPr>
          <w:rFonts w:ascii="Arial" w:cs="Arial" w:eastAsia="Arial" w:hAnsi="Arial"/>
          <w:sz w:val="20"/>
          <w:szCs w:val="20"/>
        </w:rPr>
        <w:t xml:space="preserve">Consent applications must demonstrate how work will comply with the Building Code.</w:t>
      </w:r>
    </w:p>
    <w:p>
      <w:pPr>
        <w:pStyle w:val="ListParagraph"/>
        <w:numPr>
          <w:ilvl w:val="0"/>
          <w:numId w:val="2"/>
        </w:numPr>
        <w:spacing w:after="40" w:before="40"/>
      </w:pPr>
      <w:r>
        <w:rPr>
          <w:rFonts w:ascii="Arial" w:cs="Arial" w:eastAsia="Arial" w:hAnsi="Arial"/>
          <w:sz w:val="20"/>
          <w:szCs w:val="20"/>
        </w:rPr>
        <w:t xml:space="preserve">Inspections are carried out at key stages during construction.</w:t>
      </w:r>
    </w:p>
    <w:p>
      <w:pPr>
        <w:pStyle w:val="ListParagraph"/>
        <w:numPr>
          <w:ilvl w:val="0"/>
          <w:numId w:val="2"/>
        </w:numPr>
        <w:spacing w:after="40" w:before="40"/>
      </w:pPr>
      <w:r>
        <w:rPr>
          <w:rFonts w:ascii="Arial" w:cs="Arial" w:eastAsia="Arial" w:hAnsi="Arial"/>
          <w:sz w:val="20"/>
          <w:szCs w:val="20"/>
        </w:rPr>
        <w:t xml:space="preserve">A Code Compliance Certificate (CCC) is issued on completion when compliance is confirmed.</w:t>
      </w:r>
    </w:p>
    <w:p>
      <w:pPr>
        <w:spacing w:after="80" w:before="80"/>
      </w:pPr>
    </w:p>
    <w:p>
      <w:pPr>
        <w:pStyle w:val="Heading2"/>
        <w:spacing w:after="80" w:before="240"/>
      </w:pPr>
      <w:r>
        <w:rPr>
          <w:rFonts w:ascii="Arial" w:cs="Arial" w:eastAsia="Arial" w:hAnsi="Arial"/>
          <w:b/>
          <w:bCs/>
          <w:color w:val="2C3E50"/>
          <w:sz w:val="24"/>
          <w:szCs w:val="24"/>
        </w:rPr>
        <w:t xml:space="preserve">3.3 Building Product Specifications (New 2025)</w:t>
      </w:r>
    </w:p>
    <w:p>
      <w:pPr>
        <w:spacing w:after="80" w:before="60"/>
      </w:pPr>
      <w:r>
        <w:rPr>
          <w:rFonts w:ascii="Arial" w:cs="Arial" w:eastAsia="Arial" w:hAnsi="Arial"/>
          <w:sz w:val="20"/>
          <w:szCs w:val="20"/>
        </w:rPr>
        <w:t xml:space="preserve">The Building Product Specifications is a new document introduced in July 2025. It sets product standards and specifications for building products in relation to manufacture, testing, quality control, physical properties, performance, installation, and maintenance. It cannot be used alone to demonstrate compliance — it is cited within AS and VM documents.</w:t>
      </w:r>
    </w:p>
    <w:p>
      <w:pPr>
        <w:pBdr>
          <w:bottom w:val="single" w:color="4A90C4" w:sz="4" w:space="1"/>
        </w:pBdr>
        <w:spacing w:after="120" w:before="120"/>
      </w:pPr>
    </w:p>
    <w:p>
      <w:pPr>
        <w:pStyle w:val="Heading1"/>
        <w:spacing w:after="120" w:before="360"/>
      </w:pPr>
      <w:r>
        <w:rPr>
          <w:rFonts w:ascii="Arial" w:cs="Arial" w:eastAsia="Arial" w:hAnsi="Arial"/>
          <w:b/>
          <w:bCs/>
          <w:color w:val="1B4F8C"/>
          <w:sz w:val="28"/>
          <w:szCs w:val="28"/>
        </w:rPr>
        <w:t xml:space="preserve">4. Key Referenced Standards</w:t>
      </w:r>
    </w:p>
    <w:p>
      <w:pPr>
        <w:spacing w:after="80" w:before="60"/>
      </w:pPr>
      <w:r>
        <w:rPr>
          <w:rFonts w:ascii="Arial" w:cs="Arial" w:eastAsia="Arial" w:hAnsi="Arial"/>
          <w:sz w:val="20"/>
          <w:szCs w:val="20"/>
        </w:rPr>
        <w:t xml:space="preserve">Over 120 building standards are freely downloadable from Standards New Zealand (funded by MBIE via the Building Levy). Key standards include: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3413"/>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3413"/>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Relevant Clause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NZS 3604:2011</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Timber-framed buildings</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B1 Structure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18"/>
                <w:szCs w:val="18"/>
              </w:rPr>
              <w:t xml:space="preserve">NZS 4218:2009</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Seismic performance of engineering systems</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B1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NZS 3101:2006</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Concrete structures standard</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B1 Structure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18"/>
                <w:szCs w:val="18"/>
              </w:rPr>
              <w:t xml:space="preserve">NZS 3404:1997</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Steel structures standard</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B1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NZS 4512:2021</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Fire detection and alarm systems in buildings</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F7 Warning Systems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18"/>
                <w:szCs w:val="18"/>
              </w:rPr>
              <w:t xml:space="preserve">NZS 4514:2021</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Interconnected smoke alarms for houses</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F7 Warning Systems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NZS 4541:2020</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Automatic fire sprinkler systems</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C3 Spread of Fire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18"/>
                <w:szCs w:val="18"/>
              </w:rPr>
              <w:t xml:space="preserve">NZS 4121:2001</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Design for access and mobility</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D1 Access Routes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NZS 6703</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Interior lighting</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G8 Artificial Light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18"/>
                <w:szCs w:val="18"/>
              </w:rPr>
              <w:t xml:space="preserve">NZS 4218</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Thermal insulation</w:t>
            </w:r>
          </w:p>
        </w:tc>
        <w:tc>
          <w:tcPr>
            <w:tcW w:type="dxa" w:w="3413"/>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H1 Energy Efficiency</w:t>
            </w:r>
          </w:p>
        </w:tc>
      </w:tr>
    </w:tbl>
    <w:p>
      <w:pPr>
        <w:pBdr>
          <w:bottom w:val="single" w:color="4A90C4" w:sz="4" w:space="1"/>
        </w:pBdr>
        <w:spacing w:after="120" w:before="120"/>
      </w:pPr>
    </w:p>
    <w:p>
      <w:pPr>
        <w:pStyle w:val="Heading1"/>
        <w:spacing w:after="120" w:before="360"/>
      </w:pPr>
      <w:r>
        <w:rPr>
          <w:rFonts w:ascii="Arial" w:cs="Arial" w:eastAsia="Arial" w:hAnsi="Arial"/>
          <w:b/>
          <w:bCs/>
          <w:color w:val="1B4F8C"/>
          <w:sz w:val="28"/>
          <w:szCs w:val="28"/>
        </w:rPr>
        <w:t xml:space="preserve">5. Official Sources and Downloads</w:t>
      </w:r>
    </w:p>
    <w:p>
      <w:pPr>
        <w:spacing w:after="80" w:before="60"/>
      </w:pPr>
      <w:r>
        <w:rPr>
          <w:rFonts w:ascii="Arial" w:cs="Arial" w:eastAsia="Arial" w:hAnsi="Arial"/>
          <w:sz w:val="20"/>
          <w:szCs w:val="20"/>
        </w:rPr>
        <w:t xml:space="preserve">All official documents are available from the following sources:</w:t>
      </w:r>
    </w:p>
    <w:p>
      <w:pPr>
        <w:spacing w:after="80" w:before="80"/>
      </w:pPr>
    </w:p>
    <w:p>
      <w:pPr>
        <w:pStyle w:val="ListParagraph"/>
        <w:numPr>
          <w:ilvl w:val="0"/>
          <w:numId w:val="2"/>
        </w:numPr>
        <w:spacing w:after="40" w:before="40"/>
      </w:pPr>
      <w:r>
        <w:rPr>
          <w:rFonts w:ascii="Arial" w:cs="Arial" w:eastAsia="Arial" w:hAnsi="Arial"/>
          <w:sz w:val="20"/>
          <w:szCs w:val="20"/>
        </w:rPr>
        <w:t xml:space="preserve">Building Performance website (MBIE): https://www.building.govt.nz/building-code-compliance/building-code-and-handbooks</w:t>
      </w:r>
    </w:p>
    <w:p>
      <w:pPr>
        <w:pStyle w:val="ListParagraph"/>
        <w:numPr>
          <w:ilvl w:val="0"/>
          <w:numId w:val="2"/>
        </w:numPr>
        <w:spacing w:after="40" w:before="40"/>
      </w:pPr>
      <w:r>
        <w:rPr>
          <w:rFonts w:ascii="Arial" w:cs="Arial" w:eastAsia="Arial" w:hAnsi="Arial"/>
          <w:sz w:val="20"/>
          <w:szCs w:val="20"/>
        </w:rPr>
        <w:t xml:space="preserve">Building Code Handbook (3rd Edition, Amendment 13): https://www.building.govt.nz/assets/Uploads/building-code-compliance/handbooks/building-code-handbook/building-code-handbook-3rd-edition-amendment-13.pdf</w:t>
      </w:r>
    </w:p>
    <w:p>
      <w:pPr>
        <w:pStyle w:val="ListParagraph"/>
        <w:numPr>
          <w:ilvl w:val="0"/>
          <w:numId w:val="2"/>
        </w:numPr>
        <w:spacing w:after="40" w:before="40"/>
      </w:pPr>
      <w:r>
        <w:rPr>
          <w:rFonts w:ascii="Arial" w:cs="Arial" w:eastAsia="Arial" w:hAnsi="Arial"/>
          <w:sz w:val="20"/>
          <w:szCs w:val="20"/>
        </w:rPr>
        <w:t xml:space="preserve">Building Regulations 1992 (Schedule 1 — the Code itself): https://www.legislation.govt.nz/regulation/public/1992/0150/latest/whole.html</w:t>
      </w:r>
    </w:p>
    <w:p>
      <w:pPr>
        <w:pStyle w:val="ListParagraph"/>
        <w:numPr>
          <w:ilvl w:val="0"/>
          <w:numId w:val="2"/>
        </w:numPr>
        <w:spacing w:after="40" w:before="40"/>
      </w:pPr>
      <w:r>
        <w:rPr>
          <w:rFonts w:ascii="Arial" w:cs="Arial" w:eastAsia="Arial" w:hAnsi="Arial"/>
          <w:sz w:val="20"/>
          <w:szCs w:val="20"/>
        </w:rPr>
        <w:t xml:space="preserve">Building CodeHub (all clause documents): https://codehub.building.govt.nz</w:t>
      </w:r>
    </w:p>
    <w:p>
      <w:pPr>
        <w:pStyle w:val="ListParagraph"/>
        <w:numPr>
          <w:ilvl w:val="0"/>
          <w:numId w:val="2"/>
        </w:numPr>
        <w:spacing w:after="40" w:before="40"/>
      </w:pPr>
      <w:r>
        <w:rPr>
          <w:rFonts w:ascii="Arial" w:cs="Arial" w:eastAsia="Arial" w:hAnsi="Arial"/>
          <w:sz w:val="20"/>
          <w:szCs w:val="20"/>
        </w:rPr>
        <w:t xml:space="preserve">Free Building Standards downloads: https://www.standards.govt.nz/get-standards/sponsored-standards/building-related-standards</w:t>
      </w:r>
    </w:p>
    <w:p>
      <w:pPr>
        <w:pStyle w:val="ListParagraph"/>
        <w:numPr>
          <w:ilvl w:val="0"/>
          <w:numId w:val="2"/>
        </w:numPr>
        <w:spacing w:after="40" w:before="40"/>
      </w:pPr>
      <w:r>
        <w:rPr>
          <w:rFonts w:ascii="Arial" w:cs="Arial" w:eastAsia="Arial" w:hAnsi="Arial"/>
          <w:sz w:val="20"/>
          <w:szCs w:val="20"/>
        </w:rPr>
        <w:t xml:space="preserve">2025 Building Code Update: https://www.building.govt.nz/building-code-compliance/annual-building-code-updates/2025-building-code-update</w:t>
      </w:r>
    </w:p>
    <w:p>
      <w:pPr>
        <w:spacing w:after="80" w:before="80"/>
      </w:pPr>
    </w:p>
    <w:p>
      <w:pPr>
        <w:spacing w:after="80" w:before="60"/>
      </w:pPr>
      <w:r>
        <w:rPr>
          <w:rFonts w:ascii="Arial" w:cs="Arial" w:eastAsia="Arial" w:hAnsi="Arial"/>
          <w:i/>
          <w:iCs/>
          <w:color w:val="7F0000"/>
          <w:sz w:val="20"/>
          <w:szCs w:val="20"/>
        </w:rPr>
        <w:t xml:space="preserve">NOTE: The MBIE website uses WAF (bot) protection. Documents must be downloaded manually from the above URLs using a standard web browser.</w:t>
      </w:r>
    </w:p>
    <w:p>
      <w:pPr>
        <w:pBdr>
          <w:bottom w:val="single" w:color="4A90C4" w:sz="4" w:space="1"/>
        </w:pBdr>
        <w:spacing w:after="120" w:before="120"/>
      </w:pPr>
    </w:p>
    <w:p>
      <w:pPr>
        <w:spacing w:after="40" w:before="120"/>
      </w:pPr>
    </w:p>
    <w:p>
      <w:pPr>
        <w:spacing w:after="80" w:before="60"/>
      </w:pPr>
      <w:r>
        <w:rPr>
          <w:rFonts w:ascii="Arial" w:cs="Arial" w:eastAsia="Arial" w:hAnsi="Arial"/>
          <w:i/>
          <w:iCs/>
          <w:color w:val="888888"/>
          <w:sz w:val="16"/>
          <w:szCs w:val="16"/>
        </w:rPr>
        <w:t xml:space="preserve">Document prepared: May 2026  |  Confidence: 90%  |  Reflects 2025 Building Code update (effective 28 July 2025)</w:t>
      </w:r>
    </w:p>
    <w:p>
      <w:pPr>
        <w:spacing w:after="80" w:before="60"/>
      </w:pPr>
      <w:r>
        <w:rPr>
          <w:rFonts w:ascii="Arial" w:cs="Arial" w:eastAsia="Arial" w:hAnsi="Arial"/>
          <w:i/>
          <w:iCs/>
          <w:color w:val="7F0000"/>
          <w:sz w:val="16"/>
          <w:szCs w:val="16"/>
        </w:rPr>
        <w:t xml:space="preserve">Always check building.govt.nz for the most current version of any clause, acceptable solution, or verification method before use in design or compliance work.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C4" w:sz="4" w:space="4"/>
      </w:pBdr>
      <w:tabs>
        <w:tab w:val="right" w:pos="9026"/>
      </w:tabs>
      <w:spacing w:before="80"/>
    </w:pPr>
    <w:r>
      <w:rPr>
        <w:rFonts w:ascii="Arial" w:cs="Arial" w:eastAsia="Arial" w:hAnsi="Arial"/>
        <w:color w:val="666666"/>
        <w:sz w:val="16"/>
        <w:szCs w:val="16"/>
      </w:rPr>
      <w:t xml:space="preserve">Source: www.building.govt.nz  |  Legislation: www.legislation.govt.nz</w:t>
    </w:r>
    <w:r>
      <w:rPr>
        <w:rFonts w:ascii="Arial" w:cs="Arial" w:eastAsia="Arial" w:hAnsi="Arial"/>
        <w:color w:val="666666"/>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C4" w:sz="4" w:space="4"/>
      </w:pBdr>
      <w:spacing w:after="80"/>
    </w:pPr>
    <w:r>
      <w:rPr>
        <w:rFonts w:ascii="Arial" w:cs="Arial" w:eastAsia="Arial" w:hAnsi="Arial"/>
        <w:color w:val="666666"/>
        <w:sz w:val="16"/>
        <w:szCs w:val="16"/>
      </w:rPr>
      <w:t xml:space="preserve">New Zealand Building Code  |  Building Regulations 1992, Schedule 1  |  MBIE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3E50"/>
      <w:sz w:val="24"/>
      <w:szCs w:val="24"/>
    </w:rPr>
  </w:style>
  <w:style w:type="paragraph" w:styleId="Heading3">
    <w:name w:val="Heading 3"/>
    <w:basedOn w:val="Normal"/>
    <w:next w:val="Normal"/>
    <w:qFormat/>
    <w:pPr>
      <w:spacing w:after="60" w:before="18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2026-05-09T12:51:54.471Z</dcterms:created>
  <dcterms:modified xsi:type="dcterms:W3CDTF">2026-05-09T12:51:54.472Z</dcterms:modified>
</cp:coreProperties>
</file>

<file path=docProps/custom.xml><?xml version="1.0" encoding="utf-8"?>
<Properties xmlns="http://schemas.openxmlformats.org/officeDocument/2006/custom-properties" xmlns:vt="http://schemas.openxmlformats.org/officeDocument/2006/docPropsVTypes"/>
</file>