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DENTAVIA CLÍNICAS DENTALES</w:t>
      </w:r>
    </w:p>
    <w:p>
      <w:pPr>
        <w:spacing w:after="400"/>
        <w:jc w:val="center"/>
      </w:pPr>
      <w:r>
        <w:rPr>
          <w:color w:val="555555"/>
          <w:sz w:val="22"/>
          <w:szCs w:val="22"/>
        </w:rPr>
        <w:t xml:space="preserve">Chamberí · Salamanca · Retiro</w:t>
      </w:r>
    </w:p>
    <w:p>
      <w:pPr>
        <w:pStyle w:val="Title"/>
        <w:spacing w:after="200"/>
        <w:jc w:val="center"/>
      </w:pPr>
      <w:r>
        <w:t xml:space="preserve">CLI-13 · Instrucciones Clínicas de Residuos</w:t>
      </w:r>
    </w:p>
    <w:p>
      <w:pPr>
        <w:spacing w:after="500"/>
        <w:jc w:val="center"/>
      </w:pPr>
      <w:r>
        <w:rPr>
          <w:i/>
          <w:iCs/>
          <w:sz w:val="22"/>
          <w:szCs w:val="22"/>
        </w:rPr>
        <w:t xml:space="preserve">Guía práctica para el personal de gabinete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color="auto" w:val="clear"/>
          </w:tcPr>
          <w:p>
            <w:r>
              <w:rPr>
                <w:b/>
                <w:bCs/>
              </w:rPr>
              <w:t xml:space="preserve">Código del documento</w:t>
            </w:r>
          </w:p>
        </w:tc>
        <w:tc>
          <w:tcPr>
            <w:tcW w:type="dxa" w:w="6000"/>
          </w:tcPr>
          <w:p>
            <w:r>
              <w:rPr>
                <w:b w:val="false"/>
                <w:bCs w:val="false"/>
              </w:rPr>
              <w:t xml:space="preserve">CLI-13</w:t>
            </w:r>
          </w:p>
        </w:tc>
      </w:tr>
      <w:tr>
        <w:tc>
          <w:tcPr>
            <w:tcW w:type="dxa" w:w="3000"/>
            <w:shd w:fill="D9D9D9" w:color="auto" w:val="clear"/>
          </w:tcPr>
          <w:p>
            <w:r>
              <w:rPr>
                <w:b/>
                <w:bCs/>
              </w:rPr>
              <w:t xml:space="preserve">Versión</w:t>
            </w:r>
          </w:p>
        </w:tc>
        <w:tc>
          <w:tcPr>
            <w:tcW w:type="dxa" w:w="6000"/>
          </w:tcPr>
          <w:p>
            <w:r>
              <w:rPr>
                <w:b w:val="false"/>
                <w:bCs w:val="false"/>
              </w:rPr>
              <w:t xml:space="preserve">1.1</w:t>
            </w:r>
          </w:p>
        </w:tc>
      </w:tr>
      <w:tr>
        <w:tc>
          <w:tcPr>
            <w:tcW w:type="dxa" w:w="3000"/>
            <w:shd w:fill="D9D9D9" w:color="auto" w:val="clear"/>
          </w:tcPr>
          <w:p>
            <w:r>
              <w:rPr>
                <w:b/>
                <w:bCs/>
              </w:rPr>
              <w:t xml:space="preserve">Fecha de última revisión</w:t>
            </w:r>
          </w:p>
        </w:tc>
        <w:tc>
          <w:tcPr>
            <w:tcW w:type="dxa" w:w="6000"/>
          </w:tcPr>
          <w:p>
            <w:r>
              <w:rPr>
                <w:b w:val="false"/>
                <w:bCs w:val="false"/>
              </w:rPr>
              <w:t xml:space="preserve">16 de febrero de 2026</w:t>
            </w:r>
          </w:p>
        </w:tc>
      </w:tr>
      <w:tr>
        <w:tc>
          <w:tcPr>
            <w:tcW w:type="dxa" w:w="3000"/>
            <w:shd w:fill="D9D9D9" w:color="auto" w:val="clear"/>
          </w:tcPr>
          <w:p>
            <w:r>
              <w:rPr>
                <w:b/>
                <w:bCs/>
              </w:rPr>
              <w:t xml:space="preserve">Departamento emisor</w:t>
            </w:r>
          </w:p>
        </w:tc>
        <w:tc>
          <w:tcPr>
            <w:tcW w:type="dxa" w:w="6000"/>
          </w:tcPr>
          <w:p>
            <w:r>
              <w:rPr>
                <w:b w:val="false"/>
                <w:bCs w:val="false"/>
              </w:rPr>
              <w:t xml:space="preserve">Coordinación de Calidad</w:t>
            </w:r>
          </w:p>
        </w:tc>
      </w:tr>
      <w:tr>
        <w:tc>
          <w:tcPr>
            <w:tcW w:type="dxa" w:w="3000"/>
            <w:shd w:fill="D9D9D9" w:color="auto" w:val="clear"/>
          </w:tcPr>
          <w:p>
            <w:r>
              <w:rPr>
                <w:b/>
                <w:bCs/>
              </w:rPr>
              <w:t xml:space="preserve">Dirigido a</w:t>
            </w:r>
          </w:p>
        </w:tc>
        <w:tc>
          <w:tcPr>
            <w:tcW w:type="dxa" w:w="6000"/>
          </w:tcPr>
          <w:p>
            <w:r>
              <w:rPr>
                <w:b w:val="false"/>
                <w:bCs w:val="false"/>
              </w:rPr>
              <w:t xml:space="preserve">Personal clínico y auxiliar de gabinete</w:t>
            </w:r>
          </w:p>
        </w:tc>
      </w:tr>
    </w:tbl>
    <w:p>
      <w:pPr>
        <w:spacing w:after="160"/>
      </w:pPr>
      <w:r>
        <w:t xml:space="preserve"/>
      </w:r>
    </w:p>
    <w:p>
      <w:pPr>
        <w:pStyle w:val="Heading1"/>
        <w:spacing w:after="180" w:before="300"/>
      </w:pPr>
      <w:r>
        <w:t xml:space="preserve">1. Objeto</w:t>
      </w:r>
    </w:p>
    <w:p>
      <w:pPr>
        <w:spacing w:after="160"/>
      </w:pPr>
      <w:r>
        <w:t xml:space="preserve">Esta guía traduce a instrucciones prácticas del día a día lo establecido en el protocolo NOR-11 de gestión de residuos sanitarios, para el personal que trabaja directamente en el gabinete clínico. No sustituye a NOR-11: ante cualquier duda no resuelta aquí, es ese protocolo el que se consulta en primer lugar.</w:t>
      </w:r>
    </w:p>
    <w:p>
      <w:pPr>
        <w:spacing w:after="160"/>
      </w:pPr>
      <w:r>
        <w:t xml:space="preserve">Está pensada para leerse de forma rápida durante la incorporación de una persona nueva al equipo, y para consultarse puntualmente cuando surge una duda concreta durante la jornada.</w:t>
      </w:r>
    </w:p>
    <w:p>
      <w:pPr>
        <w:spacing w:after="160"/>
      </w:pPr>
      <w:r>
        <w:t xml:space="preserve">Aplica por igual en las tres clínicas de la red. Si cambias de centro de forma temporal o definitiva, las instrucciones de esta guía siguen siendo las mismas: no hay variaciones locales de un centro a otro en lo relativo a residuos.</w:t>
      </w:r>
    </w:p>
    <w:p>
      <w:pPr>
        <w:pStyle w:val="Heading1"/>
        <w:spacing w:after="180" w:before="300"/>
      </w:pPr>
      <w:r>
        <w:t xml:space="preserve">2. Regla general de retirada</w:t>
      </w:r>
    </w:p>
    <w:p>
      <w:pPr>
        <w:spacing w:after="160"/>
      </w:pPr>
      <w:r>
        <w:t xml:space="preserve">Regla que hay que tener siempre presente: ningún contenedor de residuos del grupo III debe permanecer en el almacén intermedio más de 7 días naturales desde que se cierra, aunque esté lleno antes de ese plazo. Si un contenedor lleva más de una semana en el almacén, hay que avisar al Coordinador de Calidad ese mismo día, no esperar a la siguiente revisión.</w:t>
      </w:r>
    </w:p>
    <w:p>
      <w:pPr>
        <w:spacing w:after="160"/>
      </w:pPr>
      <w:r>
        <w:t xml:space="preserve">No hace falta memorizar fórmulas: basta con mirar la fecha escrita en la etiqueta del contenedor al colocarlo en el almacén y comparar con la fecha de hoy. Si han pasado más de 7 días, algo ha fallado en el circuito de retirada y hay que reportarlo.</w:t>
      </w:r>
    </w:p>
    <w:p>
      <w:pPr>
        <w:spacing w:after="160"/>
      </w:pPr>
      <w:r>
        <w:t xml:space="preserve">Esta regla se aplica exactamente igual con independencia de si el contenedor está lleno hasta el borde o solo a la mitad: lo que cuenta es la fecha de cierre, no el volumen de contenido.</w:t>
      </w:r>
    </w:p>
    <w:p>
      <w:pPr>
        <w:pStyle w:val="Heading1"/>
        <w:spacing w:after="180" w:before="300"/>
      </w:pPr>
      <w:r>
        <w:t xml:space="preserve">3. Colores principales de contenedores</w:t>
      </w:r>
    </w:p>
    <w:p>
      <w:pPr>
        <w:spacing w:after="160"/>
      </w:pPr>
      <w:r>
        <w:t xml:space="preserve">Cada gabinete tiene sus propios contenedores. Antes de tirar cualquier cosa, comprueba que va en el color correcto: un error aquí no es solo una cuestión de orden, es una cuestión de seguridad para ti y para tus compañeros.</w:t>
      </w:r>
    </w:p>
    <w:p>
      <w:pPr>
        <w:pStyle w:val="Heading2"/>
        <w:spacing w:after="140" w:before="220"/>
      </w:pPr>
      <w:r>
        <w:t xml:space="preserve">3.1. Bolsa verde</w:t>
      </w:r>
    </w:p>
    <w:p>
      <w:pPr>
        <w:spacing w:after="160"/>
      </w:pPr>
      <w:r>
        <w:t xml:space="preserve">Para residuos sanitarios sin riesgo especial: gasas y guantes que no han tocado sangre ni fluidos de un paciente, envoltorios de material estéril ya usado. Si tienes dudas de si algo ha tenido contacto con sangre, no lo pongas aquí: trátalo como se explica en el apartado 8.</w:t>
      </w:r>
    </w:p>
    <w:p>
      <w:pPr>
        <w:pStyle w:val="Heading2"/>
        <w:spacing w:after="140" w:before="220"/>
      </w:pPr>
      <w:r>
        <w:t xml:space="preserve">3.2. Contenedor rígido amarillo (punzocortantes)</w:t>
      </w:r>
    </w:p>
    <w:p>
      <w:pPr>
        <w:spacing w:after="160"/>
      </w:pPr>
      <w:r>
        <w:t xml:space="preserve">Agujas, hojas de bisturí y fresas desechadas van siempre al contenedor rígido amarillo de cada gabinete, nunca a una bolsa. Nunca reencapuches una aguja usada antes de desecharla: se deposita directamente, con la mano lo más lejos posible de la punta.</w:t>
      </w:r>
    </w:p>
    <w:p>
      <w:pPr>
        <w:pStyle w:val="Heading2"/>
        <w:spacing w:after="140" w:before="220"/>
      </w:pPr>
      <w:r>
        <w:t xml:space="preserve">3.3. Contenedor azul (citotóxicos)</w:t>
      </w:r>
    </w:p>
    <w:p>
      <w:pPr>
        <w:spacing w:after="160"/>
      </w:pPr>
      <w:r>
        <w:t xml:space="preserve">De uso muy poco frecuente en el día a día. Si trabajas con algún medicamento citotóxico, su residuo va al contenedor azul del armario de medicación restringida, nunca al resto de contenedores del gabinete.</w:t>
      </w:r>
    </w:p>
    <w:p>
      <w:pPr>
        <w:pStyle w:val="Heading2"/>
        <w:spacing w:after="140" w:before="220"/>
      </w:pPr>
      <w:r>
        <w:t xml:space="preserve">3.4. Contenedor de zona común</w:t>
      </w:r>
    </w:p>
    <w:p>
      <w:pPr>
        <w:spacing w:after="160"/>
      </w:pPr>
      <w:r>
        <w:t xml:space="preserve">Papel, cartón y envases sin contaminar no van a ningún contenedor específico del gabinete: se llevan al contenedor de basura convencional de la zona común del centro, igual que en cualquier oficina.</w:t>
      </w:r>
    </w:p>
    <w:p>
      <w:pPr>
        <w:pStyle w:val="Heading2"/>
        <w:spacing w:after="140" w:before="220"/>
      </w:pPr>
      <w:r>
        <w:t xml:space="preserve">3.5. Si tienes dudas</w:t>
      </w:r>
    </w:p>
    <w:p>
      <w:pPr>
        <w:spacing w:after="160"/>
      </w:pPr>
      <w:r>
        <w:t xml:space="preserve">Ante cualquier duda sobre en qué contenedor va un residuo concreto, pregunta antes de tirarlo. Es mucho más rápido resolver la duda en el momento que corregir después un error de clasificación, que puede obligar a tratar todo un contenedor como si fuera del grupo de mayor riesgo.</w:t>
      </w:r>
    </w:p>
    <w:p>
      <w:pPr>
        <w:spacing w:after="160"/>
      </w:pPr>
      <w:r>
        <w:t xml:space="preserve">No hay ninguna pregunta "demasiado básica" sobre esto: es preferible interrumpir un momento al compañero de al lado que arriesgarse a clasificar mal un residuo de riesgo.</w:t>
      </w:r>
    </w:p>
    <w:p>
      <w:pPr>
        <w:pStyle w:val="Heading1"/>
        <w:spacing w:after="180" w:before="300"/>
      </w:pPr>
      <w:r>
        <w:t xml:space="preserve">4. Qué no hacer</w:t>
      </w:r>
    </w:p>
    <w:p>
      <w:pPr>
        <w:pStyle w:val="ListParagraph"/>
        <w:numPr>
          <w:ilvl w:val="0"/>
          <w:numId w:val="1"/>
        </w:numPr>
        <w:spacing w:after="90"/>
      </w:pPr>
      <w:r>
        <w:t xml:space="preserve">No compactes con la mano el contenido de ningún contenedor para que quepa más material.</w:t>
      </w:r>
    </w:p>
    <w:p>
      <w:pPr>
        <w:pStyle w:val="ListParagraph"/>
        <w:numPr>
          <w:ilvl w:val="0"/>
          <w:numId w:val="1"/>
        </w:numPr>
        <w:spacing w:after="90"/>
      </w:pPr>
      <w:r>
        <w:t xml:space="preserve">No reutilices una bolsa que se ha caído al suelo aunque no se haya roto.</w:t>
      </w:r>
    </w:p>
    <w:p>
      <w:pPr>
        <w:pStyle w:val="ListParagraph"/>
        <w:numPr>
          <w:ilvl w:val="0"/>
          <w:numId w:val="1"/>
        </w:numPr>
        <w:spacing w:after="90"/>
      </w:pPr>
      <w:r>
        <w:t xml:space="preserve">No dejes un contenedor abierto sin vigilancia si tienes que salir del gabinete.</w:t>
      </w:r>
    </w:p>
    <w:p>
      <w:pPr>
        <w:pStyle w:val="ListParagraph"/>
        <w:numPr>
          <w:ilvl w:val="0"/>
          <w:numId w:val="1"/>
        </w:numPr>
        <w:spacing w:after="90"/>
      </w:pPr>
      <w:r>
        <w:t xml:space="preserve">No mezcles residuos de distinto tipo en un mismo contenedor para ahorrar espacio.</w:t>
      </w:r>
    </w:p>
    <w:p>
      <w:pPr>
        <w:pStyle w:val="ListParagraph"/>
        <w:numPr>
          <w:ilvl w:val="0"/>
          <w:numId w:val="1"/>
        </w:numPr>
        <w:spacing w:after="90"/>
      </w:pPr>
      <w:r>
        <w:t xml:space="preserve">No traslades tú mismo un contenedor lleno fuera del horario habitual sin avisar al personal auxiliar de turno.</w:t>
      </w:r>
    </w:p>
    <w:p>
      <w:pPr>
        <w:pStyle w:val="ListParagraph"/>
        <w:numPr>
          <w:ilvl w:val="0"/>
          <w:numId w:val="1"/>
        </w:numPr>
        <w:spacing w:after="90"/>
      </w:pPr>
      <w:r>
        <w:t xml:space="preserve">No dejes un contenedor de grupo III o IV en el pasillo mientras terminas otra tarea, aunque sea solo un momento.</w:t>
      </w:r>
    </w:p>
    <w:p>
      <w:pPr>
        <w:pStyle w:val="ListParagraph"/>
        <w:numPr>
          <w:ilvl w:val="0"/>
          <w:numId w:val="1"/>
        </w:numPr>
        <w:spacing w:after="90"/>
      </w:pPr>
      <w:r>
        <w:t xml:space="preserve">No uses un contenedor de un grupo para residuos de otro grupo aunque tengas prisa entre un paciente y el siguiente.</w:t>
      </w:r>
    </w:p>
    <w:p>
      <w:pPr>
        <w:spacing w:after="160"/>
      </w:pPr>
      <w:r>
        <w:t xml:space="preserve">Cualquiera de estos errores, aunque parezca menor, se comunica al Coordinador de Calidad para que quede registrado y se pueda corregir en la siguiente formación del equipo.</w:t>
      </w:r>
    </w:p>
    <w:p>
      <w:pPr>
        <w:spacing w:after="160"/>
      </w:pPr>
      <w:r>
        <w:t xml:space="preserve">No se trata de buscar culpables: la formación anual descrita en NOR-11 existe precisamente para que estos errores se detecten y se corrijan antes de que se conviertan en costumbre.</w:t>
      </w:r>
    </w:p>
    <w:p>
      <w:pPr>
        <w:pStyle w:val="Heading1"/>
        <w:spacing w:after="180" w:before="300"/>
      </w:pPr>
      <w:r>
        <w:t xml:space="preserve">5. Dónde se retiran los residuos</w:t>
      </w:r>
    </w:p>
    <w:p>
      <w:pPr>
        <w:spacing w:after="160"/>
      </w:pPr>
      <w:r>
        <w:t xml:space="preserve">El punto de retirada centralizado para las tres clínicas de la red se encuentra en la clínica de Retiro, que es el centro de referencia logística de residuos sanitarios de Dentavia. Si trabajas en Chamberí o Salamanca y tienes dudas sobre una recogida, el interlocutor es siempre el personal de Retiro, no el de tu propia clínica.</w:t>
      </w:r>
    </w:p>
    <w:p>
      <w:pPr>
        <w:spacing w:after="160"/>
      </w:pPr>
      <w:r>
        <w:t xml:space="preserve">Esto no cambia nada en tu día a día en el gabinete: tú solo te encargas de que el contenedor llegue correctamente cerrado y etiquetado al almacén intermedio de tu propia clínica. El resto de la logística la gestiona el personal auxiliar responsable del almacén.</w:t>
      </w:r>
    </w:p>
    <w:p>
      <w:pPr>
        <w:spacing w:after="160"/>
      </w:pPr>
      <w:r>
        <w:t xml:space="preserve">Si alguna vez tienes que hacer una consulta directa sobre una recogida concreta (por ejemplo, si el transporte se retrasa), el número de contacto del gestor autorizado está disponible en el propio almacén intermedio de tu clínica, junto al calendario de retiradas.</w:t>
      </w:r>
    </w:p>
    <w:p>
      <w:pPr>
        <w:pStyle w:val="Heading1"/>
        <w:spacing w:after="180" w:before="300"/>
      </w:pPr>
      <w:r>
        <w:t xml:space="preserve">6. Rutina diaria del gabinete</w:t>
      </w:r>
    </w:p>
    <w:p>
      <w:pPr>
        <w:spacing w:after="160"/>
      </w:pPr>
      <w:r>
        <w:t xml:space="preserve">Al empezar la jornada, comprueba que cada contenedor de tu gabinete tiene sitio suficiente para el día y que ninguno está ya a punto de llenarse desde el día anterior.</w:t>
      </w:r>
    </w:p>
    <w:p>
      <w:pPr>
        <w:spacing w:after="160"/>
      </w:pPr>
      <w:r>
        <w:t xml:space="preserve">Al terminar cada tratamiento, separa inmediatamente los residuos generados según el color que corresponda, antes de pasar al siguiente paciente. No dejes residuos sin clasificar acumulados sobre la bandeja de trabajo.</w:t>
      </w:r>
    </w:p>
    <w:p>
      <w:pPr>
        <w:spacing w:after="160"/>
      </w:pPr>
      <w:r>
        <w:t xml:space="preserve">Al final de la jornada, si algún contenedor está a las tres cuartas partes de su capacidad, ciérralo y avisa al personal auxiliar para que lo traslade al almacén intermedio antes del día siguiente.</w:t>
      </w:r>
    </w:p>
    <w:p>
      <w:pPr>
        <w:spacing w:after="160"/>
      </w:pPr>
      <w:r>
        <w:t xml:space="preserve">Antes de salir, echa un vistazo rápido a que todos los contenedores del gabinete están bien cerrados y en su sitio habitual, y que no queda ningún residuo sin clasificar sobre las superficies de trabajo.</w:t>
      </w:r>
    </w:p>
    <w:p>
      <w:pPr>
        <w:pStyle w:val="Heading2"/>
        <w:spacing w:after="140" w:before="220"/>
      </w:pPr>
      <w:r>
        <w:t xml:space="preserve">6.1. Cambios de turno</w:t>
      </w:r>
    </w:p>
    <w:p>
      <w:pPr>
        <w:spacing w:after="160"/>
      </w:pPr>
      <w:r>
        <w:t xml:space="preserve">Si terminas tu turno y algún contenedor está cerca de llenarse pero todavía no ha llegado a las tres cuartas partes, coméntaselo a la persona que entra en el siguiente turno, para que lo tenga controlado y no se le pase el momento de cerrarlo.</w:t>
      </w:r>
    </w:p>
    <w:p>
      <w:pPr>
        <w:pStyle w:val="Heading1"/>
        <w:spacing w:after="180" w:before="300"/>
      </w:pPr>
      <w:r>
        <w:t xml:space="preserve">7. Actuación ante derrames o incidencias</w:t>
      </w:r>
    </w:p>
    <w:p>
      <w:pPr>
        <w:spacing w:after="160"/>
      </w:pPr>
      <w:r>
        <w:t xml:space="preserve">Si se derrama contenido de un contenedor de riesgo: no lo toques con las manos ni con guantes normales de exploración. Ponte primero bata, guantes largos y protección ocular. Después usa el kit de derrames de tu gabinete para recogerlo.</w:t>
      </w:r>
    </w:p>
    <w:p>
      <w:pPr>
        <w:spacing w:after="160"/>
      </w:pPr>
      <w:r>
        <w:t xml:space="preserve">Todo lo que uses para recoger el derrame (guantes, material absorbente, el propio kit) se convierte en residuo del mismo tipo que lo derramado y sigue su mismo circuito, no se puede tirar aparte.</w:t>
      </w:r>
    </w:p>
    <w:p>
      <w:pPr>
        <w:spacing w:after="160"/>
      </w:pPr>
      <w:r>
        <w:t xml:space="preserve">Avisa siempre a tu responsable de turno, aunque el derrame te parezca pequeño. Se anota en el parte de incidencias de la clínica el mismo día.</w:t>
      </w:r>
    </w:p>
    <w:p>
      <w:pPr>
        <w:spacing w:after="160"/>
      </w:pPr>
      <w:r>
        <w:t xml:space="preserve">Si el derrame ha tocado alguna superficie de trabajo, desinféctala siguiendo el protocolo habitual de limpieza de superficies antes de volver a usarla con un paciente. No la uses hasta que esté completamente seca tras la desinfección.</w:t>
      </w:r>
    </w:p>
    <w:p>
      <w:pPr>
        <w:pStyle w:val="Heading2"/>
        <w:spacing w:after="140" w:before="220"/>
      </w:pPr>
      <w:r>
        <w:t xml:space="preserve">7.1. Si te pinchas o cortas con material contaminado</w:t>
      </w:r>
    </w:p>
    <w:p>
      <w:pPr>
        <w:spacing w:after="160"/>
      </w:pPr>
      <w:r>
        <w:t xml:space="preserve">Si sufres un pinchazo o corte con instrumental que ha estado en contacto con un paciente, deja sangrar la herida unos segundos bajo agua corriente, lávala con agua y jabón, y acude de inmediato a tu responsable de turno para activar el protocolo de exposición accidental, independiente de este documento pero que debes conocer igualmente.</w:t>
      </w:r>
    </w:p>
    <w:p>
      <w:pPr>
        <w:pStyle w:val="Heading1"/>
        <w:spacing w:after="180" w:before="300"/>
      </w:pPr>
      <w:r>
        <w:t xml:space="preserve">8. Chuleta rápida de contenedores</w:t>
      </w:r>
    </w:p>
    <w:p>
      <w:pPr>
        <w:spacing w:after="160"/>
      </w:pPr>
      <w:r>
        <w:t xml:space="preserve">Resumen para consulta rápida durante la jornada, con lo esencial que necesitas recordar sin tener que abrir NOR-11 cada vez:</w:t>
      </w:r>
    </w:p>
    <w:p>
      <w:pPr>
        <w:pStyle w:val="ListParagraph"/>
        <w:numPr>
          <w:ilvl w:val="0"/>
          <w:numId w:val="1"/>
        </w:numPr>
        <w:spacing w:after="90"/>
      </w:pPr>
      <w:r>
        <w:t xml:space="preserve">Papel, cartón, envases sin contaminar → contenedor de basura normal de la zona común.</w:t>
      </w:r>
    </w:p>
    <w:p>
      <w:pPr>
        <w:pStyle w:val="ListParagraph"/>
        <w:numPr>
          <w:ilvl w:val="0"/>
          <w:numId w:val="1"/>
        </w:numPr>
        <w:spacing w:after="90"/>
      </w:pPr>
      <w:r>
        <w:t xml:space="preserve">Gasas y guantes sin contacto con sangre → bolsa verde.</w:t>
      </w:r>
    </w:p>
    <w:p>
      <w:pPr>
        <w:pStyle w:val="ListParagraph"/>
        <w:numPr>
          <w:ilvl w:val="0"/>
          <w:numId w:val="1"/>
        </w:numPr>
        <w:spacing w:after="90"/>
      </w:pPr>
      <w:r>
        <w:t xml:space="preserve">Agujas, bisturís y fresas usadas → contenedor rígido amarillo, siempre, sin excepción.</w:t>
      </w:r>
    </w:p>
    <w:p>
      <w:pPr>
        <w:pStyle w:val="ListParagraph"/>
        <w:numPr>
          <w:ilvl w:val="0"/>
          <w:numId w:val="1"/>
        </w:numPr>
        <w:spacing w:after="90"/>
      </w:pPr>
      <w:r>
        <w:t xml:space="preserve">Residuos de medicamentos citotóxicos → contenedor azul del armario de medicación restringida.</w:t>
      </w:r>
    </w:p>
    <w:p>
      <w:pPr>
        <w:spacing w:after="160"/>
      </w:pPr>
      <w:r>
        <w:t xml:space="preserve">Los residuos del grupo III (gasas, guantes y material de un solo uso que ha estado en contacto con sangre o fluidos de un paciente) se depositan en el contenedor negro habilitado en cada gabinete. Es el que más dudas genera al personal nuevo, así que si no lo tienes claro, pregunta antes de tirar nada.</w:t>
      </w:r>
    </w:p>
    <w:p>
      <w:pPr>
        <w:spacing w:after="160"/>
      </w:pPr>
      <w:r>
        <w:t xml:space="preserve">Guarda esta página a mano las primeras semanas: en poco tiempo se convierte en automático.</w:t>
      </w:r>
    </w:p>
    <w:p>
      <w:pPr>
        <w:pStyle w:val="Heading1"/>
        <w:spacing w:after="180" w:before="300"/>
      </w:pPr>
      <w:r>
        <w:t xml:space="preserve">9. Contacto y dudas</w:t>
      </w:r>
    </w:p>
    <w:p>
      <w:pPr>
        <w:spacing w:after="160"/>
      </w:pPr>
      <w:r>
        <w:t xml:space="preserve">Si después de leer esta guía te queda alguna duda, o si en tu día a día te encuentras con una situación que no está clara con lo aquí explicado, coméntalo con el Coordinador de Calidad de tu clínica. Es preferible preguntar una vez de más que dar por hecho un criterio equivocado.</w:t>
      </w:r>
    </w:p>
    <w:p>
      <w:pPr>
        <w:spacing w:after="160"/>
      </w:pPr>
      <w:r>
        <w:t xml:space="preserve">Esta guía se revisa junto con el resto de documentación de calidad de la clínica, así que cualquier sugerencia de mejora basada en tu experiencia diaria en el gabinete es bienvenida y se traslada al proceso de revisión correspondiente.</w:t>
      </w:r>
    </w:p>
    <w:p>
      <w:pPr>
        <w:spacing w:after="160"/>
      </w:pPr>
      <w:r>
        <w:t xml:space="preserve">Con el tiempo, lo aquí explicado se convierte en rutina. Hasta entonces, no dudes en volver a consultar esta guía tantas veces como lo necesites.</w:t>
      </w:r>
    </w:p>
    <w:p>
      <w:pPr>
        <w:spacing w:after="160"/>
      </w:pPr>
      <w:r>
        <w:t xml:space="preserve">Fin del documento CLI-13 · Instrucciones Clínicas de Residuos · Dentavia Clínicas Dentales.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2026-08-27T11:29:42.780Z</dcterms:created>
  <dcterms:modified xsi:type="dcterms:W3CDTF">2026-08-27T11:29:42.780Z</dcterms:modified>
</cp:coreProperties>
</file>

<file path=docProps/custom.xml><?xml version="1.0" encoding="utf-8"?>
<Properties xmlns="http://schemas.openxmlformats.org/officeDocument/2006/custom-properties" xmlns:vt="http://schemas.openxmlformats.org/officeDocument/2006/docPropsVTypes"/>
</file>