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8"/>
          <w:szCs w:val="28"/>
        </w:rPr>
        <w:t xml:space="preserve">DENTAVIA CLÍNICAS DENTALES</w:t>
      </w:r>
    </w:p>
    <w:p>
      <w:pPr>
        <w:spacing w:after="400"/>
        <w:jc w:val="center"/>
      </w:pPr>
      <w:r>
        <w:rPr>
          <w:color w:val="555555"/>
          <w:sz w:val="22"/>
          <w:szCs w:val="22"/>
        </w:rPr>
        <w:t xml:space="preserve">Chamberí · Salamanca · Retiro</w:t>
      </w:r>
    </w:p>
    <w:p>
      <w:pPr>
        <w:pStyle w:val="Title"/>
        <w:spacing w:after="200"/>
        <w:jc w:val="center"/>
      </w:pPr>
      <w:r>
        <w:t xml:space="preserve">NOR-11 · Gestión de Residuos Sanitarios</w:t>
      </w:r>
    </w:p>
    <w:p>
      <w:pPr>
        <w:spacing w:after="500"/>
        <w:jc w:val="center"/>
      </w:pPr>
      <w:r>
        <w:rPr>
          <w:i/>
          <w:iCs/>
          <w:sz w:val="22"/>
          <w:szCs w:val="22"/>
        </w:rPr>
        <w:t xml:space="preserve">Normativa Interna · Área Clínica y Calidad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D9D9" w:color="auto" w:val="clear"/>
          </w:tcPr>
          <w:p>
            <w:r>
              <w:rPr>
                <w:b/>
                <w:bCs/>
              </w:rPr>
              <w:t xml:space="preserve">Código del documento</w:t>
            </w:r>
          </w:p>
        </w:tc>
        <w:tc>
          <w:tcPr>
            <w:tcW w:type="dxa" w:w="6000"/>
          </w:tcPr>
          <w:p>
            <w:r>
              <w:rPr>
                <w:b w:val="false"/>
                <w:bCs w:val="false"/>
              </w:rPr>
              <w:t xml:space="preserve">NOR-11</w:t>
            </w:r>
          </w:p>
        </w:tc>
      </w:tr>
      <w:tr>
        <w:tc>
          <w:tcPr>
            <w:tcW w:type="dxa" w:w="3000"/>
            <w:shd w:fill="D9D9D9" w:color="auto" w:val="clear"/>
          </w:tcPr>
          <w:p>
            <w:r>
              <w:rPr>
                <w:b/>
                <w:bCs/>
              </w:rPr>
              <w:t xml:space="preserve">Versión</w:t>
            </w:r>
          </w:p>
        </w:tc>
        <w:tc>
          <w:tcPr>
            <w:tcW w:type="dxa" w:w="6000"/>
          </w:tcPr>
          <w:p>
            <w:r>
              <w:rPr>
                <w:b w:val="false"/>
                <w:bCs w:val="false"/>
              </w:rPr>
              <w:t xml:space="preserve">1.3</w:t>
            </w:r>
          </w:p>
        </w:tc>
      </w:tr>
      <w:tr>
        <w:tc>
          <w:tcPr>
            <w:tcW w:type="dxa" w:w="3000"/>
            <w:shd w:fill="D9D9D9" w:color="auto" w:val="clear"/>
          </w:tcPr>
          <w:p>
            <w:r>
              <w:rPr>
                <w:b/>
                <w:bCs/>
              </w:rPr>
              <w:t xml:space="preserve">Fecha de última revisión</w:t>
            </w:r>
          </w:p>
        </w:tc>
        <w:tc>
          <w:tcPr>
            <w:tcW w:type="dxa" w:w="6000"/>
          </w:tcPr>
          <w:p>
            <w:r>
              <w:rPr>
                <w:b w:val="false"/>
                <w:bCs w:val="false"/>
              </w:rPr>
              <w:t xml:space="preserve">9 de febrero de 2026</w:t>
            </w:r>
          </w:p>
        </w:tc>
      </w:tr>
      <w:tr>
        <w:tc>
          <w:tcPr>
            <w:tcW w:type="dxa" w:w="3000"/>
            <w:shd w:fill="D9D9D9" w:color="auto" w:val="clear"/>
          </w:tcPr>
          <w:p>
            <w:r>
              <w:rPr>
                <w:b/>
                <w:bCs/>
              </w:rPr>
              <w:t xml:space="preserve">Departamento emisor</w:t>
            </w:r>
          </w:p>
        </w:tc>
        <w:tc>
          <w:tcPr>
            <w:tcW w:type="dxa" w:w="6000"/>
          </w:tcPr>
          <w:p>
            <w:r>
              <w:rPr>
                <w:b w:val="false"/>
                <w:bCs w:val="false"/>
              </w:rPr>
              <w:t xml:space="preserve">Dirección de Operaciones · Área Clínica</w:t>
            </w:r>
          </w:p>
        </w:tc>
      </w:tr>
      <w:tr>
        <w:tc>
          <w:tcPr>
            <w:tcW w:type="dxa" w:w="3000"/>
            <w:shd w:fill="D9D9D9" w:color="auto" w:val="clear"/>
          </w:tcPr>
          <w:p>
            <w:r>
              <w:rPr>
                <w:b/>
                <w:bCs/>
              </w:rPr>
              <w:t xml:space="preserve">Ámbito de aplicación</w:t>
            </w:r>
          </w:p>
        </w:tc>
        <w:tc>
          <w:tcPr>
            <w:tcW w:type="dxa" w:w="6000"/>
          </w:tcPr>
          <w:p>
            <w:r>
              <w:rPr>
                <w:b w:val="false"/>
                <w:bCs w:val="false"/>
              </w:rPr>
              <w:t xml:space="preserve">Clínicas Dentavia Chamberí, Salamanca y Retiro</w:t>
            </w:r>
          </w:p>
        </w:tc>
      </w:tr>
    </w:tbl>
    <w:p>
      <w:pPr>
        <w:spacing w:after="160"/>
      </w:pPr>
      <w:r>
        <w:t xml:space="preserve"/>
      </w:r>
    </w:p>
    <w:p>
      <w:pPr>
        <w:pStyle w:val="Heading1"/>
        <w:spacing w:after="180" w:before="300"/>
      </w:pPr>
      <w:r>
        <w:t xml:space="preserve">1. Objeto y alcance</w:t>
      </w:r>
    </w:p>
    <w:p>
      <w:pPr>
        <w:spacing w:after="160"/>
      </w:pPr>
      <w:r>
        <w:t xml:space="preserve">Este protocolo establece el procedimiento normalizado para la clasificación, envasado, almacenamiento intermedio, retirada y documentación de los residuos sanitarios generados en la actividad clínica de las tres clínicas de la red Dentavia.</w:t>
      </w:r>
    </w:p>
    <w:p>
      <w:pPr>
        <w:spacing w:after="160"/>
      </w:pPr>
      <w:r>
        <w:t xml:space="preserve">Es de aplicación a todo el personal clínico y auxiliar, con independencia de su categoría profesional, y cubre desde el momento en que un residuo se genera en el gabinete hasta su recogida por el gestor autorizado.</w:t>
      </w:r>
    </w:p>
    <w:p>
      <w:pPr>
        <w:spacing w:after="160"/>
      </w:pPr>
      <w:r>
        <w:t xml:space="preserve">Este protocolo se complementa con las instrucciones clínicas prácticas dirigidas al personal de gabinete (CLI-13), que detallan la aplicación diaria de estas normas en cada puesto de trabajo, sin alterar en ningún caso los criterios establecidos en el presente documento.</w:t>
      </w:r>
    </w:p>
    <w:p>
      <w:pPr>
        <w:pStyle w:val="Heading1"/>
        <w:spacing w:after="180" w:before="300"/>
      </w:pPr>
      <w:r>
        <w:t xml:space="preserve">2. Principio general de retirada</w:t>
      </w:r>
    </w:p>
    <w:p>
      <w:pPr>
        <w:spacing w:after="160"/>
      </w:pPr>
      <w:r>
        <w:t xml:space="preserve">El principio que rige todo el sistema de gestión de residuos de Dentavia es sencillo: ningún residuo permanece en el centro más tiempo del estrictamente necesario para su retirada segura por el gestor autorizado.</w:t>
      </w:r>
    </w:p>
    <w:p>
      <w:pPr>
        <w:spacing w:after="160"/>
      </w:pPr>
      <w:r>
        <w:t xml:space="preserve">En concreto, los contenedores de residuos del grupo III no pueden permanecer en el área de almacenamiento intermedio más de 72 horas desde el momento en que se cierran, transcurridas las cuales debe solicitarse su retirada al gestor autorizado aunque el contenedor no esté completamente lleno. Este plazo es el mismo para las tres clínicas de la red y no admite excepciones por baja actividad del centro.</w:t>
      </w:r>
    </w:p>
    <w:p>
      <w:pPr>
        <w:spacing w:after="160"/>
      </w:pPr>
      <w:r>
        <w:t xml:space="preserve">El cómputo de las 72 horas se inicia en el momento exacto en que el personal auxiliar cierra el contenedor de forma hermética y lo traslada al área de almacenamiento intermedio, anotando esa hora en la etiqueta descrita en el apartado 4.1. No se admite estimar el plazo de forma aproximada.</w:t>
      </w:r>
    </w:p>
    <w:p>
      <w:pPr>
        <w:pStyle w:val="Heading1"/>
        <w:spacing w:after="180" w:before="300"/>
      </w:pPr>
      <w:r>
        <w:t xml:space="preserve">3. Clasificación de residuos por grupos</w:t>
      </w:r>
    </w:p>
    <w:p>
      <w:pPr>
        <w:spacing w:after="160"/>
      </w:pPr>
      <w:r>
        <w:t xml:space="preserve">Dentavia clasifica los residuos generados en su actividad conforme a los cuatro grupos habituales en el sector sanitario español, adaptados a la realidad de una clínica dental.</w:t>
      </w:r>
    </w:p>
    <w:p>
      <w:pPr>
        <w:spacing w:after="160"/>
      </w:pPr>
      <w:r>
        <w:t xml:space="preserve">Esta clasificación se revisa cada vez que se incorpora un nuevo tipo de material o técnica a la práctica clínica de la red, garantizando que ningún residuo generado en consulta quede sin un grupo asignado de forma expresa antes de su primer uso en cualquiera de las tres clínicas.</w:t>
      </w:r>
    </w:p>
    <w:p>
      <w:pPr>
        <w:pStyle w:val="Heading2"/>
        <w:spacing w:after="140" w:before="220"/>
      </w:pPr>
      <w:r>
        <w:t xml:space="preserve">3.1. Grupo I — Asimilables a urbanos</w:t>
      </w:r>
    </w:p>
    <w:p>
      <w:pPr>
        <w:spacing w:after="160"/>
      </w:pPr>
      <w:r>
        <w:t xml:space="preserve">Residuos sin riesgo específico: papel, cartón, envases de productos no contaminados y restos de oficina. Se depositan en el contenedor de basura convencional del centro, sin necesidad de un contenedor sanitario específico.</w:t>
      </w:r>
    </w:p>
    <w:p>
      <w:pPr>
        <w:pStyle w:val="Heading2"/>
        <w:spacing w:after="140" w:before="220"/>
      </w:pPr>
      <w:r>
        <w:t xml:space="preserve">3.2. Grupo II — Sanitarios no específicos</w:t>
      </w:r>
    </w:p>
    <w:p>
      <w:pPr>
        <w:spacing w:after="160"/>
      </w:pPr>
      <w:r>
        <w:t xml:space="preserve">Residuos generados en la actividad clínica sin riesgo biológico relevante para su manipulación habitual: gasas y guantes sin contacto con sangre o fluidos, envoltorios de material estéril ya usado. Se depositan en bolsa de color verde.</w:t>
      </w:r>
    </w:p>
    <w:p>
      <w:pPr>
        <w:pStyle w:val="Heading2"/>
        <w:spacing w:after="140" w:before="220"/>
      </w:pPr>
      <w:r>
        <w:t xml:space="preserve">3.3. Grupo III — Sanitarios especiales (biopeligrosos)</w:t>
      </w:r>
    </w:p>
    <w:p>
      <w:pPr>
        <w:spacing w:after="160"/>
      </w:pPr>
      <w:r>
        <w:t xml:space="preserve">Residuos que requieren medidas de gestión específicas por el riesgo biológico que comportan: gasas, guantes, apósitos y material de un solo uso en contacto con sangre o fluidos de pacientes, así como el material punzocortante empleado en el tratamiento (agujas, hojas de bisturí, fresas desechadas).</w:t>
      </w:r>
    </w:p>
    <w:p>
      <w:pPr>
        <w:spacing w:after="160"/>
      </w:pPr>
      <w:r>
        <w:t xml:space="preserve">Dentro del grupo III se distinguen dos subtipos a efectos de envasado: el material punzocortante, que se deposita siempre en contenedor rígido homologado de color amarillo, y el resto de residuos biosanitarios especiales no punzantes (gasas, guantes, apósitos), que se depositan en bolsa de color amarillo dentro del contenedor correspondiente de cada gabinete.</w:t>
      </w:r>
    </w:p>
    <w:p>
      <w:pPr>
        <w:pStyle w:val="Heading2"/>
        <w:spacing w:after="140" w:before="220"/>
      </w:pPr>
      <w:r>
        <w:t xml:space="preserve">3.4. Grupo IV — Citotóxicos</w:t>
      </w:r>
    </w:p>
    <w:p>
      <w:pPr>
        <w:spacing w:after="160"/>
      </w:pPr>
      <w:r>
        <w:t xml:space="preserve">Residuos derivados de medicamentos citotóxicos o citostáticos, de uso muy puntual en clínica dental. Se depositan en contenedor rígido de color azul y se gestionan de forma diferenciada del resto de grupos.</w:t>
      </w:r>
    </w:p>
    <w:p>
      <w:pPr>
        <w:pStyle w:val="Heading2"/>
        <w:spacing w:after="140" w:before="220"/>
      </w:pPr>
      <w:r>
        <w:t xml:space="preserve">3.5. Criterio ante residuos mixtos</w:t>
      </w:r>
    </w:p>
    <w:p>
      <w:pPr>
        <w:spacing w:after="160"/>
      </w:pPr>
      <w:r>
        <w:t xml:space="preserve">Cuando un mismo procedimiento genera residuos de más de un grupo (por ejemplo, gasas del grupo III y envoltorios del grupo II), cada residuo se separa en el momento de generarse y se deposita en su contenedor correspondiente, sin mezclar nunca residuos de distinto grupo en un mismo envase para simplificar la manipulación.</w:t>
      </w:r>
    </w:p>
    <w:p>
      <w:pPr>
        <w:spacing w:after="160"/>
      </w:pPr>
      <w:r>
        <w:t xml:space="preserve">Ante cualquier duda sobre a qué grupo pertenece un residuo concreto no contemplado expresamente en este apartado, el criterio por defecto de Dentavia es aplicar la clasificación más exigente de las posibles, tratándolo como residuo de grupo superior hasta que el Coordinador de Calidad del centro confirme el criterio correcto.</w:t>
      </w:r>
    </w:p>
    <w:p>
      <w:pPr>
        <w:pStyle w:val="Heading1"/>
        <w:spacing w:after="180" w:before="300"/>
      </w:pPr>
      <w:r>
        <w:t xml:space="preserve">4. Contenedores y colores</w:t>
      </w:r>
    </w:p>
    <w:p>
      <w:pPr>
        <w:spacing w:after="160"/>
      </w:pPr>
      <w:r>
        <w:t xml:space="preserve">Cada gabinete clínico dispone de los contenedores correspondientes a los grupos II, III y IV, correctamente identificados con su color y su pictograma de riesgo biológico cuando proceda. El contenedor de residuos asimilables a urbanos (grupo I) se ubica en la zona común del centro, no en el propio gabinete.</w:t>
      </w:r>
    </w:p>
    <w:p>
      <w:pPr>
        <w:pStyle w:val="Heading2"/>
        <w:spacing w:after="140" w:before="220"/>
      </w:pPr>
      <w:r>
        <w:t xml:space="preserve">4.1. Identificación y etiquetado</w:t>
      </w:r>
    </w:p>
    <w:p>
      <w:pPr>
        <w:spacing w:after="160"/>
      </w:pPr>
      <w:r>
        <w:t xml:space="preserve">Todo contenedor de los grupos III y IV lleva impreso de fábrica el pictograma de riesgo biológico y una etiqueta con el nombre de la clínica, la fecha de apertura del contenedor y el código de residuo aplicable, cumplimentada por el personal auxiliar en el momento de ponerlo en servicio.</w:t>
      </w:r>
    </w:p>
    <w:p>
      <w:pPr>
        <w:pStyle w:val="Heading2"/>
        <w:spacing w:after="140" w:before="220"/>
      </w:pPr>
      <w:r>
        <w:t xml:space="preserve">4.2. Sustitución de contenedores llenos</w:t>
      </w:r>
    </w:p>
    <w:p>
      <w:pPr>
        <w:spacing w:after="160"/>
      </w:pPr>
      <w:r>
        <w:t xml:space="preserve">Cuando un contenedor alcanza las tres cuartas partes de su capacidad, se cierra de forma definitiva conforme al sistema de cierre hermético del propio contenedor y se traslada al área de almacenamiento intermedio, sustituyéndolo de inmediato por uno nuevo en el gabinete para no interrumpir la actividad clínica.</w:t>
      </w:r>
    </w:p>
    <w:p>
      <w:pPr>
        <w:pStyle w:val="Heading2"/>
        <w:spacing w:after="140" w:before="220"/>
      </w:pPr>
      <w:r>
        <w:t xml:space="preserve">4.3. Ubicación de los contenedores en el gabinete</w:t>
      </w:r>
    </w:p>
    <w:p>
      <w:pPr>
        <w:spacing w:after="160"/>
      </w:pPr>
      <w:r>
        <w:t xml:space="preserve">Cada gabinete dispone de sus propios contenedores de grupo II y grupo III, situados junto a la zona de trabajo clínico para evitar desplazamientos innecesarios del personal con material contaminado en la mano. El contenedor de grupo IV, de uso mucho más esporádico, se conserva en el armario de medicación restringida y solo se traslada al puesto de trabajo cuando se genera un residuo de ese tipo.</w:t>
      </w:r>
    </w:p>
    <w:p>
      <w:pPr>
        <w:pStyle w:val="Heading1"/>
        <w:spacing w:after="180" w:before="300"/>
      </w:pPr>
      <w:r>
        <w:t xml:space="preserve">5. Almacenamiento intermedio</w:t>
      </w:r>
    </w:p>
    <w:p>
      <w:pPr>
        <w:spacing w:after="160"/>
      </w:pPr>
      <w:r>
        <w:t xml:space="preserve">El área de almacenamiento intermedio de cada clínica es un espacio cerrado, de acceso restringido al personal autorizado, señalizado con el pictograma de riesgo biológico y separado físicamente de cualquier zona de paso de pacientes.</w:t>
      </w:r>
    </w:p>
    <w:p>
      <w:pPr>
        <w:spacing w:after="160"/>
      </w:pPr>
      <w:r>
        <w:t xml:space="preserve">Los contenedores se almacenan de pie, sin apilar, agrupados por grupo de residuo, y con el más antiguo situado en primer lugar de retirada, de forma que la rotación respete siempre el plazo máximo descrito en el apartado 2.</w:t>
      </w:r>
    </w:p>
    <w:p>
      <w:pPr>
        <w:spacing w:after="160"/>
      </w:pPr>
      <w:r>
        <w:t xml:space="preserve">El área de almacenamiento intermedio se limpia y desinfecta semanalmente, y se revisa a diario que ningún contenedor presente signos de deterioro (grietas, cierre defectuoso) que puedan comprometer su estanqueidad mientras espera la retirada.</w:t>
      </w:r>
    </w:p>
    <w:p>
      <w:pPr>
        <w:pStyle w:val="Heading1"/>
        <w:spacing w:after="180" w:before="300"/>
      </w:pPr>
      <w:r>
        <w:t xml:space="preserve">6. Retirada por gestor autorizado</w:t>
      </w:r>
    </w:p>
    <w:p>
      <w:pPr>
        <w:spacing w:after="160"/>
      </w:pPr>
      <w:r>
        <w:t xml:space="preserve">La retirada de los residuos de los grupos III y IV la realiza en exclusiva el gestor autorizado Residuos Sanitarios del Centro, S.L., con el que Dentavia mantiene contrato vigente para las tres clínicas de la red.</w:t>
      </w:r>
    </w:p>
    <w:p>
      <w:pPr>
        <w:spacing w:after="160"/>
      </w:pPr>
      <w:r>
        <w:t xml:space="preserve">El gestor autorizado recoge los residuos de las tres clínicas en un punto de retirada centralizado, ubicado en la clínica de Chamberí, desde donde se coordina y documenta el transporte del material recogido en Salamanca y Retiro hasta su destino final de tratamiento.</w:t>
      </w:r>
    </w:p>
    <w:p>
      <w:pPr>
        <w:spacing w:after="160"/>
      </w:pPr>
      <w:r>
        <w:t xml:space="preserve">Cada clínica solicita la retirada a través del formulario electrónico del gestor autorizado cuando se aproxima el plazo máximo de almacenamiento descrito en el apartado 2, indicando número de contenedores por grupo y fecha de cierre de cada uno.</w:t>
      </w:r>
    </w:p>
    <w:p>
      <w:pPr>
        <w:spacing w:after="160"/>
      </w:pPr>
      <w:r>
        <w:t xml:space="preserve">El gestor autorizado se compromete contractualmente a realizar la recogida en un plazo máximo de 24 horas desde la solicitud, y a facilitar a Dentavia el albarán de recogida en el mismo momento del traslado, sin demoras administrativas posteriores.</w:t>
      </w:r>
    </w:p>
    <w:p>
      <w:pPr>
        <w:pStyle w:val="Heading2"/>
        <w:spacing w:after="140" w:before="220"/>
      </w:pPr>
      <w:r>
        <w:t xml:space="preserve">6.1. Coordinación logística entre clínicas</w:t>
      </w:r>
    </w:p>
    <w:p>
      <w:pPr>
        <w:spacing w:after="160"/>
      </w:pPr>
      <w:r>
        <w:t xml:space="preserve">Dado que el punto de retirada centralizado concentra el material de las tres clínicas, cada centro coordina con antelación la fecha de solicitud de retirada con Dirección de Operaciones, evitando que dos clínicas soliciten transporte del material recogido en el mismo día si ello satura la capacidad logística del gestor autorizado.</w:t>
      </w:r>
    </w:p>
    <w:p>
      <w:pPr>
        <w:pStyle w:val="Heading1"/>
        <w:spacing w:after="180" w:before="300"/>
      </w:pPr>
      <w:r>
        <w:t xml:space="preserve">7. Documentación y trazabilidad</w:t>
      </w:r>
    </w:p>
    <w:p>
      <w:pPr>
        <w:spacing w:after="160"/>
      </w:pPr>
      <w:r>
        <w:t xml:space="preserve">Cada retirada genera un albarán de entrega firmado por el personal de la clínica y por el transportista del gestor autorizado, que recoge número de contenedores, grupo de residuo y peso aproximado. El albarán se archiva en el gestor documental interno durante un mínimo de cinco años.</w:t>
      </w:r>
    </w:p>
    <w:p>
      <w:pPr>
        <w:spacing w:after="160"/>
      </w:pPr>
      <w:r>
        <w:t xml:space="preserve">Anualmente, el gestor autorizado emite un certificado de gestión que resume el volumen tratado por clínica y grupo de residuo, documento que se conserva junto con el resto de evidencia de cumplimiento normativo del centro.</w:t>
      </w:r>
    </w:p>
    <w:p>
      <w:pPr>
        <w:spacing w:after="160"/>
      </w:pPr>
      <w:r>
        <w:t xml:space="preserve">Cualquier discrepancia entre el número de contenedores solicitados en la retirada y el número de contenedores efectivamente recogidos, reflejado en el albarán, se comunica de inmediato al gestor autorizado y se documenta en el parte de incidencias de la clínica, con independencia de que la diferencia sea a favor o en contra de Dentavia.</w:t>
      </w:r>
    </w:p>
    <w:p>
      <w:pPr>
        <w:pStyle w:val="Heading1"/>
        <w:spacing w:after="180" w:before="300"/>
      </w:pPr>
      <w:r>
        <w:t xml:space="preserve">8. Formación del personal</w:t>
      </w:r>
    </w:p>
    <w:p>
      <w:pPr>
        <w:spacing w:after="160"/>
      </w:pPr>
      <w:r>
        <w:t xml:space="preserve">Todo el personal clínico y auxiliar recibe formación específica en gestión de residuos sanitarios antes de incorporarse a su puesto, y repite una sesión de reciclaje con periodicidad anual, coincidiendo con la formación general de calidad de la clínica.</w:t>
      </w:r>
    </w:p>
    <w:p>
      <w:pPr>
        <w:spacing w:after="160"/>
      </w:pPr>
      <w:r>
        <w:t xml:space="preserve">La formación cubre la clasificación por grupos descrita en el apartado 3, el uso correcto de cada contenedor, el procedimiento de sustitución de contenedores llenos y la actuación ante derrames descrita en el apartado siguiente.</w:t>
      </w:r>
    </w:p>
    <w:p>
      <w:pPr>
        <w:spacing w:after="160"/>
      </w:pPr>
      <w:r>
        <w:t xml:space="preserve">La asistencia a la sesión de reciclaje anual se registra en el expediente formativo individual de cada empleado, gestionado conforme al mismo criterio que el resto de formación de calidad de la clínica, y su incumplimiento reiterado puede motivar la suspensión temporal de la habilitación para manipular residuos del grupo III o IV sin supervisión.</w:t>
      </w:r>
    </w:p>
    <w:p>
      <w:pPr>
        <w:spacing w:after="160"/>
      </w:pPr>
      <w:r>
        <w:t xml:space="preserve">El personal de nueva incorporación no manipula residuos de los grupos III o IV sin supervisión directa de un compañero ya formado hasta haber completado la sesión inicial descrita en este apartado, con independencia de la experiencia previa acreditada en otro centro sanitario.</w:t>
      </w:r>
    </w:p>
    <w:p>
      <w:pPr>
        <w:pStyle w:val="Heading1"/>
        <w:spacing w:after="180" w:before="300"/>
      </w:pPr>
      <w:r>
        <w:t xml:space="preserve">9. Actuación ante derrames</w:t>
      </w:r>
    </w:p>
    <w:p>
      <w:pPr>
        <w:spacing w:after="160"/>
      </w:pPr>
      <w:r>
        <w:t xml:space="preserve">Ante un derrame de residuos del grupo III o IV, el personal presente delimita de inmediato la zona afectada, se coloca EPI completo (guantes, bata y protección ocular) y procede a la recogida del material vertido con el kit de derrames disponible en cada gabinete, sin utilizar nunca material textil reutilizable para esta tarea.</w:t>
      </w:r>
    </w:p>
    <w:p>
      <w:pPr>
        <w:spacing w:after="160"/>
      </w:pPr>
      <w:r>
        <w:t xml:space="preserve">El material empleado en la recogida del derrame, incluido el propio kit desechable, se trata como residuo del mismo grupo que el vertido y sigue el circuito de envasado y almacenamiento descrito en los apartados anteriores. Todo derrame se documenta en el parte de incidencias de la clínica, con independencia de su volumen.</w:t>
      </w:r>
    </w:p>
    <w:p>
      <w:pPr>
        <w:spacing w:after="160"/>
      </w:pPr>
      <w:r>
        <w:t xml:space="preserve">Si el derrame afecta a una superficie de trabajo clínico, esta se desinfecta antes de reanudar cualquier actividad sobre ella, siguiendo el protocolo de desinfección de superficies vigente en la clínica, independiente del presente documento pero de aplicación conjunta ante este tipo de incidencia.</w:t>
      </w:r>
    </w:p>
    <w:p>
      <w:pPr>
        <w:pStyle w:val="Heading1"/>
        <w:spacing w:after="180" w:before="300"/>
      </w:pPr>
      <w:r>
        <w:t xml:space="preserve">10. Errores frecuentes y buenas prácticas</w:t>
      </w:r>
    </w:p>
    <w:p>
      <w:pPr>
        <w:spacing w:after="160"/>
      </w:pPr>
      <w:r>
        <w:t xml:space="preserve">Este apartado recoge los errores más habituales detectados en las clínicas de la red respecto al uso de contenedores, con el fin de reforzar su corrección durante la formación anual descrita en el apartado 8.</w:t>
      </w:r>
    </w:p>
    <w:p>
      <w:pPr>
        <w:pStyle w:val="Heading2"/>
        <w:spacing w:after="140" w:before="220"/>
      </w:pPr>
      <w:r>
        <w:t xml:space="preserve">10.1. Confusión entre grupo II y grupo III</w:t>
      </w:r>
    </w:p>
    <w:p>
      <w:pPr>
        <w:spacing w:after="160"/>
      </w:pPr>
      <w:r>
        <w:t xml:space="preserve">El error más frecuente es depositar en bolsa verde (grupo II) material que, por haber estado en contacto con sangre o fluidos de un paciente, corresponde en realidad al grupo III. Ante la duda razonable sobre si un residuo concreto ha tenido ese contacto, el criterio de la clínica es tratarlo siempre como grupo III.</w:t>
      </w:r>
    </w:p>
    <w:p>
      <w:pPr>
        <w:pStyle w:val="Heading2"/>
        <w:spacing w:after="140" w:before="220"/>
      </w:pPr>
      <w:r>
        <w:t xml:space="preserve">10.2. Uso incorrecto del contenedor negro</w:t>
      </w:r>
    </w:p>
    <w:p>
      <w:pPr>
        <w:spacing w:after="160"/>
      </w:pPr>
      <w:r>
        <w:t xml:space="preserve">Los residuos del grupo III se depositan siempre en el contenedor o bolsa de color amarillo descrito en el apartado 3.3. En ningún caso se depositan en el contenedor negro de zona común, que está reservado exclusivamente a los residuos asimilables a urbanos del grupo I. Introducir material biosanitario especial en el contenedor negro constituye una infracción del protocolo que debe corregirse de inmediato al detectarse, con independencia de que se haya producido de forma involuntaria.</w:t>
      </w:r>
    </w:p>
    <w:p>
      <w:pPr>
        <w:pStyle w:val="Heading2"/>
        <w:spacing w:after="140" w:before="220"/>
      </w:pPr>
      <w:r>
        <w:t xml:space="preserve">10.3. Contenedores no identificados</w:t>
      </w:r>
    </w:p>
    <w:p>
      <w:pPr>
        <w:spacing w:after="160"/>
      </w:pPr>
      <w:r>
        <w:t xml:space="preserve">Un contenedor de los grupos III o IV sin la etiqueta de apertura cumplimentada conforme al apartado 4.1 no puede trasladarse al almacenamiento intermedio hasta completar su identificación, para no perder la trazabilidad de la fecha de cierre a efectos del plazo máximo de retirada.</w:t>
      </w:r>
    </w:p>
    <w:p>
      <w:pPr>
        <w:pStyle w:val="Heading2"/>
        <w:spacing w:after="140" w:before="220"/>
      </w:pPr>
      <w:r>
        <w:t xml:space="preserve">10.4. Mezcla accidental de grupos en almacenamiento intermedio</w:t>
      </w:r>
    </w:p>
    <w:p>
      <w:pPr>
        <w:spacing w:after="160"/>
      </w:pPr>
      <w:r>
        <w:t xml:space="preserve">Si por error un contenedor de un grupo aparece situado en la zona de almacenamiento intermedio destinada a otro grupo, el personal auxiliar lo reubica de inmediato en la zona correcta y revisa que su etiqueta y su fecha de cierre sigan siendo legibles tras el traslado, documentando el error en el parte de incidencias si ha permanecido mal ubicado más de una jornada completa.</w:t>
      </w:r>
    </w:p>
    <w:p>
      <w:pPr>
        <w:pStyle w:val="Heading2"/>
        <w:spacing w:after="140" w:before="220"/>
      </w:pPr>
      <w:r>
        <w:t xml:space="preserve">10.5. Revisión periódica de buenas prácticas</w:t>
      </w:r>
    </w:p>
    <w:p>
      <w:pPr>
        <w:spacing w:after="160"/>
      </w:pPr>
      <w:r>
        <w:t xml:space="preserve">El Coordinador de Calidad de cada clínica revisa trimestralmente el cumplimiento de los criterios descritos en este apartado mediante observación directa del área de almacenamiento intermedio y de los gabinetes, incorporando los hallazgos relevantes a la siguiente sesión de formación anual del personal.</w:t>
      </w:r>
    </w:p>
    <w:p>
      <w:pPr>
        <w:pStyle w:val="Heading1"/>
        <w:spacing w:after="180" w:before="300"/>
      </w:pPr>
      <w:r>
        <w:t xml:space="preserve">11. Relación con otros documentos</w:t>
      </w:r>
    </w:p>
    <w:p>
      <w:pPr>
        <w:spacing w:after="160"/>
      </w:pPr>
      <w:r>
        <w:t xml:space="preserve">Este protocolo se complementa con la guía práctica CLI-13, dirigida al personal de gabinete, que traduce estos criterios a instrucciones de uso diario sin modificar en ningún caso lo aquí establecido. En caso de cualquier discrepancia aparente entre ambos documentos, prevalece siempre el criterio de NOR-11.</w:t>
      </w:r>
    </w:p>
    <w:p>
      <w:pPr>
        <w:spacing w:after="160"/>
      </w:pPr>
      <w:r>
        <w:t xml:space="preserve">También se relaciona con el protocolo de desinfección de superficies, de aplicación conjunta ante derrames, y con el manual de calidad CLI-12, que establece el enfoque de auditoría aplicable a este proceso, igual que ocurre con el resto de procesos críticos de seguridad de la clínica.</w:t>
      </w:r>
    </w:p>
    <w:p>
      <w:pPr>
        <w:spacing w:after="160"/>
      </w:pPr>
      <w:r>
        <w:t xml:space="preserve">Fin del documento NOR-11 · Gestión de Residuos Sanitarios · Dentavia Clínicas Dentales.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2026-08-27T11:29:42.612Z</dcterms:created>
  <dcterms:modified xsi:type="dcterms:W3CDTF">2026-08-27T11:29:42.612Z</dcterms:modified>
</cp:coreProperties>
</file>

<file path=docProps/custom.xml><?xml version="1.0" encoding="utf-8"?>
<Properties xmlns="http://schemas.openxmlformats.org/officeDocument/2006/custom-properties" xmlns:vt="http://schemas.openxmlformats.org/officeDocument/2006/docPropsVTypes"/>
</file>