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pPr>
      <w:r>
        <w:rPr>
          <w:rFonts w:ascii="Calibri" w:cs="Calibri" w:eastAsia="Calibri" w:hAnsi="Calibri"/>
          <w:b/>
          <w:bCs/>
          <w:color w:val="44546A"/>
          <w:spacing w:val="60"/>
          <w:sz w:val="20"/>
          <w:szCs w:val="20"/>
        </w:rPr>
        <w:t xml:space="preserve">TECHNICAL AND MAINTENANCE GUIDE</w:t>
      </w:r>
    </w:p>
    <w:p>
      <w:pPr>
        <w:spacing w:after="100"/>
      </w:pPr>
      <w:r>
        <w:rPr>
          <w:rFonts w:ascii="Cambria" w:cs="Cambria" w:eastAsia="Cambria" w:hAnsi="Cambria"/>
          <w:b/>
          <w:bCs/>
          <w:color w:val="1E2761"/>
          <w:sz w:val="60"/>
          <w:szCs w:val="60"/>
        </w:rPr>
        <w:t xml:space="preserve">SOR Polymorphizer</w:t>
      </w:r>
    </w:p>
    <w:p>
      <w:pPr>
        <w:pBdr>
          <w:bottom w:val="single" w:color="BFC7D6" w:sz="8" w:space="10"/>
        </w:pBdr>
        <w:spacing w:after="400"/>
      </w:pPr>
      <w:r>
        <w:rPr>
          <w:rFonts w:ascii="Calibri" w:cs="Calibri" w:eastAsia="Calibri" w:hAnsi="Calibri"/>
          <w:color w:val="44546A"/>
          <w:sz w:val="24"/>
          <w:szCs w:val="24"/>
        </w:rPr>
        <w:t xml:space="preserve">Eliminating attributes with no System-of-Record connection from an OpenAPI contract</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600"/>
        <w:gridCol w:w="6400"/>
      </w:tblGrid>
      <w:tr>
        <w:trPr>
          <w:tblHeader/>
        </w:trPr>
        <w:tc>
          <w:tcPr>
            <w:tcW w:type="dxa" w:w="26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Field</w:t>
            </w:r>
          </w:p>
        </w:tc>
        <w:tc>
          <w:tcPr>
            <w:tcW w:type="dxa" w:w="6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Value</w:t>
            </w:r>
          </w:p>
        </w:tc>
      </w:tr>
      <w:t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Engine version</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5.1</w:t>
            </w:r>
          </w:p>
        </w:tc>
      </w:tr>
      <w:t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Document status</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Baseline, issued with the v5.1 toolkit</w:t>
            </w:r>
          </w:p>
        </w:tc>
      </w:tr>
      <w:t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Audience</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Developers and maintainers of the tool</w:t>
            </w:r>
          </w:p>
        </w:tc>
      </w:tr>
      <w:t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Runtime</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Python 3.9 or later; ruamel.yaml and openpyxl</w:t>
            </w:r>
          </w:p>
        </w:tc>
      </w:tr>
      <w:t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Front ends</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CLI, Tkinter GUI, manifest batch runner</w:t>
            </w:r>
          </w:p>
        </w:tc>
      </w:tr>
      <w:tr>
        <w:tc>
          <w:tcPr>
            <w:tcW w:type="dxa" w:w="26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Source of truth</w:t>
            </w:r>
          </w:p>
        </w:tc>
        <w:tc>
          <w:tcPr>
            <w:tcW w:type="dxa" w:w="6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polymorphize_core.py, tests/test_regressions.py</w:t>
            </w:r>
          </w:p>
        </w:tc>
      </w:tr>
    </w:tbl>
    <w:p>
      <w:pPr>
        <w:spacing w:after="300"/>
      </w:pPr>
    </w:p>
    <w:p>
      <w:pPr>
        <w:spacing w:after="120" w:line="276"/>
      </w:pPr>
      <w:r>
        <w:rPr>
          <w:rFonts w:ascii="Calibri" w:cs="Calibri" w:eastAsia="Calibri" w:hAnsi="Calibri"/>
          <w:i/>
          <w:iCs/>
          <w:color w:val="44546A"/>
          <w:sz w:val="21"/>
          <w:szCs w:val="21"/>
        </w:rPr>
        <w:t xml:space="preserve">This guide is deliberately concise. It records the architecture, the data contracts, the seven defects that shaped the current design, and the procedure for rebuilding the tool from nothing. Function-level detail lives in the module docstrings; the tests are the executable specification.</w:t>
      </w:r>
    </w:p>
    <w:p>
      <w:r>
        <w:br w:type="page"/>
      </w:r>
    </w:p>
    <w:p>
      <w:pPr>
        <w:pStyle w:val="Heading1"/>
        <w:spacing w:after="160" w:before="360"/>
      </w:pPr>
      <w:r>
        <w:rPr>
          <w:rFonts w:ascii="Cambria" w:cs="Cambria" w:eastAsia="Cambria" w:hAnsi="Cambria"/>
          <w:b/>
          <w:bCs/>
          <w:color w:val="1E276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mbria" w:cs="Cambria" w:eastAsia="Cambria" w:hAnsi="Cambria"/>
          <w:b/>
          <w:bCs/>
          <w:color w:val="1E2761"/>
          <w:sz w:val="32"/>
          <w:szCs w:val="32"/>
        </w:rPr>
        <w:t xml:space="preserve">1  Purpose and scope</w:t>
      </w:r>
    </w:p>
    <w:p>
      <w:pPr>
        <w:spacing w:after="120" w:line="276"/>
      </w:pPr>
      <w:r>
        <w:rPr>
          <w:rFonts w:ascii="Calibri" w:cs="Calibri" w:eastAsia="Calibri" w:hAnsi="Calibri"/>
          <w:color w:val="202020"/>
          <w:sz w:val="21"/>
          <w:szCs w:val="21"/>
        </w:rPr>
        <w:t xml:space="preserve">The SOR Polymorphizer takes an OpenAPI 3.x specification and a System-of-Record field mapping workbook, and produces a new specification carrying only the attributes the SOR actually supports. Where several operations share a schema, it can factor the shared core into a base and express each operation as a subtype, so a shared object no longer forces unmapped attributes into every response.</w:t>
      </w:r>
    </w:p>
    <w:p>
      <w:pPr>
        <w:spacing w:after="120" w:line="276"/>
      </w:pPr>
      <w:r>
        <w:rPr>
          <w:rFonts w:ascii="Calibri" w:cs="Calibri" w:eastAsia="Calibri" w:hAnsi="Calibri"/>
          <w:color w:val="202020"/>
          <w:sz w:val="21"/>
          <w:szCs w:val="21"/>
        </w:rPr>
        <w:t xml:space="preserve">The tool exists because a canonical API model is broader than any one System of Record. Publishing the canonical model unchanged produces responses full of fields the SOR never populates. Publishing a hand-trimmed copy per operation produces drift. This tool derives the trimmed contract mechanically from the mapping, and records every decision it made.</w:t>
      </w:r>
    </w:p>
    <w:p>
      <w:pPr>
        <w:pStyle w:val="Heading2"/>
        <w:spacing w:after="120" w:before="280"/>
      </w:pPr>
      <w:r>
        <w:rPr>
          <w:rFonts w:ascii="Cambria" w:cs="Cambria" w:eastAsia="Cambria" w:hAnsi="Cambria"/>
          <w:b/>
          <w:bCs/>
          <w:color w:val="1E2761"/>
          <w:sz w:val="25"/>
          <w:szCs w:val="25"/>
        </w:rPr>
        <w:t xml:space="preserve">1.1  The elimination rule</w:t>
      </w:r>
    </w:p>
    <w:p>
      <w:pPr>
        <w:spacing w:after="120" w:line="276"/>
      </w:pPr>
      <w:r>
        <w:rPr>
          <w:rFonts w:ascii="Calibri" w:cs="Calibri" w:eastAsia="Calibri" w:hAnsi="Calibri"/>
          <w:color w:val="202020"/>
          <w:sz w:val="21"/>
          <w:szCs w:val="21"/>
        </w:rPr>
        <w:t xml:space="preserve">One rule governs the whole tool, and every design decision in this document follows from it.</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500"/>
        <w:gridCol w:w="1700"/>
        <w:gridCol w:w="4800"/>
      </w:tblGrid>
      <w:tr>
        <w:trPr>
          <w:tblHeader/>
        </w:trPr>
        <w:tc>
          <w:tcPr>
            <w:tcW w:type="dxa" w:w="2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Mapping says</w:t>
            </w:r>
          </w:p>
        </w:tc>
        <w:tc>
          <w:tcPr>
            <w:tcW w:type="dxa" w:w="17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Action</w:t>
            </w:r>
          </w:p>
        </w:tc>
        <w:tc>
          <w:tcPr>
            <w:tcW w:type="dxa" w:w="48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Rationale</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concrete SOR field</w:t>
            </w:r>
          </w:p>
        </w:tc>
        <w:tc>
          <w:tcPr>
            <w:tcW w:type="dxa" w:w="1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Keep</w:t>
            </w:r>
          </w:p>
        </w:tc>
        <w:tc>
          <w:tcPr>
            <w:tcW w:type="dxa" w:w="4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Positive evidence the SOR supports it.</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Blank, N/A, -, TBD, or Not Used In SOR</w:t>
            </w:r>
          </w:p>
        </w:tc>
        <w:tc>
          <w:tcPr>
            <w:tcW w:type="dxa" w:w="1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Eliminate</w:t>
            </w:r>
          </w:p>
        </w:tc>
        <w:tc>
          <w:tcPr>
            <w:tcW w:type="dxa" w:w="4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Positive evidence the SOR does not.</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Nothing at all</w:t>
            </w:r>
          </w:p>
        </w:tc>
        <w:tc>
          <w:tcPr>
            <w:tcW w:type="dxa" w:w="1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Keep and flag</w:t>
            </w:r>
          </w:p>
        </w:tc>
        <w:tc>
          <w:tcPr>
            <w:tcW w:type="dxa" w:w="4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lookup that found nothing is not evidence of anything. It is reported, not acted on.</w:t>
            </w:r>
          </w:p>
        </w:tc>
      </w:tr>
    </w:tbl>
    <w:p>
      <w:pPr>
        <w:spacing w:after="160"/>
      </w:pPr>
    </w:p>
    <w:p>
      <w:pPr>
        <w:spacing w:after="120" w:line="276"/>
      </w:pPr>
      <w:r>
        <w:rPr>
          <w:rFonts w:ascii="Calibri" w:cs="Calibri" w:eastAsia="Calibri" w:hAnsi="Calibri"/>
          <w:color w:val="202020"/>
          <w:sz w:val="21"/>
          <w:szCs w:val="21"/>
        </w:rPr>
        <w:t xml:space="preserve">Objects and arrays are structural and are never eliminated for lacking an SOR field of their own. An object that loses every one of its attributes is removed entirely, together with the references to it.</w:t>
      </w:r>
    </w:p>
    <w:p>
      <w:pPr>
        <w:pStyle w:val="Heading2"/>
        <w:spacing w:after="120" w:before="280"/>
      </w:pPr>
      <w:r>
        <w:rPr>
          <w:rFonts w:ascii="Cambria" w:cs="Cambria" w:eastAsia="Cambria" w:hAnsi="Cambria"/>
          <w:b/>
          <w:bCs/>
          <w:color w:val="1E2761"/>
          <w:sz w:val="25"/>
          <w:szCs w:val="25"/>
        </w:rPr>
        <w:t xml:space="preserve">1.2  Out of scope</w:t>
      </w:r>
    </w:p>
    <w:p>
      <w:pPr>
        <w:pStyle w:val="ListParagraph"/>
        <w:numPr>
          <w:ilvl w:val="0"/>
          <w:numId w:val="2"/>
        </w:numPr>
        <w:spacing w:after="60" w:line="276"/>
      </w:pPr>
      <w:r>
        <w:rPr>
          <w:rFonts w:ascii="Calibri" w:cs="Calibri" w:eastAsia="Calibri" w:hAnsi="Calibri"/>
          <w:color w:val="202020"/>
          <w:sz w:val="21"/>
          <w:szCs w:val="21"/>
        </w:rPr>
        <w:t xml:space="preserve">The tool does not validate the OpenAPI document against the specification. Use a dedicated linter for that.</w:t>
      </w:r>
    </w:p>
    <w:p>
      <w:pPr>
        <w:pStyle w:val="ListParagraph"/>
        <w:numPr>
          <w:ilvl w:val="0"/>
          <w:numId w:val="2"/>
        </w:numPr>
        <w:spacing w:after="60" w:line="276"/>
      </w:pPr>
      <w:r>
        <w:rPr>
          <w:rFonts w:ascii="Calibri" w:cs="Calibri" w:eastAsia="Calibri" w:hAnsi="Calibri"/>
          <w:color w:val="202020"/>
          <w:sz w:val="21"/>
          <w:szCs w:val="21"/>
        </w:rPr>
        <w:t xml:space="preserve">It does not invent mappings, infer SOR fields from names, or fuzzy-match attributes. Every keep decision traces to a workbook row.</w:t>
      </w:r>
    </w:p>
    <w:p>
      <w:pPr>
        <w:pStyle w:val="ListParagraph"/>
        <w:numPr>
          <w:ilvl w:val="0"/>
          <w:numId w:val="2"/>
        </w:numPr>
        <w:spacing w:after="60" w:line="276"/>
      </w:pPr>
      <w:r>
        <w:rPr>
          <w:rFonts w:ascii="Calibri" w:cs="Calibri" w:eastAsia="Calibri" w:hAnsi="Calibri"/>
          <w:color w:val="202020"/>
          <w:sz w:val="21"/>
          <w:szCs w:val="21"/>
        </w:rPr>
        <w:t xml:space="preserve">It does not edit the mapping workbook. The workbook is read-only input.</w:t>
      </w:r>
    </w:p>
    <w:p>
      <w:pPr>
        <w:pStyle w:val="Heading1"/>
        <w:spacing w:after="160" w:before="360"/>
      </w:pPr>
      <w:r>
        <w:rPr>
          <w:rFonts w:ascii="Cambria" w:cs="Cambria" w:eastAsia="Cambria" w:hAnsi="Cambria"/>
          <w:b/>
          <w:bCs/>
          <w:color w:val="1E2761"/>
          <w:sz w:val="32"/>
          <w:szCs w:val="32"/>
        </w:rPr>
        <w:t xml:space="preserve">2  Architecture</w:t>
      </w:r>
    </w:p>
    <w:p>
      <w:pPr>
        <w:pStyle w:val="Heading2"/>
        <w:spacing w:after="120" w:before="280"/>
      </w:pPr>
      <w:r>
        <w:rPr>
          <w:rFonts w:ascii="Cambria" w:cs="Cambria" w:eastAsia="Cambria" w:hAnsi="Cambria"/>
          <w:b/>
          <w:bCs/>
          <w:color w:val="1E2761"/>
          <w:sz w:val="25"/>
          <w:szCs w:val="25"/>
        </w:rPr>
        <w:t xml:space="preserve">2.1  Module map</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500"/>
        <w:gridCol w:w="5400"/>
        <w:gridCol w:w="1100"/>
      </w:tblGrid>
      <w:tr>
        <w:trPr>
          <w:tblHeader/>
        </w:trPr>
        <w:tc>
          <w:tcPr>
            <w:tcW w:type="dxa" w:w="2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Module</w:t>
            </w:r>
          </w:p>
        </w:tc>
        <w:tc>
          <w:tcPr>
            <w:tcW w:type="dxa" w:w="5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Responsibility</w:t>
            </w:r>
          </w:p>
        </w:tc>
        <w:tc>
          <w:tcPr>
            <w:tcW w:type="dxa" w:w="11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Lines</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polymorphize_core.py</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engine. Mapping index, usage-path graph, pruning, cascade, de-duplication, polymorphism refactor, guards, assertions, reporting. No front-end concerns.</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~1,710</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polymorphize_cli.py</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Argument parsing, the --diagnose mode, exit codes.</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~210</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polymorphize_gui.py</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Tkinter app. Three numbered steps, a mapping-coverage panel, background worker threads, an approval dialog.</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~700</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polymorphize_batch.py</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Manifest loading, per-job execution, batch_summary.csv and batch_index.html.</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~385</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tests/test_regressions.py</w:t>
            </w:r>
          </w:p>
        </w:tc>
        <w:tc>
          <w:tcPr>
            <w:tcW w:type="dxa" w:w="5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Forty-nine checks grouped by defect. Builds its own fixtures. No test framework required.</w:t>
            </w:r>
          </w:p>
        </w:tc>
        <w:tc>
          <w:tcPr>
            <w:tcW w:type="dxa" w:w="1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~440</w:t>
            </w:r>
          </w:p>
        </w:tc>
      </w:tr>
    </w:tbl>
    <w:p>
      <w:pPr>
        <w:spacing w:after="160"/>
      </w:pPr>
    </w:p>
    <w:p>
      <w:pPr>
        <w:spacing w:after="120" w:line="276"/>
      </w:pPr>
      <w:r>
        <w:rPr>
          <w:rFonts w:ascii="Calibri" w:cs="Calibri" w:eastAsia="Calibri" w:hAnsi="Calibri"/>
          <w:color w:val="202020"/>
          <w:sz w:val="21"/>
          <w:szCs w:val="21"/>
        </w:rPr>
        <w:t xml:space="preserve">The core module is importable and side-effect free. All three front ends are thin: they gather options, call diagnose, analyze or run, and render the result. Any behaviour change belongs in the core, and any behaviour change needs a test.</w:t>
      </w:r>
    </w:p>
    <w:p>
      <w:pPr>
        <w:pStyle w:val="Heading2"/>
        <w:spacing w:after="120" w:before="280"/>
      </w:pPr>
      <w:r>
        <w:rPr>
          <w:rFonts w:ascii="Cambria" w:cs="Cambria" w:eastAsia="Cambria" w:hAnsi="Cambria"/>
          <w:b/>
          <w:bCs/>
          <w:color w:val="1E2761"/>
          <w:sz w:val="25"/>
          <w:szCs w:val="25"/>
        </w:rPr>
        <w:t xml:space="preserve">2.2  Processing pipeline</w:t>
      </w:r>
    </w:p>
    <w:p>
      <w:pPr>
        <w:spacing w:after="120" w:line="276"/>
      </w:pPr>
      <w:r>
        <w:rPr>
          <w:rFonts w:ascii="Calibri" w:cs="Calibri" w:eastAsia="Calibri" w:hAnsi="Calibri"/>
          <w:color w:val="202020"/>
          <w:sz w:val="21"/>
          <w:szCs w:val="21"/>
        </w:rPr>
        <w:t xml:space="preserve">The order of these steps is load-bearing. Two of the seven historical defects were caused by steps running in the wrong order, so treat this sequence as part of the contract.</w:t>
      </w:r>
    </w:p>
    <w:p>
      <w:pPr>
        <w:pBdr>
          <w:top w:val="single" w:color="F2F4F7" w:sz="2" w:space="4"/>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1  load the mapping workbook and index it</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2  load the OpenAPI document, remembering the source encoding</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3  compute de-duplication candidates from the UNTOUCHED document      (D5)</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4  build usage paths and prune attributes                            (D2, D3)</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5  evaluate the coverage and loss guards; abort here if they fire     (D6)</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6  cascade-prune emptied objects and their references                 (D4)</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7  apply de-duplication, re-verifying each pair                       (D5)</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8  apply polymorphism groups, if requested or auto-detected</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9  run the output assertions                                          (D6)</w:t>
      </w:r>
    </w:p>
    <w:p>
      <w:pPr>
        <w:pBdr>
          <w:bottom w:val="single" w:color="F2F4F7" w:sz="2" w:space="4"/>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10  annotate, write the document as UTF-8, then build the reports      (D7)</w:t>
      </w:r>
    </w:p>
    <w:p>
      <w:pPr>
        <w:spacing w:after="120" w:line="276"/>
      </w:pPr>
      <w:r>
        <w:rPr>
          <w:rFonts w:ascii="Calibri" w:cs="Calibri" w:eastAsia="Calibri" w:hAnsi="Calibri"/>
          <w:b/>
          <w:bCs/>
          <w:color w:val="202020"/>
          <w:sz w:val="21"/>
          <w:szCs w:val="21"/>
        </w:rPr>
        <w:t xml:space="preserve">Step 3 must precede step 4</w:t>
      </w:r>
      <w:r>
        <w:rPr>
          <w:rFonts w:ascii="Calibri" w:cs="Calibri" w:eastAsia="Calibri" w:hAnsi="Calibri"/>
          <w:color w:val="202020"/>
          <w:sz w:val="21"/>
          <w:szCs w:val="21"/>
        </w:rPr>
        <w:t xml:space="preserve">. De-duplication equivalence is a property of the source document, not of the pruned one. Step 5 must precede step 6, because a guard that fires after the document has been mutated has already lost the ability to leave the input untouched. Step 10 writes the document before the reports, so a reporting failure cannot discard a completed transform.</w:t>
      </w:r>
    </w:p>
    <w:p>
      <w:pPr>
        <w:pStyle w:val="Heading2"/>
        <w:spacing w:after="120" w:before="280"/>
      </w:pPr>
      <w:r>
        <w:rPr>
          <w:rFonts w:ascii="Cambria" w:cs="Cambria" w:eastAsia="Cambria" w:hAnsi="Cambria"/>
          <w:b/>
          <w:bCs/>
          <w:color w:val="1E2761"/>
          <w:sz w:val="25"/>
          <w:szCs w:val="25"/>
        </w:rPr>
        <w:t xml:space="preserve">2.3  Key data structures</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100"/>
        <w:gridCol w:w="6900"/>
      </w:tblGrid>
      <w:tr>
        <w:trPr>
          <w:tblHeader/>
        </w:trPr>
        <w:tc>
          <w:tcPr>
            <w:tcW w:type="dxa" w:w="21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Structure</w:t>
            </w:r>
          </w:p>
        </w:tc>
        <w:tc>
          <w:tcPr>
            <w:tcW w:type="dxa" w:w="69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Purpose</w:t>
            </w:r>
          </w:p>
        </w:tc>
      </w:tr>
      <w:tr>
        <w:tc>
          <w:tcPr>
            <w:tcW w:type="dxa" w:w="2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SorMapping</w:t>
            </w:r>
          </w:p>
        </w:tc>
        <w:tc>
          <w:tcPr>
            <w:tcW w:type="dxa" w:w="6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Indexed mapping workbook. Carries rows, by_path, by_suffix and by_leaf lookups, the detected layouts, and read statistics. Its resolve() implements the three-tier match.</w:t>
            </w:r>
          </w:p>
        </w:tc>
      </w:tr>
      <w:tr>
        <w:tc>
          <w:tcPr>
            <w:tcW w:type="dxa" w:w="2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usage paths</w:t>
            </w:r>
          </w:p>
        </w:tc>
        <w:tc>
          <w:tcPr>
            <w:tcW w:type="dxa" w:w="6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dict of schema name to list of dotted paths at which that schema appears, derived by walking $ref from the operation bodies.</w:t>
            </w:r>
          </w:p>
        </w:tc>
      </w:tr>
      <w:tr>
        <w:tc>
          <w:tcPr>
            <w:tcW w:type="dxa" w:w="2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diagnostics</w:t>
            </w:r>
          </w:p>
        </w:tc>
        <w:tc>
          <w:tcPr>
            <w:tcW w:type="dxa" w:w="6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Per-run record: attribute totals, match rate, per-attribute strategy, dropped, kept, unmatched, per-schema loss.</w:t>
            </w:r>
          </w:p>
        </w:tc>
      </w:tr>
      <w:tr>
        <w:tc>
          <w:tcPr>
            <w:tcW w:type="dxa" w:w="2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cascade</w:t>
            </w:r>
          </w:p>
        </w:tc>
        <w:tc>
          <w:tcPr>
            <w:tcW w:type="dxa" w:w="6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removed_schemas, removed_properties and empty_body_schemas from the cascade pass.</w:t>
            </w:r>
          </w:p>
        </w:tc>
      </w:tr>
      <w:tr>
        <w:tc>
          <w:tcPr>
            <w:tcW w:type="dxa" w:w="2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result</w:t>
            </w:r>
          </w:p>
        </w:tc>
        <w:tc>
          <w:tcPr>
            <w:tcW w:type="dxa" w:w="69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What run() returns and what every report is rendered from.</w:t>
            </w:r>
          </w:p>
        </w:tc>
      </w:tr>
    </w:tbl>
    <w:p>
      <w:pPr>
        <w:pStyle w:val="Heading1"/>
        <w:spacing w:after="160" w:before="360"/>
      </w:pPr>
      <w:r>
        <w:rPr>
          <w:rFonts w:ascii="Cambria" w:cs="Cambria" w:eastAsia="Cambria" w:hAnsi="Cambria"/>
          <w:b/>
          <w:bCs/>
          <w:color w:val="1E2761"/>
          <w:sz w:val="32"/>
          <w:szCs w:val="32"/>
        </w:rPr>
        <w:t xml:space="preserve">3  Data contracts</w:t>
      </w:r>
    </w:p>
    <w:p>
      <w:pPr>
        <w:pStyle w:val="Heading2"/>
        <w:spacing w:after="120" w:before="280"/>
      </w:pPr>
      <w:r>
        <w:rPr>
          <w:rFonts w:ascii="Cambria" w:cs="Cambria" w:eastAsia="Cambria" w:hAnsi="Cambria"/>
          <w:b/>
          <w:bCs/>
          <w:color w:val="1E2761"/>
          <w:sz w:val="25"/>
          <w:szCs w:val="25"/>
        </w:rPr>
        <w:t xml:space="preserve">3.1  The mapping workbook</w:t>
      </w:r>
    </w:p>
    <w:p>
      <w:pPr>
        <w:spacing w:after="120" w:line="276"/>
      </w:pPr>
      <w:r>
        <w:rPr>
          <w:rFonts w:ascii="Calibri" w:cs="Calibri" w:eastAsia="Calibri" w:hAnsi="Calibri"/>
          <w:color w:val="202020"/>
          <w:sz w:val="21"/>
          <w:szCs w:val="21"/>
        </w:rPr>
        <w:t xml:space="preserve">This is the contract most likely to vary between projects, and the one that has caused the most trouble. The tool detects the layout rather than assuming it.</w:t>
      </w:r>
    </w:p>
    <w:p>
      <w:pPr>
        <w:pStyle w:val="ListParagraph"/>
        <w:numPr>
          <w:ilvl w:val="0"/>
          <w:numId w:val="2"/>
        </w:numPr>
        <w:spacing w:after="60" w:line="276"/>
      </w:pPr>
      <w:r>
        <w:rPr>
          <w:rFonts w:ascii="Calibri" w:cs="Calibri" w:eastAsia="Calibri" w:hAnsi="Calibri"/>
          <w:color w:val="202020"/>
          <w:sz w:val="21"/>
          <w:szCs w:val="21"/>
        </w:rPr>
        <w:t xml:space="preserve">Every worksheet is scanned independently. Different sheets in one workbook may have different layouts, and in practice they do.</w:t>
      </w:r>
    </w:p>
    <w:p>
      <w:pPr>
        <w:pStyle w:val="ListParagraph"/>
        <w:numPr>
          <w:ilvl w:val="0"/>
          <w:numId w:val="2"/>
        </w:numPr>
        <w:spacing w:after="60" w:line="276"/>
      </w:pPr>
      <w:r>
        <w:rPr>
          <w:rFonts w:ascii="Calibri" w:cs="Calibri" w:eastAsia="Calibri" w:hAnsi="Calibri"/>
          <w:color w:val="202020"/>
          <w:sz w:val="21"/>
          <w:szCs w:val="21"/>
        </w:rPr>
        <w:t xml:space="preserve">The first forty rows of each sheet are scanned for a header row. Candidate rows are scored, and the best-scoring row wins.</w:t>
      </w:r>
    </w:p>
    <w:p>
      <w:pPr>
        <w:pStyle w:val="ListParagraph"/>
        <w:numPr>
          <w:ilvl w:val="0"/>
          <w:numId w:val="2"/>
        </w:numPr>
        <w:spacing w:after="60" w:line="276"/>
      </w:pPr>
      <w:r>
        <w:rPr>
          <w:rFonts w:ascii="Calibri" w:cs="Calibri" w:eastAsia="Calibri" w:hAnsi="Calibri"/>
          <w:color w:val="202020"/>
          <w:sz w:val="21"/>
          <w:szCs w:val="21"/>
        </w:rPr>
        <w:t xml:space="preserve">Columns are resolved by matching their labels, in a priority order that assigns the SOR column before the field column. Without that ordering, the rule for “field name” claims the column headed “SOR API Field Name”.</w:t>
      </w:r>
    </w:p>
    <w:p>
      <w:pPr>
        <w:pStyle w:val="ListParagraph"/>
        <w:numPr>
          <w:ilvl w:val="0"/>
          <w:numId w:val="2"/>
        </w:numPr>
        <w:spacing w:after="60" w:line="276"/>
      </w:pPr>
      <w:r>
        <w:rPr>
          <w:rFonts w:ascii="Calibri" w:cs="Calibri" w:eastAsia="Calibri" w:hAnsi="Calibri"/>
          <w:color w:val="202020"/>
          <w:sz w:val="21"/>
          <w:szCs w:val="21"/>
        </w:rPr>
        <w:t xml:space="preserve">Two hierarchy shapes are supported: a single dotted-path column, and the legacy layout spreading the hierarchy across columns headed Level 1 to Level n.</w:t>
      </w:r>
    </w:p>
    <w:p>
      <w:pPr>
        <w:pStyle w:val="ListParagraph"/>
        <w:numPr>
          <w:ilvl w:val="0"/>
          <w:numId w:val="2"/>
        </w:numPr>
        <w:spacing w:after="60" w:line="276"/>
      </w:pPr>
      <w:r>
        <w:rPr>
          <w:rFonts w:ascii="Calibri" w:cs="Calibri" w:eastAsia="Calibri" w:hAnsi="Calibri"/>
          <w:color w:val="202020"/>
          <w:sz w:val="21"/>
          <w:szCs w:val="21"/>
        </w:rPr>
        <w:t xml:space="preserve">When no header row is recognisable, the caller-supplied fixed columns are used, and the layout is reported with mode “fallback” so the operator can see it happened.</w:t>
      </w:r>
    </w:p>
    <w:p>
      <w:pPr>
        <w:spacing w:after="80"/>
      </w:pPr>
    </w:p>
    <w:p>
      <w:pPr>
        <w:spacing w:after="120" w:line="276"/>
      </w:pPr>
      <w:r>
        <w:rPr>
          <w:rFonts w:ascii="Calibri" w:cs="Calibri" w:eastAsia="Calibri" w:hAnsi="Calibri"/>
          <w:color w:val="202020"/>
          <w:sz w:val="21"/>
          <w:szCs w:val="21"/>
        </w:rPr>
        <w:t xml:space="preserve">Values that mean “this attribute has no SOR field”:</w:t>
      </w:r>
    </w:p>
    <w:p>
      <w:pPr>
        <w:pBdr>
          <w:top w:val="single" w:color="F2F4F7" w:sz="2" w:space="4"/>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blank   non-breaking space   N/A   n/a   NA   -   --   TBD   TBA</w:t>
      </w:r>
    </w:p>
    <w:p>
      <w:pPr>
        <w:pBdr>
          <w:bottom w:val="single" w:color="F2F4F7" w:sz="2" w:space="4"/>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None    Null   Nil   Not Used In SOR   Not Applicable   No Mapping</w:t>
      </w:r>
    </w:p>
    <w:p>
      <w:pPr>
        <w:spacing w:after="120" w:line="276"/>
      </w:pPr>
      <w:r>
        <w:rPr>
          <w:rFonts w:ascii="Calibri" w:cs="Calibri" w:eastAsia="Calibri" w:hAnsi="Calibri"/>
          <w:color w:val="202020"/>
          <w:sz w:val="21"/>
          <w:szCs w:val="21"/>
        </w:rPr>
        <w:t xml:space="preserve">Add to this set rather than replacing it, and add the test alongside.</w:t>
      </w:r>
    </w:p>
    <w:p>
      <w:pPr>
        <w:pStyle w:val="Heading2"/>
        <w:spacing w:after="120" w:before="280"/>
      </w:pPr>
      <w:r>
        <w:rPr>
          <w:rFonts w:ascii="Cambria" w:cs="Cambria" w:eastAsia="Cambria" w:hAnsi="Cambria"/>
          <w:b/>
          <w:bCs/>
          <w:color w:val="1E2761"/>
          <w:sz w:val="25"/>
          <w:szCs w:val="25"/>
        </w:rPr>
        <w:t xml:space="preserve">3.2  The OpenAPI input</w:t>
      </w:r>
    </w:p>
    <w:p>
      <w:pPr>
        <w:pStyle w:val="ListParagraph"/>
        <w:numPr>
          <w:ilvl w:val="0"/>
          <w:numId w:val="2"/>
        </w:numPr>
        <w:spacing w:after="60" w:line="276"/>
      </w:pPr>
      <w:r>
        <w:rPr>
          <w:rFonts w:ascii="Calibri" w:cs="Calibri" w:eastAsia="Calibri" w:hAnsi="Calibri"/>
          <w:color w:val="202020"/>
          <w:sz w:val="21"/>
          <w:szCs w:val="21"/>
        </w:rPr>
        <w:t xml:space="preserve">OpenAPI 3.x, YAML, parsed round-trip with ruamel.yaml so comments and ordering survive.</w:t>
      </w:r>
    </w:p>
    <w:p>
      <w:pPr>
        <w:pStyle w:val="ListParagraph"/>
        <w:numPr>
          <w:ilvl w:val="0"/>
          <w:numId w:val="2"/>
        </w:numPr>
        <w:spacing w:after="60" w:line="276"/>
      </w:pPr>
      <w:r>
        <w:rPr>
          <w:rFonts w:ascii="Calibri" w:cs="Calibri" w:eastAsia="Calibri" w:hAnsi="Calibri"/>
          <w:color w:val="202020"/>
          <w:sz w:val="21"/>
          <w:szCs w:val="21"/>
        </w:rPr>
        <w:t xml:space="preserve">Local $ref only, of the form #/components/schemas/Name. Remote and URL references are not resolved.</w:t>
      </w:r>
    </w:p>
    <w:p>
      <w:pPr>
        <w:pStyle w:val="ListParagraph"/>
        <w:numPr>
          <w:ilvl w:val="0"/>
          <w:numId w:val="2"/>
        </w:numPr>
        <w:spacing w:after="60" w:line="276"/>
      </w:pPr>
      <w:r>
        <w:rPr>
          <w:rFonts w:ascii="Calibri" w:cs="Calibri" w:eastAsia="Calibri" w:hAnsi="Calibri"/>
          <w:color w:val="202020"/>
          <w:sz w:val="21"/>
          <w:szCs w:val="21"/>
        </w:rPr>
        <w:t xml:space="preserve">Operation bodies are found from paths, following requestBody and any 2xx response, including through components/requestBodies and components/responses.</w:t>
      </w:r>
    </w:p>
    <w:p>
      <w:pPr>
        <w:pStyle w:val="ListParagraph"/>
        <w:numPr>
          <w:ilvl w:val="0"/>
          <w:numId w:val="2"/>
        </w:numPr>
        <w:spacing w:after="60" w:line="276"/>
      </w:pPr>
      <w:r>
        <w:rPr>
          <w:rFonts w:ascii="Calibri" w:cs="Calibri" w:eastAsia="Calibri" w:hAnsi="Calibri"/>
          <w:color w:val="202020"/>
          <w:sz w:val="21"/>
          <w:szCs w:val="21"/>
        </w:rPr>
        <w:t xml:space="preserve">The input may be UTF-8, UTF-8 with a byte-order mark, or a Windows single-byte encoding. The output is always UTF-8.</w:t>
      </w:r>
    </w:p>
    <w:p>
      <w:pPr>
        <w:pStyle w:val="Heading2"/>
        <w:spacing w:after="120" w:before="280"/>
      </w:pPr>
      <w:r>
        <w:rPr>
          <w:rFonts w:ascii="Cambria" w:cs="Cambria" w:eastAsia="Cambria" w:hAnsi="Cambria"/>
          <w:b/>
          <w:bCs/>
          <w:color w:val="1E2761"/>
          <w:sz w:val="25"/>
          <w:szCs w:val="25"/>
        </w:rPr>
        <w:t xml:space="preserve">3.3  The batch manifest</w:t>
      </w:r>
    </w:p>
    <w:p>
      <w:pPr>
        <w:spacing w:after="120" w:line="276"/>
      </w:pPr>
      <w:r>
        <w:rPr>
          <w:rFonts w:ascii="Calibri" w:cs="Calibri" w:eastAsia="Calibri" w:hAnsi="Calibri"/>
          <w:color w:val="202020"/>
          <w:sz w:val="21"/>
          <w:szCs w:val="21"/>
        </w:rPr>
        <w:t xml:space="preserve">One job per row, CSV or Excel, header row case-insensitive, unknown columns ignored. Required: swagger and mapping. Everything else defaults. Relative paths resolve against the manifest's own folder.</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200"/>
        <w:gridCol w:w="1300"/>
        <w:gridCol w:w="5500"/>
      </w:tblGrid>
      <w:tr>
        <w:trPr>
          <w:tblHeader/>
        </w:trPr>
        <w:tc>
          <w:tcPr>
            <w:tcW w:type="dxa" w:w="22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Column</w:t>
            </w:r>
          </w:p>
        </w:tc>
        <w:tc>
          <w:tcPr>
            <w:tcW w:type="dxa" w:w="13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Default</w:t>
            </w:r>
          </w:p>
        </w:tc>
        <w:tc>
          <w:tcPr>
            <w:tcW w:type="dxa" w:w="5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Notes</w:t>
            </w:r>
          </w:p>
        </w:tc>
      </w:tr>
      <w:t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on_unmatched</w:t>
            </w:r>
          </w:p>
        </w:tc>
        <w:tc>
          <w:tcPr>
            <w:tcW w:type="dxa" w:w="1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keep</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keep or drop. Changing this to drop is the single most dangerous setting in the tool.</w:t>
            </w:r>
          </w:p>
        </w:tc>
      </w:tr>
      <w:t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min_match_rate</w:t>
            </w:r>
          </w:p>
        </w:tc>
        <w:tc>
          <w:tcPr>
            <w:tcW w:type="dxa" w:w="1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0.25</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Abort below this mapping match rate.</w:t>
            </w:r>
          </w:p>
        </w:tc>
      </w:tr>
      <w:t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max_total_loss</w:t>
            </w:r>
          </w:p>
        </w:tc>
        <w:tc>
          <w:tcPr>
            <w:tcW w:type="dxa" w:w="1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0.75</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Abort above this share of attributes eliminated.</w:t>
            </w:r>
          </w:p>
        </w:tc>
      </w:tr>
      <w:t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guards / assertions</w:t>
            </w:r>
          </w:p>
        </w:tc>
        <w:tc>
          <w:tcPr>
            <w:tcW w:type="dxa" w:w="1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true</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Switch the two circuit breakers and the output assertions.</w:t>
            </w:r>
          </w:p>
        </w:tc>
      </w:tr>
      <w:t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auto_layout</w:t>
            </w:r>
          </w:p>
        </w:tc>
        <w:tc>
          <w:tcPr>
            <w:tcW w:type="dxa" w:w="1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true</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Set false only to force the fixed columns.</w:t>
            </w:r>
          </w:p>
        </w:tc>
      </w:tr>
      <w:tr>
        <w:tc>
          <w:tcPr>
            <w:tcW w:type="dxa" w:w="22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dedupe_strictness</w:t>
            </w:r>
          </w:p>
        </w:tc>
        <w:tc>
          <w:tcPr>
            <w:tcW w:type="dxa" w:w="1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deep</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deep or shape.</w:t>
            </w:r>
          </w:p>
        </w:tc>
      </w:tr>
    </w:tbl>
    <w:p>
      <w:pPr>
        <w:pStyle w:val="Heading2"/>
        <w:spacing w:after="120" w:before="280"/>
      </w:pPr>
      <w:r>
        <w:rPr>
          <w:rFonts w:ascii="Cambria" w:cs="Cambria" w:eastAsia="Cambria" w:hAnsi="Cambria"/>
          <w:b/>
          <w:bCs/>
          <w:color w:val="1E2761"/>
          <w:sz w:val="25"/>
          <w:szCs w:val="25"/>
        </w:rPr>
        <w:t xml:space="preserve">3.4  Output annotations</w:t>
      </w:r>
    </w:p>
    <w:p>
      <w:pPr>
        <w:spacing w:after="120" w:line="276"/>
      </w:pPr>
      <w:r>
        <w:rPr>
          <w:rFonts w:ascii="Calibri" w:cs="Calibri" w:eastAsia="Calibri" w:hAnsi="Calibri"/>
          <w:color w:val="202020"/>
          <w:sz w:val="21"/>
          <w:szCs w:val="21"/>
        </w:rPr>
        <w:t xml:space="preserve">Every run records what it did inside the document itself, under info.x-sor-polymorphizer. Treat this as a public contract; downstream consumers read it.</w:t>
      </w:r>
    </w:p>
    <w:p>
      <w:pPr>
        <w:pBdr>
          <w:top w:val="single" w:color="F2F4F7" w:sz="2" w:space="4"/>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toolVersion, summary</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mappingCoverage:  attributesInSpec, matchedToMapping, notFoundInMapping,</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matchRate, resolutionStrategies</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eliminatedAttributes        each with its reason and matching strategy</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keptButNotInMapping         the attributes the mapping never mentioned</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cascadeRemovedObjects       objects deleted for having no attributes left</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cascadeRemovedReferences    the references removed with them</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emptyOperationBodies        bodies that would be empty; never auto-deleted</w:t>
      </w:r>
    </w:p>
    <w:p>
      <w:pPr>
        <w:pBdr>
          <w:bottom w:val="single" w:color="F2F4F7" w:sz="2" w:space="4"/>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polymorphism, deduplication</w:t>
      </w:r>
    </w:p>
    <w:p>
      <w:pPr>
        <w:pStyle w:val="Heading1"/>
        <w:spacing w:after="160" w:before="360"/>
      </w:pPr>
      <w:r>
        <w:rPr>
          <w:rFonts w:ascii="Cambria" w:cs="Cambria" w:eastAsia="Cambria" w:hAnsi="Cambria"/>
          <w:b/>
          <w:bCs/>
          <w:color w:val="1E2761"/>
          <w:sz w:val="32"/>
          <w:szCs w:val="32"/>
        </w:rPr>
        <w:t xml:space="preserve">4  Invariants and defect history</w:t>
      </w:r>
    </w:p>
    <w:p>
      <w:pPr>
        <w:spacing w:after="120" w:line="276"/>
      </w:pPr>
      <w:r>
        <w:rPr>
          <w:rFonts w:ascii="Calibri" w:cs="Calibri" w:eastAsia="Calibri" w:hAnsi="Calibri"/>
          <w:color w:val="202020"/>
          <w:sz w:val="21"/>
          <w:szCs w:val="21"/>
        </w:rPr>
        <w:t xml:space="preserve">Version 4 of this tool emptied a production specification. Of 427 scalar attributes it retained 39, and left 62 of 156 component schemas holding a description and nothing else, so payload examples rendered as empty objects. The cause was a mapping lookup that never matched, combined with design choices that turned a lookup failure into silent data loss.</w:t>
      </w:r>
    </w:p>
    <w:p>
      <w:pPr>
        <w:spacing w:after="120" w:line="276"/>
      </w:pPr>
      <w:r>
        <w:rPr>
          <w:rFonts w:ascii="Calibri" w:cs="Calibri" w:eastAsia="Calibri" w:hAnsi="Calibri"/>
          <w:color w:val="202020"/>
          <w:sz w:val="21"/>
          <w:szCs w:val="21"/>
        </w:rPr>
        <w:t xml:space="preserve">Each row below is an invariant. Breaking one reintroduces a defect that has already reached a customer. The regression suite is organised by these identifiers for exactly that reason.</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500"/>
        <w:gridCol w:w="3000"/>
        <w:gridCol w:w="5500"/>
      </w:tblGrid>
      <w:tr>
        <w:trPr>
          <w:tblHeader/>
        </w:trPr>
        <w:tc>
          <w:tcPr>
            <w:tcW w:type="dxa" w:w="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ID</w:t>
            </w:r>
          </w:p>
        </w:tc>
        <w:tc>
          <w:tcPr>
            <w:tcW w:type="dxa" w:w="30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Invariant</w:t>
            </w:r>
          </w:p>
        </w:tc>
        <w:tc>
          <w:tcPr>
            <w:tcW w:type="dxa" w:w="5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breaking it looked like</w:t>
            </w:r>
          </w:p>
        </w:tc>
      </w:tr>
      <w:tr>
        <w:tc>
          <w:tcPr>
            <w:tcW w:type="dxa" w:w="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D1</w:t>
            </w:r>
          </w:p>
        </w:tc>
        <w:tc>
          <w:tcPr>
            <w:tcW w:type="dxa" w:w="3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spreadsheet layout is detected, never assumed.</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Fixed columns read Usage and Description as the attribute name and an empty column as the SOR field. 945 of 986 attributes were logged “absent from mapping”.</w:t>
            </w:r>
          </w:p>
        </w:tc>
      </w:tr>
      <w:tr>
        <w:tc>
          <w:tcPr>
            <w:tcW w:type="dxa" w:w="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D2</w:t>
            </w:r>
          </w:p>
        </w:tc>
        <w:tc>
          <w:tcPr>
            <w:tcW w:type="dxa" w:w="3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Attributes resolve on the qualified path, then suffixes, then the bare leaf.</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flat global leaf namespace made the same leaf in two operations collide, and qualified mapping rows unusable.</w:t>
            </w:r>
          </w:p>
        </w:tc>
      </w:tr>
      <w:tr>
        <w:tc>
          <w:tcPr>
            <w:tcW w:type="dxa" w:w="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D3</w:t>
            </w:r>
          </w:p>
        </w:tc>
        <w:tc>
          <w:tcPr>
            <w:tcW w:type="dxa" w:w="3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Not found means keep and flag. Elimination needs a positive signal.</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join failure was indistinguishable from a genuine “not used in SOR”, so everything was deleted.</w:t>
            </w:r>
          </w:p>
        </w:tc>
      </w:tr>
      <w:tr>
        <w:tc>
          <w:tcPr>
            <w:tcW w:type="dxa" w:w="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D4</w:t>
            </w:r>
          </w:p>
        </w:tc>
        <w:tc>
          <w:tcPr>
            <w:tcW w:type="dxa" w:w="3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An object that loses every attribute is removed with its references.</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Hollow schemas remained with every $ref still pointing at them, so payloads rendered as empty objects.</w:t>
            </w:r>
          </w:p>
        </w:tc>
      </w:tr>
      <w:tr>
        <w:tc>
          <w:tcPr>
            <w:tcW w:type="dxa" w:w="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D5</w:t>
            </w:r>
          </w:p>
        </w:tc>
        <w:tc>
          <w:tcPr>
            <w:tcW w:type="dxa" w:w="3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De-duplication equivalence comes from the original document and is re-verified.</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Two schemas that differed in the source compared equal once both were gutted and were merged, silently losing a field.</w:t>
            </w:r>
          </w:p>
        </w:tc>
      </w:tr>
      <w:tr>
        <w:tc>
          <w:tcPr>
            <w:tcW w:type="dxa" w:w="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D6</w:t>
            </w:r>
          </w:p>
        </w:tc>
        <w:tc>
          <w:tcPr>
            <w:tcW w:type="dxa" w:w="3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Guards abort before writing; assertions check what was written.</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An emptied specification was written and reported as a success.</w:t>
            </w:r>
          </w:p>
        </w:tc>
      </w:tr>
      <w:tr>
        <w:tc>
          <w:tcPr>
            <w:tcW w:type="dxa" w:w="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D7</w:t>
            </w:r>
          </w:p>
        </w:tc>
        <w:tc>
          <w:tcPr>
            <w:tcW w:type="dxa" w:w="30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Encoding is explicit on every read and write; reports are non-fatal.</w:t>
            </w:r>
          </w:p>
        </w:tc>
        <w:tc>
          <w:tcPr>
            <w:tcW w:type="dxa" w:w="5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Platform-default writes produced cp1252 output that the report then failed to read as UTF-8, and the exception discarded the whole run.</w:t>
            </w:r>
          </w:p>
        </w:tc>
      </w:tr>
    </w:tbl>
    <w:p>
      <w:pPr>
        <w:spacing w:after="160"/>
      </w:pPr>
    </w:p>
    <w:p>
      <w:pPr>
        <w:pStyle w:val="Heading2"/>
        <w:spacing w:after="120" w:before="280"/>
      </w:pPr>
      <w:r>
        <w:rPr>
          <w:rFonts w:ascii="Cambria" w:cs="Cambria" w:eastAsia="Cambria" w:hAnsi="Cambria"/>
          <w:b/>
          <w:bCs/>
          <w:color w:val="1E2761"/>
          <w:sz w:val="25"/>
          <w:szCs w:val="25"/>
        </w:rPr>
        <w:t xml:space="preserve">4.1  Verified reference results</w:t>
      </w:r>
    </w:p>
    <w:p>
      <w:pPr>
        <w:spacing w:after="120" w:line="276"/>
      </w:pPr>
      <w:r>
        <w:rPr>
          <w:rFonts w:ascii="Calibri" w:cs="Calibri" w:eastAsia="Calibri" w:hAnsi="Calibri"/>
          <w:color w:val="202020"/>
          <w:sz w:val="21"/>
          <w:szCs w:val="21"/>
        </w:rPr>
        <w:t xml:space="preserve">Reproducible on the reference specification and mapping shipped with the toolkit. Use these numbers as a regression baseline when changing the engine.</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3800"/>
        <w:gridCol w:w="2400"/>
        <w:gridCol w:w="2800"/>
      </w:tblGrid>
      <w:tr>
        <w:trPr>
          <w:tblHeader/>
        </w:trPr>
        <w:tc>
          <w:tcPr>
            <w:tcW w:type="dxa" w:w="38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Measure</w:t>
            </w:r>
          </w:p>
        </w:tc>
        <w:tc>
          <w:tcPr>
            <w:tcW w:type="dxa" w:w="2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Version 4</w:t>
            </w:r>
          </w:p>
        </w:tc>
        <w:tc>
          <w:tcPr>
            <w:tcW w:type="dxa" w:w="28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Version 5.1</w:t>
            </w:r>
          </w:p>
        </w:tc>
      </w:tr>
      <w:tr>
        <w:tc>
          <w:tcPr>
            <w:tcW w:type="dxa" w:w="3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Mapping rows indexed</w:t>
            </w:r>
          </w:p>
        </w:tc>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 usable</w:t>
            </w:r>
          </w:p>
        </w:tc>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2,371 across 26 sheets</w:t>
            </w:r>
          </w:p>
        </w:tc>
      </w:tr>
      <w:tr>
        <w:tc>
          <w:tcPr>
            <w:tcW w:type="dxa" w:w="3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Attributes resolved</w:t>
            </w:r>
          </w:p>
        </w:tc>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 of 986</w:t>
            </w:r>
          </w:p>
        </w:tc>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986 of 986, 979 by exact path</w:t>
            </w:r>
          </w:p>
        </w:tc>
      </w:tr>
      <w:tr>
        <w:tc>
          <w:tcPr>
            <w:tcW w:type="dxa" w:w="3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Attributes eliminated</w:t>
            </w:r>
          </w:p>
        </w:tc>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986</w:t>
            </w:r>
          </w:p>
        </w:tc>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491, all on a positive signal</w:t>
            </w:r>
          </w:p>
        </w:tc>
      </w:tr>
      <w:tr>
        <w:tc>
          <w:tcPr>
            <w:tcW w:type="dxa" w:w="3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Scalar attributes retained (input 427)</w:t>
            </w:r>
          </w:p>
        </w:tc>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39</w:t>
            </w:r>
          </w:p>
        </w:tc>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279</w:t>
            </w:r>
          </w:p>
        </w:tc>
      </w:tr>
      <w:tr>
        <w:tc>
          <w:tcPr>
            <w:tcW w:type="dxa" w:w="3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Schemas with an empty properties map</w:t>
            </w:r>
          </w:p>
        </w:tc>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62</w:t>
            </w:r>
          </w:p>
        </w:tc>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w:t>
            </w:r>
          </w:p>
        </w:tc>
      </w:tr>
      <w:tr>
        <w:tc>
          <w:tcPr>
            <w:tcW w:type="dxa" w:w="3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Output assertion failures</w:t>
            </w:r>
          </w:p>
        </w:tc>
        <w:tc>
          <w:tcPr>
            <w:tcW w:type="dxa" w:w="2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not checked</w:t>
            </w:r>
          </w:p>
        </w:tc>
        <w:tc>
          <w:tcPr>
            <w:tcW w:type="dxa" w:w="28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0</w:t>
            </w:r>
          </w:p>
        </w:tc>
      </w:tr>
    </w:tbl>
    <w:p>
      <w:pPr>
        <w:pStyle w:val="Heading1"/>
        <w:spacing w:after="160" w:before="360"/>
      </w:pPr>
      <w:r>
        <w:rPr>
          <w:rFonts w:ascii="Cambria" w:cs="Cambria" w:eastAsia="Cambria" w:hAnsi="Cambria"/>
          <w:b/>
          <w:bCs/>
          <w:color w:val="1E2761"/>
          <w:sz w:val="32"/>
          <w:szCs w:val="32"/>
        </w:rPr>
        <w:t xml:space="preserve">5  Building, testing and packaging</w:t>
      </w:r>
    </w:p>
    <w:p>
      <w:pPr>
        <w:pStyle w:val="Heading2"/>
        <w:spacing w:after="120" w:before="280"/>
      </w:pPr>
      <w:r>
        <w:rPr>
          <w:rFonts w:ascii="Cambria" w:cs="Cambria" w:eastAsia="Cambria" w:hAnsi="Cambria"/>
          <w:b/>
          <w:bCs/>
          <w:color w:val="1E2761"/>
          <w:sz w:val="25"/>
          <w:szCs w:val="25"/>
        </w:rPr>
        <w:t xml:space="preserve">5.1  Development setup</w:t>
      </w:r>
    </w:p>
    <w:p>
      <w:pPr>
        <w:pBdr>
          <w:top w:val="single" w:color="F2F4F7" w:sz="2" w:space="4"/>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python -m pip install ruamel.yaml openpyxl</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python -m pip install tkinterdnd2      # optional, drag and drop in the GUI</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python tests/test_regressions.py       # must report 0 failures</w:t>
      </w:r>
    </w:p>
    <w:p>
      <w:pPr>
        <w:pBdr>
          <w:bottom w:val="single" w:color="F2F4F7" w:sz="2" w:space="4"/>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python -m py_compile polymorphize_*.py</w:t>
      </w:r>
    </w:p>
    <w:p>
      <w:pPr>
        <w:pStyle w:val="Heading2"/>
        <w:spacing w:after="120" w:before="280"/>
      </w:pPr>
      <w:r>
        <w:rPr>
          <w:rFonts w:ascii="Cambria" w:cs="Cambria" w:eastAsia="Cambria" w:hAnsi="Cambria"/>
          <w:b/>
          <w:bCs/>
          <w:color w:val="1E2761"/>
          <w:sz w:val="25"/>
          <w:szCs w:val="25"/>
        </w:rPr>
        <w:t xml:space="preserve">5.2  Running it</w:t>
      </w:r>
    </w:p>
    <w:p>
      <w:pPr>
        <w:pBdr>
          <w:top w:val="single" w:color="F2F4F7" w:sz="2" w:space="4"/>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always start here on a new mapping workbook</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python polymorphize_cli.py --diagnose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--swagger api.yaml --mapping mapping.xlsx</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transform</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python polymorphize_cli.py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--swagger api.yaml --mapping mapping.xlsx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--out api_polymorphic.yaml --report report.md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--html-report changes.html --auto-dedupe</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many files</w:t>
      </w:r>
    </w:p>
    <w:p>
      <w:pPr>
        <w:pBdr>
          <w:bottom w:val="single" w:color="F2F4F7" w:sz="2" w:space="4"/>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python polymorphize_batch.py --manifest jobs.csv --jobs 4</w:t>
      </w:r>
    </w:p>
    <w:p>
      <w:pPr>
        <w:spacing w:after="120" w:line="276"/>
      </w:pPr>
      <w:r>
        <w:rPr>
          <w:rFonts w:ascii="Calibri" w:cs="Calibri" w:eastAsia="Calibri" w:hAnsi="Calibri"/>
          <w:color w:val="202020"/>
          <w:sz w:val="21"/>
          <w:szCs w:val="21"/>
        </w:rPr>
        <w:t xml:space="preserve">Exit codes: 0 success, 3 mapping coverage abort, 4 excessive loss abort, 5 post-run assertion failure. Anything non-zero from the batch runner means at least one job did not produce output.</w:t>
      </w:r>
    </w:p>
    <w:p>
      <w:pPr>
        <w:pStyle w:val="Heading2"/>
        <w:spacing w:after="120" w:before="280"/>
      </w:pPr>
      <w:r>
        <w:rPr>
          <w:rFonts w:ascii="Cambria" w:cs="Cambria" w:eastAsia="Cambria" w:hAnsi="Cambria"/>
          <w:b/>
          <w:bCs/>
          <w:color w:val="1E2761"/>
          <w:sz w:val="25"/>
          <w:szCs w:val="25"/>
        </w:rPr>
        <w:t xml:space="preserve">5.3  Windows executable</w:t>
      </w:r>
    </w:p>
    <w:p>
      <w:pPr>
        <w:spacing w:after="120" w:line="276"/>
      </w:pPr>
      <w:r>
        <w:rPr>
          <w:rFonts w:ascii="Calibri" w:cs="Calibri" w:eastAsia="Calibri" w:hAnsi="Calibri"/>
          <w:color w:val="202020"/>
          <w:sz w:val="21"/>
          <w:szCs w:val="21"/>
        </w:rPr>
        <w:t xml:space="preserve">PyInstaller is not a cross-compiler; the executable must be built on Windows. build_windows_exe.bat clears the caches, installs the dependencies and produces dist\PolymorphizeSwagger.exe as a single self-contained file. Confirm the title bar reads the expected version after building, because running an old executable from a stale dist folder is the most common false alarm.</w:t>
      </w:r>
    </w:p>
    <w:p>
      <w:pPr>
        <w:pStyle w:val="Heading2"/>
        <w:spacing w:after="120" w:before="280"/>
      </w:pPr>
      <w:r>
        <w:rPr>
          <w:rFonts w:ascii="Cambria" w:cs="Cambria" w:eastAsia="Cambria" w:hAnsi="Cambria"/>
          <w:b/>
          <w:bCs/>
          <w:color w:val="1E2761"/>
          <w:sz w:val="25"/>
          <w:szCs w:val="25"/>
        </w:rPr>
        <w:t xml:space="preserve">5.4  The test suite</w:t>
      </w:r>
    </w:p>
    <w:p>
      <w:pPr>
        <w:spacing w:after="120" w:line="276"/>
      </w:pPr>
      <w:r>
        <w:rPr>
          <w:rFonts w:ascii="Calibri" w:cs="Calibri" w:eastAsia="Calibri" w:hAnsi="Calibri"/>
          <w:color w:val="202020"/>
          <w:sz w:val="21"/>
          <w:szCs w:val="21"/>
        </w:rPr>
        <w:t xml:space="preserve">tests/test_regressions.py builds its own workbooks and specifications with openpyxl, runs the engine end to end, and prints one line per check grouped by defect identifier. It needs no test framework and no fixtures on disk.</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700"/>
        <w:gridCol w:w="8300"/>
      </w:tblGrid>
      <w:tr>
        <w:trPr>
          <w:tblHeader/>
        </w:trPr>
        <w:tc>
          <w:tcPr>
            <w:tcW w:type="dxa" w:w="7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Group</w:t>
            </w:r>
          </w:p>
        </w:tc>
        <w:tc>
          <w:tcPr>
            <w:tcW w:type="dxa" w:w="83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What it protects</w:t>
            </w:r>
          </w:p>
        </w:tc>
      </w:tr>
      <w:tr>
        <w:tc>
          <w:tcPr>
            <w:tcW w:type="dxa" w:w="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D1</w:t>
            </w:r>
          </w:p>
        </w:tc>
        <w:tc>
          <w:tcPr>
            <w:tcW w:type="dxa" w:w="8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Header row found part-way down a sheet; columns resolved by label; the legacy Level layout; every not-used token.</w:t>
            </w:r>
          </w:p>
        </w:tc>
      </w:tr>
      <w:tr>
        <w:tc>
          <w:tcPr>
            <w:tcW w:type="dxa" w:w="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D2</w:t>
            </w:r>
          </w:p>
        </w:tc>
        <w:tc>
          <w:tcPr>
            <w:tcW w:type="dxa" w:w="8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Qualified-path resolution and the strategy counters.</w:t>
            </w:r>
          </w:p>
        </w:tc>
      </w:tr>
      <w:tr>
        <w:tc>
          <w:tcPr>
            <w:tcW w:type="dxa" w:w="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D3</w:t>
            </w:r>
          </w:p>
        </w:tc>
        <w:tc>
          <w:tcPr>
            <w:tcW w:type="dxa" w:w="8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Unmatched attributes retained; N/A attributes removed; required lists cleaned; the drop opt-in still works.</w:t>
            </w:r>
          </w:p>
        </w:tc>
      </w:tr>
      <w:tr>
        <w:tc>
          <w:tcPr>
            <w:tcW w:type="dxa" w:w="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D4</w:t>
            </w:r>
          </w:p>
        </w:tc>
        <w:tc>
          <w:tcPr>
            <w:tcW w:type="dxa" w:w="8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Emptied object removed; its array property removed; a mapped sibling survives; no empty properties map remains.</w:t>
            </w:r>
          </w:p>
        </w:tc>
      </w:tr>
      <w:tr>
        <w:tc>
          <w:tcPr>
            <w:tcW w:type="dxa" w:w="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D5</w:t>
            </w:r>
          </w:p>
        </w:tc>
        <w:tc>
          <w:tcPr>
            <w:tcW w:type="dxa" w:w="8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diverged pair is not merged and its unique attribute survives; an identical pair still is merged.</w:t>
            </w:r>
          </w:p>
        </w:tc>
      </w:tr>
      <w:tr>
        <w:tc>
          <w:tcPr>
            <w:tcW w:type="dxa" w:w="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D6</w:t>
            </w:r>
          </w:p>
        </w:tc>
        <w:tc>
          <w:tcPr>
            <w:tcW w:type="dxa" w:w="8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Both circuit breakers fire and write nothing; assert_output detects an emptied schema and a dangling reference.</w:t>
            </w:r>
          </w:p>
        </w:tc>
      </w:tr>
      <w:tr>
        <w:tc>
          <w:tcPr>
            <w:tcW w:type="dxa" w:w="7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D7</w:t>
            </w:r>
          </w:p>
        </w:tc>
        <w:tc>
          <w:tcPr>
            <w:tcW w:type="dxa" w:w="83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UTF-8, BOM and cp1252 inputs; UTF-8 outputs; a failing report does not lose the transform.</w:t>
            </w:r>
          </w:p>
        </w:tc>
      </w:tr>
    </w:tbl>
    <w:p>
      <w:pPr>
        <w:spacing w:after="160"/>
      </w:pPr>
    </w:p>
    <w:p>
      <w:pPr>
        <w:spacing w:after="120" w:line="276"/>
      </w:pPr>
      <w:r>
        <w:rPr>
          <w:rFonts w:ascii="Calibri" w:cs="Calibri" w:eastAsia="Calibri" w:hAnsi="Calibri"/>
          <w:i/>
          <w:iCs/>
          <w:color w:val="202020"/>
          <w:sz w:val="21"/>
          <w:szCs w:val="21"/>
        </w:rPr>
        <w:t xml:space="preserve">When you fix a defect, add its check to the matching group. When you add a behaviour, add a group. A change with no test is a change that will be undone by the next one.</w:t>
      </w:r>
    </w:p>
    <w:p>
      <w:pPr>
        <w:pStyle w:val="Heading1"/>
        <w:spacing w:after="160" w:before="360"/>
      </w:pPr>
      <w:r>
        <w:rPr>
          <w:rFonts w:ascii="Cambria" w:cs="Cambria" w:eastAsia="Cambria" w:hAnsi="Cambria"/>
          <w:b/>
          <w:bCs/>
          <w:color w:val="1E2761"/>
          <w:sz w:val="32"/>
          <w:szCs w:val="32"/>
        </w:rPr>
        <w:t xml:space="preserve">6  Operational runbook</w:t>
      </w:r>
    </w:p>
    <w:p>
      <w:pPr>
        <w:spacing w:after="120" w:line="276"/>
      </w:pPr>
      <w:r>
        <w:rPr>
          <w:rFonts w:ascii="Calibri" w:cs="Calibri" w:eastAsia="Calibri" w:hAnsi="Calibri"/>
          <w:color w:val="202020"/>
          <w:sz w:val="21"/>
          <w:szCs w:val="21"/>
        </w:rPr>
        <w:t xml:space="preserve">Symptoms an operator or developer will actually see, and what each one means.</w:t>
      </w:r>
    </w:p>
    <w:tbl>
      <w:tblPr>
        <w:tblW w:type="dxa" w:w="9000"/>
        <w:tblBorders>
          <w:top w:val="single" w:color="BFC7D6" w:sz="4"/>
          <w:left w:val="single" w:color="BFC7D6" w:sz="4"/>
          <w:bottom w:val="single" w:color="BFC7D6" w:sz="4"/>
          <w:right w:val="single" w:color="BFC7D6" w:sz="4"/>
          <w:insideH w:val="single" w:color="BFC7D6" w:sz="2"/>
          <w:insideV w:val="single" w:color="BFC7D6" w:sz="2"/>
        </w:tblBorders>
      </w:tblPr>
      <w:tblGrid>
        <w:gridCol w:w="2500"/>
        <w:gridCol w:w="3100"/>
        <w:gridCol w:w="3400"/>
      </w:tblGrid>
      <w:tr>
        <w:trPr>
          <w:tblHeader/>
        </w:trPr>
        <w:tc>
          <w:tcPr>
            <w:tcW w:type="dxa" w:w="25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Symptom</w:t>
            </w:r>
          </w:p>
        </w:tc>
        <w:tc>
          <w:tcPr>
            <w:tcW w:type="dxa" w:w="31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Most likely cause</w:t>
            </w:r>
          </w:p>
        </w:tc>
        <w:tc>
          <w:tcPr>
            <w:tcW w:type="dxa" w:w="3400"/>
            <w:shd w:fill="E8ECF3" w:val="clear"/>
            <w:tcMar>
              <w:top w:type="dxa" w:w="60"/>
              <w:left w:type="dxa" w:w="90"/>
              <w:bottom w:type="dxa" w:w="60"/>
              <w:right w:type="dxa" w:w="90"/>
            </w:tcMar>
          </w:tcPr>
          <w:p>
            <w:pPr>
              <w:spacing w:after="0" w:line="240"/>
            </w:pPr>
            <w:r>
              <w:rPr>
                <w:rFonts w:ascii="Calibri" w:cs="Calibri" w:eastAsia="Calibri" w:hAnsi="Calibri"/>
                <w:b/>
                <w:bCs/>
                <w:color w:val="1E2761"/>
                <w:sz w:val="19"/>
                <w:szCs w:val="19"/>
              </w:rPr>
              <w:t xml:space="preserve">Action</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Match rate near zero; almost everything reported as not found in the mapping.</w:t>
            </w:r>
          </w:p>
        </w:tc>
        <w:tc>
          <w:tcPr>
            <w:tcW w:type="dxa" w:w="3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header row or the field-name column was misidentified, or the wrong workbook was supplied.</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Read the detected layout in the report. Confirm the field column carries the attribute path, not a description. Re-run --diagnose.</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ABORTED, mapping coverage.</w:t>
            </w:r>
          </w:p>
        </w:tc>
        <w:tc>
          <w:tcPr>
            <w:tcW w:type="dxa" w:w="3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guard did its job. This is a lookup failure, not a filtering decision.</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Do not lower --min-match-rate to get past it. Fix the layout or the workbook.</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ABORTED, excessive loss.</w:t>
            </w:r>
          </w:p>
        </w:tc>
        <w:tc>
          <w:tcPr>
            <w:tcW w:type="dxa" w:w="3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More than three quarters of the attributes would be eliminated.</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Check whether on_unmatched was set to drop. If the loss is genuine, raise --max-total-loss deliberately and record why.</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Post-run assertion failure.</w:t>
            </w:r>
          </w:p>
        </w:tc>
        <w:tc>
          <w:tcPr>
            <w:tcW w:type="dxa" w:w="3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structural fault survived the cascade. The output and reports were still written for inspection.</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Read the assertion list in the report. An empty schema or a dangling reference points at a cascade gap; add a test.</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An operation body listed under emptyOperationBodies.</w:t>
            </w:r>
          </w:p>
        </w:tc>
        <w:tc>
          <w:tcPr>
            <w:tcW w:type="dxa" w:w="3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Every attribute of a request or response schema was eliminated.</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tool deliberately refuses to delete it. Review the mapping for that operation.</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UnicodeDecodeError, or mojibake in the output.</w:t>
            </w:r>
          </w:p>
        </w:tc>
        <w:tc>
          <w:tcPr>
            <w:tcW w:type="dxa" w:w="3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non-UTF-8 source file. Note the log line reporting the detected encoding.</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None required; the tool reads it and writes UTF-8. Keep the source files as UTF-8, since some characters have no single-byte equivalent.</w:t>
            </w:r>
          </w:p>
        </w:tc>
      </w:tr>
      <w:tr>
        <w:tc>
          <w:tcPr>
            <w:tcW w:type="dxa" w:w="25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A de-duplication logged as SKIPPED.</w:t>
            </w:r>
          </w:p>
        </w:tc>
        <w:tc>
          <w:tcPr>
            <w:tcW w:type="dxa" w:w="31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The pair diverged after pruning, or the target was cascade-removed.</w:t>
            </w:r>
          </w:p>
        </w:tc>
        <w:tc>
          <w:tcPr>
            <w:tcW w:type="dxa" w:w="3400"/>
            <w:tcMar>
              <w:top w:type="dxa" w:w="60"/>
              <w:left w:type="dxa" w:w="90"/>
              <w:bottom w:type="dxa" w:w="60"/>
              <w:right w:type="dxa" w:w="90"/>
            </w:tcMar>
          </w:tcPr>
          <w:p>
            <w:pPr>
              <w:spacing w:after="0" w:line="240"/>
            </w:pPr>
            <w:r>
              <w:rPr>
                <w:rFonts w:ascii="Calibri" w:cs="Calibri" w:eastAsia="Calibri" w:hAnsi="Calibri"/>
                <w:color w:val="202020"/>
                <w:sz w:val="19"/>
                <w:szCs w:val="19"/>
              </w:rPr>
              <w:t xml:space="preserve">Expected and correct. Merging them would lose a field.</w:t>
            </w:r>
          </w:p>
        </w:tc>
      </w:tr>
    </w:tbl>
    <w:p>
      <w:pPr>
        <w:pStyle w:val="Heading1"/>
        <w:spacing w:after="160" w:before="360"/>
      </w:pPr>
      <w:r>
        <w:rPr>
          <w:rFonts w:ascii="Cambria" w:cs="Cambria" w:eastAsia="Cambria" w:hAnsi="Cambria"/>
          <w:b/>
          <w:bCs/>
          <w:color w:val="1E2761"/>
          <w:sz w:val="32"/>
          <w:szCs w:val="32"/>
        </w:rPr>
        <w:t xml:space="preserve">7  Extending the tool</w:t>
      </w:r>
    </w:p>
    <w:p>
      <w:pPr>
        <w:pStyle w:val="Heading2"/>
        <w:spacing w:after="120" w:before="280"/>
      </w:pPr>
      <w:r>
        <w:rPr>
          <w:rFonts w:ascii="Cambria" w:cs="Cambria" w:eastAsia="Cambria" w:hAnsi="Cambria"/>
          <w:b/>
          <w:bCs/>
          <w:color w:val="1E2761"/>
          <w:sz w:val="25"/>
          <w:szCs w:val="25"/>
        </w:rPr>
        <w:t xml:space="preserve">7.1  Supporting a new mapping workbook layout</w:t>
      </w:r>
    </w:p>
    <w:p>
      <w:pPr>
        <w:spacing w:after="120" w:line="276"/>
      </w:pPr>
      <w:r>
        <w:rPr>
          <w:rFonts w:ascii="Calibri" w:cs="Calibri" w:eastAsia="Calibri" w:hAnsi="Calibri"/>
          <w:color w:val="202020"/>
          <w:sz w:val="21"/>
          <w:szCs w:val="21"/>
        </w:rPr>
        <w:t xml:space="preserve">Add label hints to the header-role table in the core rather than adding a special case. If the new layout expresses hierarchy differently, extend the row-to-path function and set a new layout mode so the reports name it. Add a fixture sheet to the D1 test group in the same change.</w:t>
      </w:r>
    </w:p>
    <w:p>
      <w:pPr>
        <w:pStyle w:val="Heading2"/>
        <w:spacing w:after="120" w:before="280"/>
      </w:pPr>
      <w:r>
        <w:rPr>
          <w:rFonts w:ascii="Cambria" w:cs="Cambria" w:eastAsia="Cambria" w:hAnsi="Cambria"/>
          <w:b/>
          <w:bCs/>
          <w:color w:val="1E2761"/>
          <w:sz w:val="25"/>
          <w:szCs w:val="25"/>
        </w:rPr>
        <w:t xml:space="preserve">7.2  Adding a not-used token</w:t>
      </w:r>
    </w:p>
    <w:p>
      <w:pPr>
        <w:spacing w:after="120" w:line="276"/>
      </w:pPr>
      <w:r>
        <w:rPr>
          <w:rFonts w:ascii="Calibri" w:cs="Calibri" w:eastAsia="Calibri" w:hAnsi="Calibri"/>
          <w:color w:val="202020"/>
          <w:sz w:val="21"/>
          <w:szCs w:val="21"/>
        </w:rPr>
        <w:t xml:space="preserve">Extend the token set in the core and add the token to the D1 test loop. Do not implement it as a per-project configuration setting unless a project genuinely needs it; the shared set is easier to reason about than a matrix of overrides.</w:t>
      </w:r>
    </w:p>
    <w:p>
      <w:pPr>
        <w:pStyle w:val="Heading2"/>
        <w:spacing w:after="120" w:before="280"/>
      </w:pPr>
      <w:r>
        <w:rPr>
          <w:rFonts w:ascii="Cambria" w:cs="Cambria" w:eastAsia="Cambria" w:hAnsi="Cambria"/>
          <w:b/>
          <w:bCs/>
          <w:color w:val="1E2761"/>
          <w:sz w:val="25"/>
          <w:szCs w:val="25"/>
        </w:rPr>
        <w:t xml:space="preserve">7.3  Changing a default</w:t>
      </w:r>
    </w:p>
    <w:p>
      <w:pPr>
        <w:spacing w:after="120" w:line="276"/>
      </w:pPr>
      <w:r>
        <w:rPr>
          <w:rFonts w:ascii="Calibri" w:cs="Calibri" w:eastAsia="Calibri" w:hAnsi="Calibri"/>
          <w:color w:val="202020"/>
          <w:sz w:val="21"/>
          <w:szCs w:val="21"/>
        </w:rPr>
        <w:t xml:space="preserve">The defaults encode the invariants. Keep is the default for unmatched attributes, the guards are on, and the assertions are on. Any change to these three is a change to the tool's safety posture and should be reviewed as such, not treated as tuning.</w:t>
      </w:r>
    </w:p>
    <w:p>
      <w:pPr>
        <w:pStyle w:val="Heading2"/>
        <w:spacing w:after="120" w:before="280"/>
      </w:pPr>
      <w:r>
        <w:rPr>
          <w:rFonts w:ascii="Cambria" w:cs="Cambria" w:eastAsia="Cambria" w:hAnsi="Cambria"/>
          <w:b/>
          <w:bCs/>
          <w:color w:val="1E2761"/>
          <w:sz w:val="25"/>
          <w:szCs w:val="25"/>
        </w:rPr>
        <w:t xml:space="preserve">7.4  Adding a guard</w:t>
      </w:r>
    </w:p>
    <w:p>
      <w:pPr>
        <w:spacing w:after="120" w:line="276"/>
      </w:pPr>
      <w:r>
        <w:rPr>
          <w:rFonts w:ascii="Calibri" w:cs="Calibri" w:eastAsia="Calibri" w:hAnsi="Calibri"/>
          <w:color w:val="202020"/>
          <w:sz w:val="21"/>
          <w:szCs w:val="21"/>
        </w:rPr>
        <w:t xml:space="preserve">Guards evaluate between pruning and cascade, raise a distinct exception type, and must be individually switchable. Write the guard so that its message states the measurement, the threshold and the likely cause, in that order. The existing coverage guard is the model: it tells the operator the number, the floor, and that a low number means a lookup failure rather than a filter.</w:t>
      </w:r>
    </w:p>
    <w:p>
      <w:pPr>
        <w:pStyle w:val="Heading1"/>
        <w:spacing w:after="160" w:before="360"/>
      </w:pPr>
      <w:r>
        <w:rPr>
          <w:rFonts w:ascii="Cambria" w:cs="Cambria" w:eastAsia="Cambria" w:hAnsi="Cambria"/>
          <w:b/>
          <w:bCs/>
          <w:color w:val="1E2761"/>
          <w:sz w:val="32"/>
          <w:szCs w:val="32"/>
        </w:rPr>
        <w:t xml:space="preserve">8  Recreating the tool from scratch</w:t>
      </w:r>
    </w:p>
    <w:p>
      <w:pPr>
        <w:spacing w:after="120" w:line="276"/>
      </w:pPr>
      <w:r>
        <w:rPr>
          <w:rFonts w:ascii="Calibri" w:cs="Calibri" w:eastAsia="Calibri" w:hAnsi="Calibri"/>
          <w:color w:val="202020"/>
          <w:sz w:val="21"/>
          <w:szCs w:val="21"/>
        </w:rPr>
        <w:t xml:space="preserve">Two routes. Use the manual route when the toolkit archive is available and only the environment needs rebuilding. Use the reconstruction prompt in Appendix A when the source has been lost, when starting a clean-room implementation, or when validating that this document is complete enough to stand on its own.</w:t>
      </w:r>
    </w:p>
    <w:p>
      <w:pPr>
        <w:pStyle w:val="Heading2"/>
        <w:spacing w:after="120" w:before="280"/>
      </w:pPr>
      <w:r>
        <w:rPr>
          <w:rFonts w:ascii="Cambria" w:cs="Cambria" w:eastAsia="Cambria" w:hAnsi="Cambria"/>
          <w:b/>
          <w:bCs/>
          <w:color w:val="1E2761"/>
          <w:sz w:val="25"/>
          <w:szCs w:val="25"/>
        </w:rPr>
        <w:t xml:space="preserve">8.1  Manual, from the toolkit archive</w:t>
      </w:r>
    </w:p>
    <w:p>
      <w:pPr>
        <w:pBdr>
          <w:top w:val="single" w:color="F2F4F7" w:sz="2" w:space="4"/>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1  unzip polymorphizer_v5.1.zip</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2  python -m pip install ruamel.yaml openpyxl</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3  python tests/test_regressions.py            # expect 0 failures</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4  python polymorphize_cli.py --diagnose \</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       --swagger &lt;spec&gt;.yaml --mapping &lt;mapping&gt;.xlsx</w:t>
      </w:r>
    </w:p>
    <w:p>
      <w:pPr>
        <w:pBdr>
          <w:left w:val="single" w:color="BFC7D6" w:sz="12" w:space="6"/>
        </w:pBdr>
        <w:shd w:fill="F2F4F7" w:val="clear"/>
        <w:spacing w:after="0" w:line="220"/>
        <w:ind w:left="170" w:right="170"/>
      </w:pPr>
      <w:r>
        <w:rPr>
          <w:rFonts w:ascii="Courier New" w:cs="Courier New" w:eastAsia="Courier New" w:hAnsi="Courier New"/>
          <w:color w:val="1B2733"/>
          <w:sz w:val="17"/>
          <w:szCs w:val="17"/>
        </w:rPr>
        <w:t xml:space="preserve">5  compare the match rate against section 4.1</w:t>
      </w:r>
    </w:p>
    <w:p>
      <w:pPr>
        <w:pBdr>
          <w:bottom w:val="single" w:color="F2F4F7" w:sz="2" w:space="4"/>
          <w:left w:val="single" w:color="BFC7D6" w:sz="12" w:space="6"/>
        </w:pBdr>
        <w:shd w:fill="F2F4F7" w:val="clear"/>
        <w:spacing w:after="160" w:line="220"/>
        <w:ind w:left="170" w:right="170"/>
      </w:pPr>
      <w:r>
        <w:rPr>
          <w:rFonts w:ascii="Courier New" w:cs="Courier New" w:eastAsia="Courier New" w:hAnsi="Courier New"/>
          <w:color w:val="1B2733"/>
          <w:sz w:val="17"/>
          <w:szCs w:val="17"/>
        </w:rPr>
        <w:t xml:space="preserve">6  on Windows only: build_windows_exe.bat</w:t>
      </w:r>
    </w:p>
    <w:p>
      <w:pPr>
        <w:pStyle w:val="Heading2"/>
        <w:spacing w:after="120" w:before="280"/>
      </w:pPr>
      <w:r>
        <w:rPr>
          <w:rFonts w:ascii="Cambria" w:cs="Cambria" w:eastAsia="Cambria" w:hAnsi="Cambria"/>
          <w:b/>
          <w:bCs/>
          <w:color w:val="1E2761"/>
          <w:sz w:val="25"/>
          <w:szCs w:val="25"/>
        </w:rPr>
        <w:t xml:space="preserve">8.2  Clean-room, using the reconstruction prompt</w:t>
      </w:r>
    </w:p>
    <w:p>
      <w:pPr>
        <w:pStyle w:val="ListParagraph"/>
        <w:numPr>
          <w:ilvl w:val="0"/>
          <w:numId w:val="2"/>
        </w:numPr>
        <w:spacing w:after="60" w:line="276"/>
      </w:pPr>
      <w:r>
        <w:rPr>
          <w:rFonts w:ascii="Calibri" w:cs="Calibri" w:eastAsia="Calibri" w:hAnsi="Calibri"/>
          <w:color w:val="202020"/>
          <w:sz w:val="21"/>
          <w:szCs w:val="21"/>
        </w:rPr>
        <w:t xml:space="preserve">Open a new Claude session with file and shell tools available, in an empty working directory.</w:t>
      </w:r>
    </w:p>
    <w:p>
      <w:pPr>
        <w:pStyle w:val="ListParagraph"/>
        <w:numPr>
          <w:ilvl w:val="0"/>
          <w:numId w:val="2"/>
        </w:numPr>
        <w:spacing w:after="60" w:line="276"/>
      </w:pPr>
      <w:r>
        <w:rPr>
          <w:rFonts w:ascii="Calibri" w:cs="Calibri" w:eastAsia="Calibri" w:hAnsi="Calibri"/>
          <w:color w:val="202020"/>
          <w:sz w:val="21"/>
          <w:szCs w:val="21"/>
        </w:rPr>
        <w:t xml:space="preserve">Paste the whole of Appendix A as a single message. It is self-contained; it needs no other attachment.</w:t>
      </w:r>
    </w:p>
    <w:p>
      <w:pPr>
        <w:pStyle w:val="ListParagraph"/>
        <w:numPr>
          <w:ilvl w:val="0"/>
          <w:numId w:val="2"/>
        </w:numPr>
        <w:spacing w:after="60" w:line="276"/>
      </w:pPr>
      <w:r>
        <w:rPr>
          <w:rFonts w:ascii="Calibri" w:cs="Calibri" w:eastAsia="Calibri" w:hAnsi="Calibri"/>
          <w:color w:val="202020"/>
          <w:sz w:val="21"/>
          <w:szCs w:val="21"/>
        </w:rPr>
        <w:t xml:space="preserve">Let the session build the modules and run its own acceptance tests. It should report the choices it made where the specification was silent.</w:t>
      </w:r>
    </w:p>
    <w:p>
      <w:pPr>
        <w:pStyle w:val="ListParagraph"/>
        <w:numPr>
          <w:ilvl w:val="0"/>
          <w:numId w:val="2"/>
        </w:numPr>
        <w:spacing w:after="60" w:line="276"/>
      </w:pPr>
      <w:r>
        <w:rPr>
          <w:rFonts w:ascii="Calibri" w:cs="Calibri" w:eastAsia="Calibri" w:hAnsi="Calibri"/>
          <w:color w:val="202020"/>
          <w:sz w:val="21"/>
          <w:szCs w:val="21"/>
        </w:rPr>
        <w:t xml:space="preserve">Verify independently: run the test script yourself, then run --diagnose against a real specification and mapping and compare the match rate and the detected layout against section 4.1.</w:t>
      </w:r>
    </w:p>
    <w:p>
      <w:pPr>
        <w:pStyle w:val="ListParagraph"/>
        <w:numPr>
          <w:ilvl w:val="0"/>
          <w:numId w:val="2"/>
        </w:numPr>
        <w:spacing w:after="60" w:line="276"/>
      </w:pPr>
      <w:r>
        <w:rPr>
          <w:rFonts w:ascii="Calibri" w:cs="Calibri" w:eastAsia="Calibri" w:hAnsi="Calibri"/>
          <w:color w:val="202020"/>
          <w:sz w:val="21"/>
          <w:szCs w:val="21"/>
        </w:rPr>
        <w:t xml:space="preserve">A rebuild that passes its own tests but produces a materially different match rate on the reference inputs has diverged on D1 or D2. Read the detected layout first.</w:t>
      </w:r>
    </w:p>
    <w:p>
      <w:pPr>
        <w:spacing w:after="80"/>
      </w:pPr>
    </w:p>
    <w:p>
      <w:pPr>
        <w:spacing w:after="120" w:line="276"/>
      </w:pPr>
      <w:r>
        <w:rPr>
          <w:rFonts w:ascii="Calibri" w:cs="Calibri" w:eastAsia="Calibri" w:hAnsi="Calibri"/>
          <w:b/>
          <w:bCs/>
          <w:color w:val="202020"/>
          <w:sz w:val="21"/>
          <w:szCs w:val="21"/>
        </w:rPr>
        <w:t xml:space="preserve">The prompt is the specification in imperative form. If you change the tool's behaviour, change Appendix A in the same commit, or the next clean-room rebuild will reintroduce what you removed.</w:t>
      </w:r>
    </w:p>
    <w:p>
      <w:r>
        <w:br w:type="page"/>
      </w:r>
    </w:p>
    <w:p>
      <w:pPr>
        <w:pStyle w:val="Heading1"/>
        <w:spacing w:after="160" w:before="360"/>
      </w:pPr>
      <w:r>
        <w:rPr>
          <w:rFonts w:ascii="Cambria" w:cs="Cambria" w:eastAsia="Cambria" w:hAnsi="Cambria"/>
          <w:b/>
          <w:bCs/>
          <w:color w:val="1E2761"/>
          <w:sz w:val="32"/>
          <w:szCs w:val="32"/>
        </w:rPr>
        <w:t xml:space="preserve">Appendix A  Claude reconstruction prompt</w:t>
      </w:r>
    </w:p>
    <w:p>
      <w:pPr>
        <w:spacing w:after="120" w:line="276"/>
      </w:pPr>
      <w:r>
        <w:rPr>
          <w:rFonts w:ascii="Calibri" w:cs="Calibri" w:eastAsia="Calibri" w:hAnsi="Calibri"/>
          <w:color w:val="202020"/>
          <w:sz w:val="21"/>
          <w:szCs w:val="21"/>
        </w:rPr>
        <w:t xml:space="preserve">Paste the text below, in full, as a single message into a new Claude session that has file and shell tools. It is deliberately written as instructions rather than description, and it carries the seven invariants and the acceptance tests so the rebuild can verify itself.</w:t>
      </w:r>
    </w:p>
    <w:p>
      <w:pPr>
        <w:spacing w:after="80"/>
      </w:pPr>
    </w:p>
    <w:p>
      <w:pPr>
        <w:pBdr>
          <w:top w:val="single" w:color="F2F4F7" w:sz="2" w:space="4"/>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You are rebuilding a Python tool called the SOR Polymorphizer from</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scratch. Build it to this specification exactly, then prove it works with the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acceptance tests at the end. Do not ask clarifying questions; where the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specification is silent, choose the safer option and say what you chose.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PURPOSE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The tool reads an OpenAPI 3.x specification and a System-of-Record (SOR) field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mapping spreadsheet, and writes a new specification in which attributes with no</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SOR connection have been eliminated. It optionally refactors shared schemas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using OpenAPI polymorphism (allOf sub-typing with an optional discriminator)</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and de-duplicates inline objects. It must never silently empty a specification.</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DELIVERABLES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polymorphize_core.py    the engine, fully parameterised, no hard-coded schema</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names, column positions or family groupings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polymorphize_cli.py     command-line front end, including a --diagnose mode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polymorphize_gui.py     Tkinter desktop app, three numbered steps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polymorphize_batch.py   manifest-driven batch runner</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tests/test_regressions.py  self-contained test script, no pytest required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README.md               user and maintainer documentation</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build_windows_exe.bat   PyInstaller one-file build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manifest_template.csv   starter manifest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Dependencies: ruamel.yaml and openpyxl only. Python 3.9 or later. Tkinter for</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the GUI, tkinterdnd2 optional for drag and drop.</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THE ELIMINATION RULE (this is the heart of it)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An attribute is KEPT when the mapping gives it a concrete SOR field.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An attribute is ELIMINATED only when the mapping positively says there is none,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that is when the SOR cell is blank, a non-breaking space, N/A, -, --, TBD, TBA,</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None, or "Not Used In SOR".</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An attribute the mapping does not mention at all is KEPT AND FLAGGED. A lookup</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that found nothing is not evidence that the SOR lacks the field.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Objects and arrays are structural and are never eliminated for lacking an SOR</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field, but an object that loses ALL of its attributes is removed along with</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every reference to it.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SEVEN DEFECTS THAT MUST NOT EXIST IN YOUR BUILD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An earlier version had all seven. Each is a hard requirement, not advice.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D1 LAYOUT MUST BE DETECTED, NOT ASSUMED.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Real mapping workbooks put the header row part-way down the sheet (row 11 is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common) and carry the field name as ONE dotted path column such as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"Request.Customer.party.Partyidentifier.partyIdentification". Scan the first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40 rows of every worksheet for a header row, and resolve columns by matching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their labels, in this priority order so that "SOR API Field Name" does not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get claimed by the rule for "Re-usable API Field Name":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ptype  &lt;- "parameter type"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sor    &lt;- "sor api field name", "sor field", "sor"</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field  &lt;- "re-usable api field name", "api field name", "field name",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"attribute", "element", "name"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usage  &lt;- "usage", "mandatory", "cardinality"</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dtype  &lt;- "schema", "data type", "type", "format"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example, desc, remarks similarly</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Also support the legacy layout where the hierarchy is spread over columns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headed "Level 1" .. "Level n"; join those into a dotted path. Score each</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candidate row and take the best; fall back to caller-supplied fixed columns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when no header is recognisable. Different sheets in one workbook may have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different layouts; detect per sheet. Report the detected layout everywhere: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the log, the GUI, and both reports.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D2 MATCH ON THE QUALIFIED PATH, NOT A BARE LEAF NAME.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Build a usage-path graph: walk from each operation's request and success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response schema, following $ref, and record every dotted path at which each</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named schema appears. Array levels add NO path segment, because mapping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workbooks write "Parent.ArrayProp.child" rather than "Parent.ArrayProp[].child".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The walk must be breadth-first with a global visited set of (schema, path), a</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depth bound of about 10 and a per-schema cap of about 24 paths, or a widely</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shared or self-referencing schema will blow up combinatorially.</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Resolve an attribute most-specific-first: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tier 1  exact qualified path</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tier 2  longest path suffix, longest first, down to two segments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tier 3  bare leaf name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Take the first tier that yields any hit; within a tier, a mapped entry beats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an unmapped one. Normalise every path segment by lowercasing and stripping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non-alphanumerics, so "Partyidentifier" and "PartyIdentifier" match.</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Record which tier matched each attribute.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D3 DEFAULT TO KEEP AND FLAG.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The default for an unmatched attribute is keep. Offer on_unmatched="drop" as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an explicit opt-in. Record the unmatched count INDEPENDENTLY of what is then</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done with it, so the match rate measures the lookup and never the policy.</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For each unmatched attribute, keep the list of lookup keys that were tried.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D4 CASCADE-PRUNE EMPTIED OBJECTS.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After pruning, loop until stable: find named object schemas whose properties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map is now empty, delete them, and remove every reference to them. Removing a</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reference means deleting the owning property, deleting an array property whose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item type died, dropping dead members from allOf/oneOf/anyOf lists, and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removing the name from any "required" list. Also delete inline objects that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were emptied. Treat an object that NEVER declared properties as free-form and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leave it alone; only remove shells your own pruning created. Never delete a</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schema that forms an operation body; report those separately as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empty_body_schemas so the operator knows the mapping needs attention.</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D5 DECIDE DE-DUPLICATION ON THE ORIGINAL DOCUMENT.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Compute inline-object-equals-named-schema candidates BEFORE any pruning, using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deep equality (or a shape comparison that ignores descriptions and examples).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Never compare property-key sets alone. Apply the candidates after pruning, and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RE-VERIFY equivalence at apply time; if the two have diverged, skip and log it.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Rationale: two schemas that differed in the source became identical once both</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were gutted, and the merge silently lost a field.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D6 GUARD THE RUN AND ASSERT THE OUTPUT.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Before writing anything, abort when the mapping resolved less than</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min_match_rate (default 0.25) of the specification's attributes, or when more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than max_total_loss (default 0.75) of them would be eliminated. Use distinct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exception types: MappingCoverageError and ExcessiveLossError. Also raise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MappingCoverageError when zero attribute rows were read from the workbook.</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After transforming, assert: no object schema carries an empty properties map,</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no $ref is dangling, no "required" entry lacks its property. Raise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OutputAssertionError, but write the output and reports first so they can be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inspected. All three guards must be individually switchable off.</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D7 BE EXPLICIT ABOUT TEXT ENCODING.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Never rely on the platform default. Read via a helper that strips a UTF-8 BOM,</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then tries utf-8, cp1252 and latin-1 in that order, and returns the encoding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used. Write the output YAML and every report as UTF-8 explicitly. Report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generation must be non-fatal: the transformed document is written first, and a</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failure while building a report is logged as a warning and recorded in</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result["report_errors"], never allowed to discard a completed transform.</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PIPELINE ORDER (do not rearrange)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1  load the mapping workbook and index it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2  load the OpenAPI document, remembering the source encoding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3  compute de-duplication candidates from the UNTOUCHED document      (D5)</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4  build usage paths and prune attributes                            (D2, D3)</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5  evaluate the coverage and loss guards, abort here if they fire     (D6)</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6  cascade-prune emptied objects and their references                 (D4)</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7  apply de-duplication, re-verifying each pair                       (D5)</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8  apply polymorphism groups, if any were requested or auto-detected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9  run the output assertions                                          (D6)</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10 annotate the document, write it as UTF-8, then build the reports   (D7)</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PUBLIC API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load_mapping(paths, sheet_cfg) -&gt; SorMapping with .rows, .by_path, .by_suffix,</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.by_leaf, .layouts, .stats and .resolve(candidate_paths, leaf)</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diagnose(swagger, mapping, ...) -&gt; coverage report, writes nothing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analyze(swagger, mapping, ...) -&gt; proposed transform, writes nothing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run(swagger, mapping, out, report=None, *, html_report=None, on_unmatched="keep",</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auto_poly=False, auto_dedupe=False, dedupe_strictness="deep",</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protected=("ErrorResponse",), min_match_rate=0.25, max_total_loss=0.75,</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enforce_guards=True, enforce_assertions=True, log=...) -&gt; result dict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assert_output(doc, protected) -&gt; list of violation strings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read_text(path) -&gt; (text, encoding_used)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Keep parse_group_spec("Base = A:v1, B:v2") and parse_dedupe_spec("Owner.prop = Target").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REPORTING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Every run produces: an in-file banner comment and an info.x-sor-polymorphizer</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record carrying toolVersion, summary, mappingCoverage (attributesInSpec,</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matchedToMapping, notFoundInMapping, matchRate, resolutionStrategies),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eliminatedAttributes, keptButNotInMapping, cascadeRemovedObjects,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cascadeRemovedReferences, emptyOperationBodies, polymorphism and deduplication;</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 Markdown report; and a self-contained HTML report with summary cards, the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detected layout per sheet, the eliminations with the strategy that matched each,</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the kept-but-not-found list with the keys tried, the cascade removals, the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assertion results and a full red/green unified diff.</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ACCEPTANCE TESTS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Write tests/test_regressions.py so it runs with plain "python tests/test_regressions.py",</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exits non-zero on failure, and prints one line per check grouped by defect. It must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build its own fixtures with openpyxl and cover at least these: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D1  a header row found at row 11; field, dtype and SOR columns resolved by label;</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dotted-path mode selected; banner and section rows not counted as attributes;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the legacy Level 1..n layout still detected; every not-used token recognised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and a real SOR path not mistaken for one.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D2  every attribute except a deliberately unmapped one resolves; at least six</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resolved on the exact qualified path.</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D3  an attribute absent from the mapping is retained; one marked N/A is removed;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the "required" list no longer names the removed attribute; on_unmatched="drop"</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still removes the unmatched one.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D4  an object whose attributes were all marked not-used is removed; the array</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property whose item type died is gone; a sibling with one mapped attribute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survives; no object schema is left with an empty properties map.</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D5  an inline object that differed from a same-named schema in the source is NOT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collapsed, and the attribute unique to it survives; an inline object that WAS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identical in the source IS replaced by a $ref.</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D6  a mapping that matches nothing raises MappingCoverageError and writes nothing;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an unrecognisable workbook raises rather than eliminating everything;</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assert_output detects a deliberately emptied schema and a dangling $ref.</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D7  UTF-8, UTF-8-with-BOM and cp1252 inputs are each detected correctly; an ANSI</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specification containing an em dash runs end to end; the output YAML and the</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Markdown report are both written as UTF-8; and with write_html_report</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monkeypatched to raise UnicodeDecodeError, the transformed YAML still exists</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and result["report_errors"] is populated.</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 DEFINITION OF DONE ===</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All four modules import cleanly and compile. The test script reports zero</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failures. A --diagnose run on a real specification prints the detected layout for</w:t>
      </w:r>
    </w:p>
    <w:p>
      <w:pPr>
        <w:pBdr>
          <w:left w:val="single" w:color="BFC7D6" w:sz="12" w:space="6"/>
        </w:pBdr>
        <w:shd w:fill="F7F8FA" w:val="clear"/>
        <w:spacing w:after="0" w:line="220"/>
        <w:ind w:left="170" w:right="170"/>
      </w:pPr>
      <w:r>
        <w:rPr>
          <w:rFonts w:ascii="Courier New" w:cs="Courier New" w:eastAsia="Courier New" w:hAnsi="Courier New"/>
          <w:color w:val="1B2733"/>
          <w:sz w:val="15"/>
          <w:szCs w:val="15"/>
        </w:rPr>
        <w:t xml:space="preserve">every sheet, the match rate and the resolution strategies. Say plainly which</w:t>
      </w:r>
    </w:p>
    <w:p>
      <w:pPr>
        <w:pBdr>
          <w:bottom w:val="single" w:color="F2F4F7" w:sz="2" w:space="4"/>
          <w:left w:val="single" w:color="BFC7D6" w:sz="12" w:space="6"/>
        </w:pBdr>
        <w:shd w:fill="F7F8FA" w:val="clear"/>
        <w:spacing w:after="160" w:line="220"/>
        <w:ind w:left="170" w:right="170"/>
      </w:pPr>
      <w:r>
        <w:rPr>
          <w:rFonts w:ascii="Courier New" w:cs="Courier New" w:eastAsia="Courier New" w:hAnsi="Courier New"/>
          <w:color w:val="1B2733"/>
          <w:sz w:val="15"/>
          <w:szCs w:val="15"/>
        </w:rPr>
        <w:t xml:space="preserve">choices you made where this specification was silent.</w:t>
      </w:r>
    </w:p>
    <w:p>
      <w:pPr>
        <w:spacing w:after="160"/>
      </w:pPr>
    </w:p>
    <w:p>
      <w:pPr>
        <w:pStyle w:val="Heading2"/>
        <w:spacing w:after="120" w:before="280"/>
      </w:pPr>
      <w:r>
        <w:rPr>
          <w:rFonts w:ascii="Cambria" w:cs="Cambria" w:eastAsia="Cambria" w:hAnsi="Cambria"/>
          <w:b/>
          <w:bCs/>
          <w:color w:val="1E2761"/>
          <w:sz w:val="25"/>
          <w:szCs w:val="25"/>
        </w:rPr>
        <w:t xml:space="preserve">A.1  After the rebuild</w:t>
      </w:r>
    </w:p>
    <w:p>
      <w:pPr>
        <w:spacing w:after="120" w:line="276"/>
      </w:pPr>
      <w:r>
        <w:rPr>
          <w:rFonts w:ascii="Calibri" w:cs="Calibri" w:eastAsia="Calibri" w:hAnsi="Calibri"/>
          <w:color w:val="202020"/>
          <w:sz w:val="21"/>
          <w:szCs w:val="21"/>
        </w:rPr>
        <w:t xml:space="preserve">Treat the rebuilt tool as unproven until three things hold: the test script reports zero failures, a --diagnose run on the reference inputs reproduces the match rate in section 4.1, and a full transform reproduces the elimination and cascade counts. A rebuild that satisfies its own tests but not the reference numbers has diverged on the mapping contract, which is exactly where the original defects lived.</w:t>
      </w:r>
    </w:p>
    <w:sectPr>
      <w:footerReference w:type="default" r:id="rId7"/>
      <w:pgSz w:w="11906" w:h="16838" w:orient="portrait"/>
      <w:pgMar w:top="1140" w:right="1140" w:bottom="1140" w:left="11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869A"/>
        <w:sz w:val="16"/>
        <w:szCs w:val="16"/>
      </w:rPr>
      <w:t xml:space="preserve">SOR Polymorphizer v5.1  ·  Technical and Maintenance Guide  ·  page </w:t>
    </w:r>
    <w:r>
      <w:rPr>
        <w:rFonts w:ascii="Calibri" w:cs="Calibri" w:eastAsia="Calibri" w:hAnsi="Calibri"/>
        <w:color w:val="7A86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 Polymorphizer - Technical and Maintenance Guide</dc:title>
  <dc:creator>CC&amp;C Solutions</dc:creator>
  <dc:description>Developer and maintainer documentation for the SOR Polymorphizer</dc:description>
  <cp:lastModifiedBy>Un-named</cp:lastModifiedBy>
  <cp:revision>1</cp:revision>
  <dcterms:created xsi:type="dcterms:W3CDTF">2026-08-26T01:30:23.428Z</dcterms:created>
  <dcterms:modified xsi:type="dcterms:W3CDTF">2026-08-26T01:30:23.440Z</dcterms:modified>
</cp:coreProperties>
</file>

<file path=docProps/custom.xml><?xml version="1.0" encoding="utf-8"?>
<Properties xmlns="http://schemas.openxmlformats.org/officeDocument/2006/custom-properties" xmlns:vt="http://schemas.openxmlformats.org/officeDocument/2006/docPropsVTypes"/>
</file>