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8A6D1F"/>
          <w:spacing w:val="60"/>
          <w:sz w:val="20"/>
          <w:szCs w:val="20"/>
        </w:rPr>
        <w:t xml:space="preserve">SOR POLYMORPHIZER</w:t>
      </w:r>
    </w:p>
    <w:p>
      <w:pPr>
        <w:spacing w:after="0" w:before="160"/>
      </w:pPr>
      <w:r>
        <w:rPr>
          <w:b/>
          <w:bCs/>
          <w:color w:val="1E2761"/>
          <w:sz w:val="56"/>
          <w:szCs w:val="56"/>
        </w:rPr>
        <w:t xml:space="preserve">Response to the review</w:t>
      </w:r>
    </w:p>
    <w:p>
      <w:pPr>
        <w:spacing w:after="300" w:before="120"/>
      </w:pPr>
      <w:r>
        <w:rPr>
          <w:color w:val="5A6472"/>
          <w:sz w:val="24"/>
          <w:szCs w:val="24"/>
        </w:rPr>
        <w:t xml:space="preserve">Six observations on the SOR Polymorphizer, with what is already delivered, what we accept as a gap, and what we propose to do about each</w:t>
      </w:r>
    </w:p>
    <w:p>
      <w:pPr>
        <w:pBdr>
          <w:top w:val="single" w:color="8A6D1F" w:sz="12" w:space="4"/>
        </w:pBdr>
        <w:spacing w:after="260" w:before="0"/>
      </w:pPr>
    </w:p>
    <w:p>
      <w:pPr>
        <w:spacing w:after="60"/>
      </w:pPr>
      <w:r>
        <w:rPr>
          <w:rFonts w:ascii="Consolas" w:cs="Consolas" w:eastAsia="Consolas" w:hAnsi="Consolas"/>
          <w:color w:val="5A6472"/>
          <w:sz w:val="19"/>
          <w:szCs w:val="19"/>
        </w:rPr>
        <w:t xml:space="preserve">Release reviewed  </w:t>
      </w:r>
      <w:r>
        <w:rPr>
          <w:color w:val="000000"/>
          <w:sz w:val="19"/>
          <w:szCs w:val="19"/>
        </w:rPr>
        <w:t xml:space="preserve">SOR Polymorphizer 6.3</w:t>
      </w:r>
    </w:p>
    <w:p>
      <w:pPr>
        <w:spacing w:after="60"/>
      </w:pPr>
      <w:r>
        <w:rPr>
          <w:rFonts w:ascii="Consolas" w:cs="Consolas" w:eastAsia="Consolas" w:hAnsi="Consolas"/>
          <w:color w:val="5A6472"/>
          <w:sz w:val="19"/>
          <w:szCs w:val="19"/>
        </w:rPr>
        <w:t xml:space="preserve">Prepared by       </w:t>
      </w:r>
      <w:r>
        <w:rPr>
          <w:color w:val="000000"/>
          <w:sz w:val="19"/>
          <w:szCs w:val="19"/>
        </w:rPr>
        <w:t xml:space="preserve">CC&amp;C Solutions</w:t>
      </w:r>
    </w:p>
    <w:p>
      <w:pPr>
        <w:spacing w:after="60"/>
      </w:pPr>
      <w:r>
        <w:rPr>
          <w:rFonts w:ascii="Consolas" w:cs="Consolas" w:eastAsia="Consolas" w:hAnsi="Consolas"/>
          <w:color w:val="5A6472"/>
          <w:sz w:val="19"/>
          <w:szCs w:val="19"/>
        </w:rPr>
        <w:t xml:space="preserve">Date              </w:t>
      </w:r>
      <w:r>
        <w:rPr>
          <w:color w:val="000000"/>
          <w:sz w:val="19"/>
          <w:szCs w:val="19"/>
        </w:rPr>
        <w:t xml:space="preserve">9 September 2026</w:t>
      </w:r>
    </w:p>
    <w:p>
      <w:pPr>
        <w:spacing w:after="60"/>
      </w:pPr>
      <w:r>
        <w:rPr>
          <w:rFonts w:ascii="Consolas" w:cs="Consolas" w:eastAsia="Consolas" w:hAnsi="Consolas"/>
          <w:color w:val="5A6472"/>
          <w:sz w:val="19"/>
          <w:szCs w:val="19"/>
        </w:rPr>
        <w:t xml:space="preserve">Basis             </w:t>
      </w:r>
      <w:r>
        <w:rPr>
          <w:color w:val="000000"/>
          <w:sz w:val="19"/>
          <w:szCs w:val="19"/>
        </w:rPr>
        <w:t xml:space="preserve">Measured against the reference credit card workbook and the delivered package</w:t>
      </w:r>
    </w:p>
    <w:p>
      <w:r>
        <w:br w:type="page"/>
      </w:r>
    </w:p>
    <w:p>
      <w:pPr>
        <w:pStyle w:val="Heading1"/>
        <w:pBdr>
          <w:bottom w:val="single" w:color="C6CBD4" w:sz="8" w:space="6"/>
        </w:pBdr>
        <w:spacing w:after="200" w:before="400"/>
      </w:pPr>
      <w:r>
        <w:rPr>
          <w:b/>
          <w:bCs/>
          <w:color w:val="1E2761"/>
          <w:sz w:val="32"/>
          <w:szCs w:val="32"/>
        </w:rPr>
        <w:t xml:space="preserve">Where we stand</w:t>
      </w:r>
    </w:p>
    <w:p>
      <w:pPr>
        <w:spacing w:after="120" w:line="276"/>
      </w:pPr>
      <w:r>
        <w:rPr>
          <w:color w:val="000000"/>
          <w:sz w:val="21"/>
          <w:szCs w:val="21"/>
        </w:rPr>
        <w:t xml:space="preserve">Thank you for a review that is specific enough to act on. Each observation names an artefact or a behaviour rather than an impression, which is what makes a short turnaround possible.</w:t>
      </w:r>
    </w:p>
    <w:p>
      <w:pPr>
        <w:spacing w:after="120" w:line="276"/>
      </w:pPr>
      <w:r>
        <w:rPr>
          <w:color w:val="000000"/>
          <w:sz w:val="21"/>
          <w:szCs w:val="21"/>
        </w:rPr>
        <w:t xml:space="preserve">Two of the six are gaps we accept without qualification, and both are small. Three describe capability the delivered package already contains, which tells us that the packaging and the handover walkthrough failed rather than the tool, and that is our responsibility to correct. One rests on behaviour we have so far been unable to reproduce, and for that we need your workbook before we can say whether it is a defect or a workbook inconsistency the tool is already reporting.</w:t>
      </w:r>
    </w:p>
    <w:p>
      <w:pPr>
        <w:spacing w:after="120" w:line="276"/>
      </w:pPr>
      <w:r>
        <w:rPr>
          <w:color w:val="000000"/>
          <w:sz w:val="21"/>
          <w:szCs w:val="21"/>
        </w:rPr>
        <w:t xml:space="preserve">Everything below was checked against the code and the reference workbook rather than asserted from memory. Where a figure appears, it was measured.</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420"/>
        <w:gridCol w:w="2600"/>
        <w:gridCol w:w="3200"/>
        <w:gridCol w:w="2800"/>
      </w:tblGrid>
      <w:tr>
        <w:trPr>
          <w:tblHeader/>
        </w:trPr>
        <w:tc>
          <w:tcPr>
            <w:tcW w:type="dxa" w:w="420"/>
            <w:shd w:fill="1E2761" w:val="clear"/>
            <w:tcMar>
              <w:top w:type="dxa" w:w="70"/>
              <w:left w:type="dxa" w:w="110"/>
              <w:bottom w:type="dxa" w:w="70"/>
              <w:right w:type="dxa" w:w="110"/>
            </w:tcMar>
            <w:vAlign w:val="top"/>
          </w:tcPr>
          <w:p>
            <w:pPr>
              <w:spacing w:after="0" w:line="250"/>
            </w:pPr>
          </w:p>
        </w:tc>
        <w:tc>
          <w:tcPr>
            <w:tcW w:type="dxa" w:w="2600"/>
            <w:shd w:fill="1E2761" w:val="clear"/>
            <w:tcMar>
              <w:top w:type="dxa" w:w="70"/>
              <w:left w:type="dxa" w:w="110"/>
              <w:bottom w:type="dxa" w:w="70"/>
              <w:right w:type="dxa" w:w="110"/>
            </w:tcMar>
            <w:vAlign w:val="top"/>
          </w:tcPr>
          <w:p>
            <w:pPr>
              <w:spacing w:after="0" w:line="250"/>
            </w:pPr>
            <w:r>
              <w:rPr>
                <w:b/>
                <w:bCs/>
                <w:color w:val="FFFFFF"/>
                <w:sz w:val="18"/>
                <w:szCs w:val="18"/>
              </w:rPr>
              <w:t xml:space="preserve">Observation</w:t>
            </w:r>
          </w:p>
        </w:tc>
        <w:tc>
          <w:tcPr>
            <w:tcW w:type="dxa" w:w="3200"/>
            <w:shd w:fill="1E2761" w:val="clear"/>
            <w:tcMar>
              <w:top w:type="dxa" w:w="70"/>
              <w:left w:type="dxa" w:w="110"/>
              <w:bottom w:type="dxa" w:w="70"/>
              <w:right w:type="dxa" w:w="110"/>
            </w:tcMar>
            <w:vAlign w:val="top"/>
          </w:tcPr>
          <w:p>
            <w:pPr>
              <w:spacing w:after="0" w:line="250"/>
            </w:pPr>
            <w:r>
              <w:rPr>
                <w:b/>
                <w:bCs/>
                <w:color w:val="FFFFFF"/>
                <w:sz w:val="18"/>
                <w:szCs w:val="18"/>
              </w:rPr>
              <w:t xml:space="preserve">Our position</w:t>
            </w:r>
          </w:p>
        </w:tc>
        <w:tc>
          <w:tcPr>
            <w:tcW w:type="dxa" w:w="2800"/>
            <w:shd w:fill="1E2761" w:val="clear"/>
            <w:tcMar>
              <w:top w:type="dxa" w:w="70"/>
              <w:left w:type="dxa" w:w="110"/>
              <w:bottom w:type="dxa" w:w="70"/>
              <w:right w:type="dxa" w:w="110"/>
            </w:tcMar>
            <w:vAlign w:val="top"/>
          </w:tcPr>
          <w:p>
            <w:pPr>
              <w:spacing w:after="0" w:line="250"/>
            </w:pPr>
            <w:r>
              <w:rPr>
                <w:b/>
                <w:bCs/>
                <w:color w:val="FFFFFF"/>
                <w:sz w:val="18"/>
                <w:szCs w:val="18"/>
              </w:rPr>
              <w:t xml:space="preserve">What happens next</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1</w:t>
            </w:r>
          </w:p>
        </w:tc>
        <w:tc>
          <w:tcPr>
            <w:tcW w:type="dxa" w:w="2600"/>
            <w:tcMar>
              <w:top w:type="dxa" w:w="70"/>
              <w:left w:type="dxa" w:w="110"/>
              <w:bottom w:type="dxa" w:w="70"/>
              <w:right w:type="dxa" w:w="110"/>
            </w:tcMar>
            <w:vAlign w:val="top"/>
          </w:tcPr>
          <w:p>
            <w:pPr>
              <w:spacing w:after="0" w:line="250"/>
            </w:pPr>
            <w:r>
              <w:rPr>
                <w:color w:val="000000"/>
                <w:sz w:val="18"/>
                <w:szCs w:val="18"/>
              </w:rPr>
              <w:t xml:space="preserve">Sample format for the input Data Model Sheet</w:t>
            </w:r>
          </w:p>
        </w:tc>
        <w:tc>
          <w:tcPr>
            <w:tcW w:type="dxa" w:w="3200"/>
            <w:tcMar>
              <w:top w:type="dxa" w:w="70"/>
              <w:left w:type="dxa" w:w="110"/>
              <w:bottom w:type="dxa" w:w="70"/>
              <w:right w:type="dxa" w:w="110"/>
            </w:tcMar>
            <w:vAlign w:val="top"/>
          </w:tcPr>
          <w:p>
            <w:pPr>
              <w:spacing w:after="0" w:line="250"/>
            </w:pPr>
            <w:r>
              <w:rPr>
                <w:color w:val="000000"/>
                <w:sz w:val="18"/>
                <w:szCs w:val="18"/>
              </w:rPr>
              <w:t xml:space="preserve">Already delivered, not surfaced</w:t>
            </w:r>
          </w:p>
        </w:tc>
        <w:tc>
          <w:tcPr>
            <w:tcW w:type="dxa" w:w="2800"/>
            <w:tcMar>
              <w:top w:type="dxa" w:w="70"/>
              <w:left w:type="dxa" w:w="110"/>
              <w:bottom w:type="dxa" w:w="70"/>
              <w:right w:type="dxa" w:w="110"/>
            </w:tcMar>
            <w:vAlign w:val="top"/>
          </w:tcPr>
          <w:p>
            <w:pPr>
              <w:spacing w:after="0" w:line="250"/>
            </w:pPr>
            <w:r>
              <w:rPr>
                <w:color w:val="000000"/>
                <w:sz w:val="18"/>
                <w:szCs w:val="18"/>
              </w:rPr>
              <w:t xml:space="preserve">Moved to the front of the package</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2</w:t>
            </w:r>
          </w:p>
        </w:tc>
        <w:tc>
          <w:tcPr>
            <w:tcW w:type="dxa" w:w="2600"/>
            <w:shd w:fill="F7F8FA" w:val="clear"/>
            <w:tcMar>
              <w:top w:type="dxa" w:w="70"/>
              <w:left w:type="dxa" w:w="110"/>
              <w:bottom w:type="dxa" w:w="70"/>
              <w:right w:type="dxa" w:w="110"/>
            </w:tcMar>
            <w:vAlign w:val="top"/>
          </w:tcPr>
          <w:p>
            <w:pPr>
              <w:spacing w:after="0" w:line="250"/>
            </w:pPr>
            <w:r>
              <w:rPr>
                <w:color w:val="000000"/>
                <w:sz w:val="18"/>
                <w:szCs w:val="18"/>
              </w:rPr>
              <w:t xml:space="preserve">Field mapping documentation generation</w:t>
            </w:r>
          </w:p>
        </w:tc>
        <w:tc>
          <w:tcPr>
            <w:tcW w:type="dxa" w:w="3200"/>
            <w:shd w:fill="F7F8FA" w:val="clear"/>
            <w:tcMar>
              <w:top w:type="dxa" w:w="70"/>
              <w:left w:type="dxa" w:w="110"/>
              <w:bottom w:type="dxa" w:w="70"/>
              <w:right w:type="dxa" w:w="110"/>
            </w:tcMar>
            <w:vAlign w:val="top"/>
          </w:tcPr>
          <w:p>
            <w:pPr>
              <w:spacing w:after="0" w:line="250"/>
            </w:pPr>
            <w:r>
              <w:rPr>
                <w:color w:val="000000"/>
                <w:sz w:val="18"/>
                <w:szCs w:val="18"/>
              </w:rPr>
              <w:t xml:space="preserve">Delivered as an HTML report; the spreadsheet export is a genuine gap</w:t>
            </w:r>
          </w:p>
        </w:tc>
        <w:tc>
          <w:tcPr>
            <w:tcW w:type="dxa" w:w="2800"/>
            <w:shd w:fill="F7F8FA" w:val="clear"/>
            <w:tcMar>
              <w:top w:type="dxa" w:w="70"/>
              <w:left w:type="dxa" w:w="110"/>
              <w:bottom w:type="dxa" w:w="70"/>
              <w:right w:type="dxa" w:w="110"/>
            </w:tcMar>
            <w:vAlign w:val="top"/>
          </w:tcPr>
          <w:p>
            <w:pPr>
              <w:spacing w:after="0" w:line="250"/>
            </w:pPr>
            <w:r>
              <w:rPr>
                <w:color w:val="000000"/>
                <w:sz w:val="18"/>
                <w:szCs w:val="18"/>
              </w:rPr>
              <w:t xml:space="preserve">Export added, to your column format</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3</w:t>
            </w:r>
          </w:p>
        </w:tc>
        <w:tc>
          <w:tcPr>
            <w:tcW w:type="dxa" w:w="2600"/>
            <w:tcMar>
              <w:top w:type="dxa" w:w="70"/>
              <w:left w:type="dxa" w:w="110"/>
              <w:bottom w:type="dxa" w:w="70"/>
              <w:right w:type="dxa" w:w="110"/>
            </w:tcMar>
            <w:vAlign w:val="top"/>
          </w:tcPr>
          <w:p>
            <w:pPr>
              <w:spacing w:after="0" w:line="250"/>
            </w:pPr>
            <w:r>
              <w:rPr>
                <w:color w:val="000000"/>
                <w:sz w:val="18"/>
                <w:szCs w:val="18"/>
              </w:rPr>
              <w:t xml:space="preserve">Shared object reusability not implemented</w:t>
            </w:r>
          </w:p>
        </w:tc>
        <w:tc>
          <w:tcPr>
            <w:tcW w:type="dxa" w:w="3200"/>
            <w:tcMar>
              <w:top w:type="dxa" w:w="70"/>
              <w:left w:type="dxa" w:w="110"/>
              <w:bottom w:type="dxa" w:w="70"/>
              <w:right w:type="dxa" w:w="110"/>
            </w:tcMar>
            <w:vAlign w:val="top"/>
          </w:tcPr>
          <w:p>
            <w:pPr>
              <w:spacing w:after="0" w:line="250"/>
            </w:pPr>
            <w:r>
              <w:rPr>
                <w:color w:val="000000"/>
                <w:sz w:val="18"/>
                <w:szCs w:val="18"/>
              </w:rPr>
              <w:t xml:space="preserve">Implemented and tested; the observation has three candidate causes</w:t>
            </w:r>
          </w:p>
        </w:tc>
        <w:tc>
          <w:tcPr>
            <w:tcW w:type="dxa" w:w="2800"/>
            <w:tcMar>
              <w:top w:type="dxa" w:w="70"/>
              <w:left w:type="dxa" w:w="110"/>
              <w:bottom w:type="dxa" w:w="70"/>
              <w:right w:type="dxa" w:w="110"/>
            </w:tcMar>
            <w:vAlign w:val="top"/>
          </w:tcPr>
          <w:p>
            <w:pPr>
              <w:spacing w:after="0" w:line="250"/>
            </w:pPr>
            <w:r>
              <w:rPr>
                <w:color w:val="000000"/>
                <w:sz w:val="18"/>
                <w:szCs w:val="18"/>
              </w:rPr>
              <w:t xml:space="preserve">We need the workbook and the run settings</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4</w:t>
            </w:r>
          </w:p>
        </w:tc>
        <w:tc>
          <w:tcPr>
            <w:tcW w:type="dxa" w:w="2600"/>
            <w:shd w:fill="F7F8FA" w:val="clear"/>
            <w:tcMar>
              <w:top w:type="dxa" w:w="70"/>
              <w:left w:type="dxa" w:w="110"/>
              <w:bottom w:type="dxa" w:w="70"/>
              <w:right w:type="dxa" w:w="110"/>
            </w:tcMar>
            <w:vAlign w:val="top"/>
          </w:tcPr>
          <w:p>
            <w:pPr>
              <w:spacing w:after="0" w:line="250"/>
            </w:pPr>
            <w:r>
              <w:rPr>
                <w:color w:val="000000"/>
                <w:sz w:val="18"/>
                <w:szCs w:val="18"/>
              </w:rPr>
              <w:t xml:space="preserve">Error code structure missing</w:t>
            </w:r>
          </w:p>
        </w:tc>
        <w:tc>
          <w:tcPr>
            <w:tcW w:type="dxa" w:w="3200"/>
            <w:shd w:fill="F7F8FA" w:val="clear"/>
            <w:tcMar>
              <w:top w:type="dxa" w:w="70"/>
              <w:left w:type="dxa" w:w="110"/>
              <w:bottom w:type="dxa" w:w="70"/>
              <w:right w:type="dxa" w:w="110"/>
            </w:tcMar>
            <w:vAlign w:val="top"/>
          </w:tcPr>
          <w:p>
            <w:pPr>
              <w:spacing w:after="0" w:line="250"/>
            </w:pPr>
            <w:r>
              <w:rPr>
                <w:color w:val="000000"/>
                <w:sz w:val="18"/>
                <w:szCs w:val="18"/>
              </w:rPr>
              <w:t xml:space="preserve">Accepted without qualification</w:t>
            </w:r>
          </w:p>
        </w:tc>
        <w:tc>
          <w:tcPr>
            <w:tcW w:type="dxa" w:w="2800"/>
            <w:shd w:fill="F7F8FA" w:val="clear"/>
            <w:tcMar>
              <w:top w:type="dxa" w:w="70"/>
              <w:left w:type="dxa" w:w="110"/>
              <w:bottom w:type="dxa" w:w="70"/>
              <w:right w:type="dxa" w:w="110"/>
            </w:tcMar>
            <w:vAlign w:val="top"/>
          </w:tcPr>
          <w:p>
            <w:pPr>
              <w:spacing w:after="0" w:line="250"/>
            </w:pPr>
            <w:r>
              <w:rPr>
                <w:color w:val="000000"/>
                <w:sz w:val="18"/>
                <w:szCs w:val="18"/>
              </w:rPr>
              <w:t xml:space="preserve">Implemented as shared components</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5</w:t>
            </w:r>
          </w:p>
        </w:tc>
        <w:tc>
          <w:tcPr>
            <w:tcW w:type="dxa" w:w="2600"/>
            <w:tcMar>
              <w:top w:type="dxa" w:w="70"/>
              <w:left w:type="dxa" w:w="110"/>
              <w:bottom w:type="dxa" w:w="70"/>
              <w:right w:type="dxa" w:w="110"/>
            </w:tcMar>
            <w:vAlign w:val="top"/>
          </w:tcPr>
          <w:p>
            <w:pPr>
              <w:spacing w:after="0" w:line="250"/>
            </w:pPr>
            <w:r>
              <w:rPr>
                <w:color w:val="000000"/>
                <w:sz w:val="18"/>
                <w:szCs w:val="18"/>
              </w:rPr>
              <w:t xml:space="preserve">API Lifecycle Design status not implemented</w:t>
            </w:r>
          </w:p>
        </w:tc>
        <w:tc>
          <w:tcPr>
            <w:tcW w:type="dxa" w:w="3200"/>
            <w:tcMar>
              <w:top w:type="dxa" w:w="70"/>
              <w:left w:type="dxa" w:w="110"/>
              <w:bottom w:type="dxa" w:w="70"/>
              <w:right w:type="dxa" w:w="110"/>
            </w:tcMar>
            <w:vAlign w:val="top"/>
          </w:tcPr>
          <w:p>
            <w:pPr>
              <w:spacing w:after="0" w:line="250"/>
            </w:pPr>
            <w:r>
              <w:rPr>
                <w:color w:val="000000"/>
                <w:sz w:val="18"/>
                <w:szCs w:val="18"/>
              </w:rPr>
              <w:t xml:space="preserve">Accepted</w:t>
            </w:r>
          </w:p>
        </w:tc>
        <w:tc>
          <w:tcPr>
            <w:tcW w:type="dxa" w:w="2800"/>
            <w:tcMar>
              <w:top w:type="dxa" w:w="70"/>
              <w:left w:type="dxa" w:w="110"/>
              <w:bottom w:type="dxa" w:w="70"/>
              <w:right w:type="dxa" w:w="110"/>
            </w:tcMar>
            <w:vAlign w:val="top"/>
          </w:tcPr>
          <w:p>
            <w:pPr>
              <w:spacing w:after="0" w:line="250"/>
            </w:pPr>
            <w:r>
              <w:rPr>
                <w:color w:val="000000"/>
                <w:sz w:val="18"/>
                <w:szCs w:val="18"/>
              </w:rPr>
              <w:t xml:space="preserve">We need the permitted values and placement</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6</w:t>
            </w:r>
          </w:p>
        </w:tc>
        <w:tc>
          <w:tcPr>
            <w:tcW w:type="dxa" w:w="2600"/>
            <w:shd w:fill="F7F8FA" w:val="clear"/>
            <w:tcMar>
              <w:top w:type="dxa" w:w="70"/>
              <w:left w:type="dxa" w:w="110"/>
              <w:bottom w:type="dxa" w:w="70"/>
              <w:right w:type="dxa" w:w="110"/>
            </w:tcMar>
            <w:vAlign w:val="top"/>
          </w:tcPr>
          <w:p>
            <w:pPr>
              <w:spacing w:after="0" w:line="250"/>
            </w:pPr>
            <w:r>
              <w:rPr>
                <w:color w:val="000000"/>
                <w:sz w:val="18"/>
                <w:szCs w:val="18"/>
              </w:rPr>
              <w:t xml:space="preserve">Impact on existing service domains</w:t>
            </w:r>
          </w:p>
        </w:tc>
        <w:tc>
          <w:tcPr>
            <w:tcW w:type="dxa" w:w="3200"/>
            <w:shd w:fill="F7F8FA" w:val="clear"/>
            <w:tcMar>
              <w:top w:type="dxa" w:w="70"/>
              <w:left w:type="dxa" w:w="110"/>
              <w:bottom w:type="dxa" w:w="70"/>
              <w:right w:type="dxa" w:w="110"/>
            </w:tcMar>
            <w:vAlign w:val="top"/>
          </w:tcPr>
          <w:p>
            <w:pPr>
              <w:spacing w:after="0" w:line="250"/>
            </w:pPr>
            <w:r>
              <w:rPr>
                <w:color w:val="000000"/>
                <w:sz w:val="18"/>
                <w:szCs w:val="18"/>
              </w:rPr>
              <w:t xml:space="preserve">Real, and a second engine already addresses it</w:t>
            </w:r>
          </w:p>
        </w:tc>
        <w:tc>
          <w:tcPr>
            <w:tcW w:type="dxa" w:w="2800"/>
            <w:shd w:fill="F7F8FA" w:val="clear"/>
            <w:tcMar>
              <w:top w:type="dxa" w:w="70"/>
              <w:left w:type="dxa" w:w="110"/>
              <w:bottom w:type="dxa" w:w="70"/>
              <w:right w:type="dxa" w:w="110"/>
            </w:tcMar>
            <w:vAlign w:val="top"/>
          </w:tcPr>
          <w:p>
            <w:pPr>
              <w:spacing w:after="0" w:line="250"/>
            </w:pPr>
            <w:r>
              <w:rPr>
                <w:color w:val="000000"/>
                <w:sz w:val="18"/>
                <w:szCs w:val="18"/>
              </w:rPr>
              <w:t xml:space="preserve">Walkthrough of the trim path</w:t>
            </w:r>
          </w:p>
        </w:tc>
      </w:tr>
    </w:tbl>
    <w:p>
      <w:r>
        <w:br w:type="page"/>
      </w:r>
    </w:p>
    <w:p>
      <w:pPr>
        <w:pStyle w:val="Heading1"/>
        <w:pBdr>
          <w:bottom w:val="single" w:color="C6CBD4" w:sz="8" w:space="6"/>
        </w:pBdr>
        <w:spacing w:after="200" w:before="400"/>
      </w:pPr>
      <w:r>
        <w:rPr>
          <w:b/>
          <w:bCs/>
          <w:color w:val="1E2761"/>
          <w:sz w:val="32"/>
          <w:szCs w:val="32"/>
        </w:rPr>
        <w:t xml:space="preserve">1  A sample format for the input Data Model Sheet</w:t>
      </w:r>
    </w:p>
    <w:p>
      <w:pPr>
        <w:spacing w:after="120" w:line="276"/>
      </w:pPr>
      <w:r>
        <w:rPr>
          <w:color w:val="000000"/>
          <w:sz w:val="21"/>
          <w:szCs w:val="21"/>
        </w:rPr>
        <w:t xml:space="preserve">Agreed on the need, and this already ships. The package writes its own template on demand, and the template is the input contract expressed as a workbook rather than an illustration of it:</w:t>
      </w:r>
    </w:p>
    <w:p>
      <w:pPr>
        <w:shd w:fill="F4F5F7" w:val="clear"/>
        <w:spacing w:after="160" w:before="60" w:line="240"/>
        <w:ind w:left="180" w:right="180"/>
      </w:pPr>
      <w:r>
        <w:rPr>
          <w:rFonts w:ascii="Consolas" w:cs="Consolas" w:eastAsia="Consolas" w:hAnsi="Consolas"/>
          <w:color w:val="22303F"/>
          <w:sz w:val="17"/>
          <w:szCs w:val="17"/>
        </w:rPr>
        <w:t xml:space="preserve">python polymorphize_cli.py template SOR_mapping_template.xlsx</w:t>
      </w:r>
    </w:p>
    <w:p>
      <w:pPr>
        <w:spacing w:after="120" w:line="276"/>
      </w:pPr>
      <w:r>
        <w:rPr>
          <w:color w:val="000000"/>
          <w:sz w:val="21"/>
          <w:szCs w:val="21"/>
        </w:rPr>
        <w:t xml:space="preserve">A copy also sits at </w:t>
      </w:r>
      <w:r>
        <w:rPr>
          <w:rFonts w:ascii="Consolas" w:cs="Consolas" w:eastAsia="Consolas" w:hAnsi="Consolas"/>
          <w:color w:val="1E2761"/>
          <w:sz w:val="19"/>
          <w:szCs w:val="19"/>
        </w:rPr>
        <w:t xml:space="preserve">samples/SOR_mapping_template.xlsx</w:t>
      </w:r>
      <w:r>
        <w:rPr>
          <w:color w:val="000000"/>
          <w:sz w:val="21"/>
          <w:szCs w:val="21"/>
        </w:rPr>
        <w:t xml:space="preserve">, and the desktop window offers the same through its Template action. The workbook carries five sheets. </w:t>
      </w:r>
      <w:r>
        <w:rPr>
          <w:rFonts w:ascii="Consolas" w:cs="Consolas" w:eastAsia="Consolas" w:hAnsi="Consolas"/>
          <w:color w:val="1E2761"/>
          <w:sz w:val="19"/>
          <w:szCs w:val="19"/>
        </w:rPr>
        <w:t xml:space="preserve">How to use</w:t>
      </w:r>
      <w:r>
        <w:rPr>
          <w:color w:val="000000"/>
          <w:sz w:val="21"/>
          <w:szCs w:val="21"/>
        </w:rPr>
        <w:t xml:space="preserve"> states the rules in order, </w:t>
      </w:r>
      <w:r>
        <w:rPr>
          <w:rFonts w:ascii="Consolas" w:cs="Consolas" w:eastAsia="Consolas" w:hAnsi="Consolas"/>
          <w:color w:val="1E2761"/>
          <w:sz w:val="19"/>
          <w:szCs w:val="19"/>
        </w:rPr>
        <w:t xml:space="preserve">Vocabulary</w:t>
      </w:r>
      <w:r>
        <w:rPr>
          <w:color w:val="000000"/>
          <w:sz w:val="21"/>
          <w:szCs w:val="21"/>
        </w:rPr>
        <w:t xml:space="preserve"> holds the permitted Data Type and Usage values, </w:t>
      </w:r>
      <w:r>
        <w:rPr>
          <w:rFonts w:ascii="Consolas" w:cs="Consolas" w:eastAsia="Consolas" w:hAnsi="Consolas"/>
          <w:color w:val="1E2761"/>
          <w:sz w:val="19"/>
          <w:szCs w:val="19"/>
        </w:rPr>
        <w:t xml:space="preserve">Example_SingleSor</w:t>
      </w:r>
      <w:r>
        <w:rPr>
          <w:color w:val="000000"/>
          <w:sz w:val="21"/>
          <w:szCs w:val="21"/>
        </w:rPr>
        <w:t xml:space="preserve"> and </w:t>
      </w:r>
      <w:r>
        <w:rPr>
          <w:rFonts w:ascii="Consolas" w:cs="Consolas" w:eastAsia="Consolas" w:hAnsi="Consolas"/>
          <w:color w:val="1E2761"/>
          <w:sz w:val="19"/>
          <w:szCs w:val="19"/>
        </w:rPr>
        <w:t xml:space="preserve">Example_MultiSor</w:t>
      </w:r>
      <w:r>
        <w:rPr>
          <w:color w:val="000000"/>
          <w:sz w:val="21"/>
          <w:szCs w:val="21"/>
        </w:rPr>
        <w:t xml:space="preserve"> are two worked operations covering the single endpoint and multiple endpoint cases, and </w:t>
      </w:r>
      <w:r>
        <w:rPr>
          <w:rFonts w:ascii="Consolas" w:cs="Consolas" w:eastAsia="Consolas" w:hAnsi="Consolas"/>
          <w:color w:val="1E2761"/>
          <w:sz w:val="19"/>
          <w:szCs w:val="19"/>
        </w:rPr>
        <w:t xml:space="preserve">Operation_Template</w:t>
      </w:r>
      <w:r>
        <w:rPr>
          <w:color w:val="000000"/>
          <w:sz w:val="21"/>
          <w:szCs w:val="21"/>
        </w:rPr>
        <w:t xml:space="preserve"> is the empty sheet to copy. The Data Type and Usage columns are bound to dropdowns drawn from the Vocabulary sheet, so the two columns that drift most in practice cannot be typed freehand.</w:t>
      </w:r>
    </w:p>
    <w:p>
      <w:pPr>
        <w:spacing w:after="120" w:line="276"/>
      </w:pPr>
      <w:r>
        <w:rPr>
          <w:color w:val="000000"/>
          <w:sz w:val="21"/>
          <w:szCs w:val="21"/>
        </w:rPr>
        <w:t xml:space="preserve">The template validates with zero findings at both the lenient and the strict checking level, and all three of its worked operation sheets generate. That is not a claim; it is enforced as a test in the suite, so a change to the input contract that leaves the template behind fails the build.</w:t>
      </w:r>
    </w:p>
    <w:p>
      <w:pPr>
        <w:pBdr>
          <w:left w:val="single" w:color="8A6D1F" w:sz="18" w:space="8"/>
        </w:pBdr>
        <w:shd w:fill="EEF1F6" w:val="clear"/>
        <w:spacing w:after="180" w:before="120" w:line="276"/>
        <w:ind w:left="120" w:right="120"/>
      </w:pPr>
      <w:r>
        <w:rPr>
          <w:b/>
          <w:bCs/>
          <w:color w:val="1E2761"/>
          <w:sz w:val="20"/>
          <w:szCs w:val="20"/>
        </w:rPr>
        <w:t xml:space="preserve">What we got wrong</w:t>
      </w:r>
      <w:r>
        <w:rPr>
          <w:sz w:val="20"/>
          <w:szCs w:val="20"/>
        </w:rPr>
        <w:t xml:space="preserve">  </w:t>
      </w:r>
      <w:r>
        <w:rPr>
          <w:color w:val="000000"/>
          <w:sz w:val="20"/>
          <w:szCs w:val="20"/>
        </w:rPr>
        <w:t xml:space="preserve">A template that has to be discovered through a command line flag is not a delivered template. It should have opened the handover walkthrough and it should be named on the first page of the user manual. We will place a generated copy at the root of the package, reference it from the opening section of the manual, and lead with it in the next session.</w:t>
      </w:r>
    </w:p>
    <w:p>
      <w:pPr>
        <w:pStyle w:val="Heading1"/>
        <w:pBdr>
          <w:bottom w:val="single" w:color="C6CBD4" w:sz="8" w:space="6"/>
        </w:pBdr>
        <w:spacing w:after="200" w:before="400"/>
      </w:pPr>
      <w:r>
        <w:rPr>
          <w:b/>
          <w:bCs/>
          <w:color w:val="1E2761"/>
          <w:sz w:val="32"/>
          <w:szCs w:val="32"/>
        </w:rPr>
        <w:t xml:space="preserve">2  Field mapping documentation</w:t>
      </w:r>
    </w:p>
    <w:p>
      <w:pPr>
        <w:spacing w:after="120" w:line="276"/>
      </w:pPr>
      <w:r>
        <w:rPr>
          <w:color w:val="000000"/>
          <w:sz w:val="21"/>
          <w:szCs w:val="21"/>
        </w:rPr>
        <w:t xml:space="preserve">There are two distinct points here, and we accept one of them.</w:t>
      </w:r>
    </w:p>
    <w:p>
      <w:pPr>
        <w:pStyle w:val="Heading2"/>
        <w:keepNext/>
        <w:spacing w:after="120" w:before="300"/>
      </w:pPr>
      <w:r>
        <w:rPr>
          <w:b/>
          <w:bCs/>
          <w:color w:val="1E2761"/>
          <w:sz w:val="25"/>
          <w:szCs w:val="25"/>
        </w:rPr>
        <w:t xml:space="preserve">The mapping is not lost in the generated specification</w:t>
      </w:r>
    </w:p>
    <w:p>
      <w:pPr>
        <w:spacing w:after="120" w:line="276"/>
      </w:pPr>
      <w:r>
        <w:rPr>
          <w:color w:val="000000"/>
          <w:sz w:val="21"/>
          <w:szCs w:val="21"/>
        </w:rPr>
        <w:t xml:space="preserve">Unmapped fields are excluded from the interface, which is the purpose of the tool, but the provenance of everything that survives is carried in the output. Every published property records the System of Record field it came from as </w:t>
      </w:r>
      <w:r>
        <w:rPr>
          <w:rFonts w:ascii="Consolas" w:cs="Consolas" w:eastAsia="Consolas" w:hAnsi="Consolas"/>
          <w:color w:val="1E2761"/>
          <w:sz w:val="19"/>
          <w:szCs w:val="19"/>
        </w:rPr>
        <w:t xml:space="preserve">x-sor-field</w:t>
      </w:r>
      <w:r>
        <w:rPr>
          <w:color w:val="000000"/>
          <w:sz w:val="21"/>
          <w:szCs w:val="21"/>
        </w:rPr>
        <w:t xml:space="preserve">, and where one element is fed by different System of Record fields in different operations, that is recorded as </w:t>
      </w:r>
      <w:r>
        <w:rPr>
          <w:rFonts w:ascii="Consolas" w:cs="Consolas" w:eastAsia="Consolas" w:hAnsi="Consolas"/>
          <w:color w:val="1E2761"/>
          <w:sz w:val="19"/>
          <w:szCs w:val="19"/>
        </w:rPr>
        <w:t xml:space="preserve">x-sor-field-by-operation</w:t>
      </w:r>
      <w:r>
        <w:rPr>
          <w:color w:val="000000"/>
          <w:sz w:val="21"/>
          <w:szCs w:val="21"/>
        </w:rPr>
        <w:t xml:space="preserve"> rather than collapsed. On the reference workbook the generated specification carries 148 </w:t>
      </w:r>
      <w:r>
        <w:rPr>
          <w:rFonts w:ascii="Consolas" w:cs="Consolas" w:eastAsia="Consolas" w:hAnsi="Consolas"/>
          <w:color w:val="1E2761"/>
          <w:sz w:val="19"/>
          <w:szCs w:val="19"/>
        </w:rPr>
        <w:t xml:space="preserve">x-sor-field</w:t>
      </w:r>
      <w:r>
        <w:rPr>
          <w:color w:val="000000"/>
          <w:sz w:val="21"/>
          <w:szCs w:val="21"/>
        </w:rPr>
        <w:t xml:space="preserve"> entries, 4 </w:t>
      </w:r>
      <w:r>
        <w:rPr>
          <w:rFonts w:ascii="Consolas" w:cs="Consolas" w:eastAsia="Consolas" w:hAnsi="Consolas"/>
          <w:color w:val="1E2761"/>
          <w:sz w:val="19"/>
          <w:szCs w:val="19"/>
        </w:rPr>
        <w:t xml:space="preserve">x-sor-fields</w:t>
      </w:r>
      <w:r>
        <w:rPr>
          <w:color w:val="000000"/>
          <w:sz w:val="21"/>
          <w:szCs w:val="21"/>
        </w:rPr>
        <w:t xml:space="preserve"> entries where several fields feed one element, and 15 </w:t>
      </w:r>
      <w:r>
        <w:rPr>
          <w:rFonts w:ascii="Consolas" w:cs="Consolas" w:eastAsia="Consolas" w:hAnsi="Consolas"/>
          <w:color w:val="1E2761"/>
          <w:sz w:val="19"/>
          <w:szCs w:val="19"/>
        </w:rPr>
        <w:t xml:space="preserve">x-sor-field-by-operation</w:t>
      </w:r>
      <w:r>
        <w:rPr>
          <w:color w:val="000000"/>
          <w:sz w:val="21"/>
          <w:szCs w:val="21"/>
        </w:rPr>
        <w:t xml:space="preserve"> entries. A reader of the specification alone can therefore trace any published attribute back to its source.</w:t>
      </w:r>
    </w:p>
    <w:p>
      <w:pPr>
        <w:pStyle w:val="Heading2"/>
        <w:keepNext/>
        <w:spacing w:after="120" w:before="300"/>
      </w:pPr>
      <w:r>
        <w:rPr>
          <w:b/>
          <w:bCs/>
          <w:color w:val="1E2761"/>
          <w:sz w:val="25"/>
          <w:szCs w:val="25"/>
        </w:rPr>
        <w:t xml:space="preserve">The reverse engineering should not have been necessary</w:t>
      </w:r>
    </w:p>
    <w:p>
      <w:pPr>
        <w:spacing w:after="120" w:line="276"/>
      </w:pPr>
      <w:r>
        <w:rPr>
          <w:color w:val="000000"/>
          <w:sz w:val="21"/>
          <w:szCs w:val="21"/>
        </w:rPr>
        <w:t xml:space="preserve">Alongside the specification the tool writes an HTML report named after the service domain, so the reference workbook produces </w:t>
      </w:r>
      <w:r>
        <w:rPr>
          <w:rFonts w:ascii="Consolas" w:cs="Consolas" w:eastAsia="Consolas" w:hAnsi="Consolas"/>
          <w:color w:val="1E2761"/>
          <w:sz w:val="19"/>
          <w:szCs w:val="19"/>
        </w:rPr>
        <w:t xml:space="preserve">credit-card.html</w:t>
      </w:r>
      <w:r>
        <w:rPr>
          <w:color w:val="000000"/>
          <w:sz w:val="21"/>
          <w:szCs w:val="21"/>
        </w:rPr>
        <w:t xml:space="preserve">. That report is the field mapping document, built from the workbook tree rather than read back out of the generated specification, which is what makes it usable as evidence at sign-off rather than as a description of the output.</w:t>
      </w:r>
    </w:p>
    <w:p>
      <w:pPr>
        <w:spacing w:after="120" w:line="276"/>
      </w:pPr>
      <w:r>
        <w:rPr>
          <w:color w:val="000000"/>
          <w:sz w:val="21"/>
          <w:szCs w:val="21"/>
        </w:rPr>
        <w:t xml:space="preserve">For every class of every integration API it lists each element the workbook declared under the columns Element, Type, Usage, Disposition, SOR field in the workbook, and Why. Where an operation is served by several System of Record endpoints it adds one column per variant, so a reader sees which endpoints supply each element. A section of its own then lists every eliminated element with its message, its class, its path within the message, the reason for removal, and the System of Record field the workbook named against it. On the reference workbook that comes to 277 rows.</w:t>
      </w:r>
    </w:p>
    <w:p>
      <w:pPr>
        <w:spacing w:after="120" w:line="276"/>
      </w:pPr>
      <w:r>
        <w:rPr>
          <w:color w:val="000000"/>
          <w:sz w:val="21"/>
          <w:szCs w:val="21"/>
        </w:rPr>
        <w:t xml:space="preserve">If that file was not among the outputs under review, one of two things happened. Either the run used </w:t>
      </w:r>
      <w:r>
        <w:rPr>
          <w:rFonts w:ascii="Consolas" w:cs="Consolas" w:eastAsia="Consolas" w:hAnsi="Consolas"/>
          <w:color w:val="1E2761"/>
          <w:sz w:val="19"/>
          <w:szCs w:val="19"/>
        </w:rPr>
        <w:t xml:space="preserve">--no-showcase</w:t>
      </w:r>
      <w:r>
        <w:rPr>
          <w:color w:val="000000"/>
          <w:sz w:val="21"/>
          <w:szCs w:val="21"/>
        </w:rPr>
        <w:t xml:space="preserve">, which suppresses it, or it did not survive the packaging. Either way the manual walkthrough should have opened it, and it will.</w:t>
      </w:r>
    </w:p>
    <w:p>
      <w:pPr>
        <w:pStyle w:val="Heading2"/>
        <w:keepNext/>
        <w:spacing w:after="120" w:before="300"/>
      </w:pPr>
      <w:r>
        <w:rPr>
          <w:b/>
          <w:bCs/>
          <w:color w:val="1E2761"/>
          <w:sz w:val="25"/>
          <w:szCs w:val="25"/>
        </w:rPr>
        <w:t xml:space="preserve">The gap we accept</w:t>
      </w:r>
    </w:p>
    <w:p>
      <w:pPr>
        <w:spacing w:after="120" w:line="276"/>
      </w:pPr>
      <w:r>
        <w:rPr>
          <w:color w:val="000000"/>
          <w:sz w:val="21"/>
          <w:szCs w:val="21"/>
        </w:rPr>
        <w:t xml:space="preserve">The report is HTML, designed to be read and signed off by a business analyst. It is not a spreadsheet in the shape your downstream swagger creation tool consumes, and observation six confirms that the shape matters, because that tool takes the field mapping document as its input. Emitting the same content as an Excel mapping document is contained work on top of a report that already assembles every field it needs.</w:t>
      </w:r>
    </w:p>
    <w:p>
      <w:pPr>
        <w:spacing w:after="120" w:line="276"/>
      </w:pPr>
      <w:r>
        <w:rPr>
          <w:color w:val="000000"/>
          <w:sz w:val="21"/>
          <w:szCs w:val="21"/>
        </w:rPr>
        <w:t xml:space="preserve">Send one example of the field mapping document in the exact form the downstream tool expects, including its sheet name and column order, and the export will match it column for column rather than approximately. Without that example we would be guessing at a format you already have settled, and a mapping export that needs manual reshaping would solve nothing.</w:t>
      </w:r>
    </w:p>
    <w:p>
      <w:r>
        <w:br w:type="page"/>
      </w:r>
    </w:p>
    <w:p>
      <w:pPr>
        <w:pStyle w:val="Heading1"/>
        <w:pBdr>
          <w:bottom w:val="single" w:color="C6CBD4" w:sz="8" w:space="6"/>
        </w:pBdr>
        <w:spacing w:after="200" w:before="400"/>
      </w:pPr>
      <w:r>
        <w:rPr>
          <w:b/>
          <w:bCs/>
          <w:color w:val="1E2761"/>
          <w:sz w:val="32"/>
          <w:szCs w:val="32"/>
        </w:rPr>
        <w:t xml:space="preserve">3  Shared object reusability</w:t>
      </w:r>
    </w:p>
    <w:p>
      <w:pPr>
        <w:spacing w:after="120" w:line="276"/>
      </w:pPr>
      <w:r>
        <w:rPr>
          <w:color w:val="000000"/>
          <w:sz w:val="21"/>
          <w:szCs w:val="21"/>
        </w:rPr>
        <w:t xml:space="preserve">Reuse across endpoints is implemented, and we have tested the case you name. Before asking for your workbook, here is exactly what the delivered release does with a group that two operations share, measured rather than described, using </w:t>
      </w:r>
      <w:r>
        <w:rPr>
          <w:rFonts w:ascii="Consolas" w:cs="Consolas" w:eastAsia="Consolas" w:hAnsi="Consolas"/>
          <w:color w:val="1E2761"/>
          <w:sz w:val="19"/>
          <w:szCs w:val="19"/>
        </w:rPr>
        <w:t xml:space="preserve">CustomerLimit</w:t>
      </w:r>
      <w:r>
        <w:rPr>
          <w:color w:val="000000"/>
          <w:sz w:val="21"/>
          <w:szCs w:val="21"/>
        </w:rPr>
        <w:t xml:space="preserve"> across </w:t>
      </w:r>
      <w:r>
        <w:rPr>
          <w:rFonts w:ascii="Consolas" w:cs="Consolas" w:eastAsia="Consolas" w:hAnsi="Consolas"/>
          <w:color w:val="1E2761"/>
          <w:sz w:val="19"/>
          <w:szCs w:val="19"/>
        </w:rPr>
        <w:t xml:space="preserve">AvailableFundsRetrieve</w:t>
      </w:r>
      <w:r>
        <w:rPr>
          <w:color w:val="000000"/>
          <w:sz w:val="21"/>
          <w:szCs w:val="21"/>
        </w:rPr>
        <w:t xml:space="preserve"> and </w:t>
      </w:r>
      <w:r>
        <w:rPr>
          <w:rFonts w:ascii="Consolas" w:cs="Consolas" w:eastAsia="Consolas" w:hAnsi="Consolas"/>
          <w:color w:val="1E2761"/>
          <w:sz w:val="19"/>
          <w:szCs w:val="19"/>
        </w:rPr>
        <w:t xml:space="preserve">TransactionAdjustmentInitiate</w:t>
      </w:r>
      <w:r>
        <w:rPr>
          <w:color w:val="000000"/>
          <w:sz w:val="21"/>
          <w:szCs w:val="21"/>
        </w:rPr>
        <w:t xml:space="preserve"> as you did.</w:t>
      </w:r>
    </w:p>
    <w:p>
      <w:pPr>
        <w:pStyle w:val="Heading2"/>
        <w:keepNext/>
        <w:spacing w:after="120" w:before="300"/>
      </w:pPr>
      <w:r>
        <w:rPr>
          <w:b/>
          <w:bCs/>
          <w:color w:val="1E2761"/>
          <w:sz w:val="25"/>
          <w:szCs w:val="25"/>
        </w:rPr>
        <w:t xml:space="preserve">When the two sheets declare the group identically</w:t>
      </w:r>
    </w:p>
    <w:p>
      <w:pPr>
        <w:spacing w:after="120" w:line="276"/>
      </w:pPr>
      <w:r>
        <w:rPr>
          <w:color w:val="000000"/>
          <w:sz w:val="21"/>
          <w:szCs w:val="21"/>
        </w:rPr>
        <w:t xml:space="preserve">One schema is published. It carries </w:t>
      </w:r>
      <w:r>
        <w:rPr>
          <w:rFonts w:ascii="Consolas" w:cs="Consolas" w:eastAsia="Consolas" w:hAnsi="Consolas"/>
          <w:color w:val="1E2761"/>
          <w:sz w:val="19"/>
          <w:szCs w:val="19"/>
        </w:rPr>
        <w:t xml:space="preserve">x-used-by</w:t>
      </w:r>
      <w:r>
        <w:rPr>
          <w:color w:val="000000"/>
          <w:sz w:val="21"/>
          <w:szCs w:val="21"/>
        </w:rPr>
        <w:t xml:space="preserve"> naming both operations, and both message schemas reference it. There is no duplication of any kind.</w:t>
      </w:r>
    </w:p>
    <w:p>
      <w:pPr>
        <w:shd w:fill="F4F5F7" w:val="clear"/>
        <w:spacing w:after="0" w:before="60" w:line="240"/>
        <w:ind w:left="180" w:right="180"/>
      </w:pPr>
      <w:r>
        <w:rPr>
          <w:rFonts w:ascii="Consolas" w:cs="Consolas" w:eastAsia="Consolas" w:hAnsi="Consolas"/>
          <w:color w:val="22303F"/>
          <w:sz w:val="17"/>
          <w:szCs w:val="17"/>
        </w:rPr>
        <w:t xml:space="preserve">CustomerLimit    flat object    x-used-by = [availableFundsRetrieve,</w:t>
      </w:r>
    </w:p>
    <w:p>
      <w:pPr>
        <w:shd w:fill="F4F5F7" w:val="clear"/>
        <w:spacing w:after="160" w:before="0" w:line="240"/>
        <w:ind w:left="180" w:right="180"/>
      </w:pPr>
      <w:r>
        <w:rPr>
          <w:rFonts w:ascii="Consolas" w:cs="Consolas" w:eastAsia="Consolas" w:hAnsi="Consolas"/>
          <w:color w:val="22303F"/>
          <w:sz w:val="17"/>
          <w:szCs w:val="17"/>
        </w:rPr>
        <w:t xml:space="preserve">                                             transactionAdjustmentInitiate]</w:t>
      </w:r>
    </w:p>
    <w:p>
      <w:pPr>
        <w:pStyle w:val="Heading2"/>
        <w:keepNext/>
        <w:spacing w:after="120" w:before="300"/>
      </w:pPr>
      <w:r>
        <w:rPr>
          <w:b/>
          <w:bCs/>
          <w:color w:val="1E2761"/>
          <w:sz w:val="25"/>
          <w:szCs w:val="25"/>
        </w:rPr>
        <w:t xml:space="preserve">When one cell differs between the two sheets</w:t>
      </w:r>
    </w:p>
    <w:p>
      <w:pPr>
        <w:spacing w:after="120" w:line="276"/>
      </w:pPr>
      <w:r>
        <w:rPr>
          <w:color w:val="000000"/>
          <w:sz w:val="21"/>
          <w:szCs w:val="21"/>
        </w:rPr>
        <w:t xml:space="preserve">This is the case we believe you are looking at. Where the two sheets disagree about a single field, the shared core is still published once and each operation receives a thin derived schema carrying only its own differing field. Declaring </w:t>
      </w:r>
      <w:r>
        <w:rPr>
          <w:rFonts w:ascii="Consolas" w:cs="Consolas" w:eastAsia="Consolas" w:hAnsi="Consolas"/>
          <w:color w:val="1E2761"/>
          <w:sz w:val="19"/>
          <w:szCs w:val="19"/>
        </w:rPr>
        <w:t xml:space="preserve">limitValue</w:t>
      </w:r>
      <w:r>
        <w:rPr>
          <w:color w:val="000000"/>
          <w:sz w:val="21"/>
          <w:szCs w:val="21"/>
        </w:rPr>
        <w:t xml:space="preserve"> as String (18) optional on one sheet and Number (18) mandatory on the other produces this:</w:t>
      </w:r>
    </w:p>
    <w:p>
      <w:pPr>
        <w:shd w:fill="F4F5F7" w:val="clear"/>
        <w:spacing w:after="0" w:before="60" w:line="240"/>
        <w:ind w:left="180" w:right="180"/>
      </w:pPr>
      <w:r>
        <w:rPr>
          <w:rFonts w:ascii="Consolas" w:cs="Consolas" w:eastAsia="Consolas" w:hAnsi="Consolas"/>
          <w:color w:val="22303F"/>
          <w:sz w:val="17"/>
          <w:szCs w:val="17"/>
        </w:rPr>
        <w:t xml:space="preserve">CustomerLimit                                   carries limitType,</w:t>
      </w:r>
    </w:p>
    <w:p>
      <w:pPr>
        <w:shd w:fill="F4F5F7" w:val="clear"/>
        <w:spacing w:after="0" w:before="0" w:line="240"/>
        <w:ind w:left="180" w:right="180"/>
      </w:pPr>
      <w:r>
        <w:rPr>
          <w:rFonts w:ascii="Consolas" w:cs="Consolas" w:eastAsia="Consolas" w:hAnsi="Consolas"/>
          <w:color w:val="22303F"/>
          <w:sz w:val="17"/>
          <w:szCs w:val="17"/>
        </w:rPr>
        <w:t xml:space="preserve">                                                        limitCurrencyCode</w:t>
      </w:r>
    </w:p>
    <w:p>
      <w:pPr>
        <w:shd w:fill="F4F5F7" w:val="clear"/>
        <w:spacing w:after="0" w:before="0" w:line="240"/>
        <w:ind w:left="180" w:right="180"/>
      </w:pPr>
      <w:r>
        <w:rPr>
          <w:rFonts w:ascii="Consolas" w:cs="Consolas" w:eastAsia="Consolas" w:hAnsi="Consolas"/>
          <w:color w:val="22303F"/>
          <w:sz w:val="17"/>
          <w:szCs w:val="17"/>
        </w:rPr>
        <w:t xml:space="preserve">CustomerLimitForAvailableFundsRetrieve          allOf CustomerLimit</w:t>
      </w:r>
    </w:p>
    <w:p>
      <w:pPr>
        <w:shd w:fill="F4F5F7" w:val="clear"/>
        <w:spacing w:after="0" w:before="0" w:line="240"/>
        <w:ind w:left="180" w:right="180"/>
      </w:pPr>
      <w:r>
        <w:rPr>
          <w:rFonts w:ascii="Consolas" w:cs="Consolas" w:eastAsia="Consolas" w:hAnsi="Consolas"/>
          <w:color w:val="22303F"/>
          <w:sz w:val="17"/>
          <w:szCs w:val="17"/>
        </w:rPr>
        <w:t xml:space="preserve">                                                  + limitValue</w:t>
      </w:r>
    </w:p>
    <w:p>
      <w:pPr>
        <w:shd w:fill="F4F5F7" w:val="clear"/>
        <w:spacing w:after="0" w:before="0" w:line="240"/>
        <w:ind w:left="180" w:right="180"/>
      </w:pPr>
      <w:r>
        <w:rPr>
          <w:rFonts w:ascii="Consolas" w:cs="Consolas" w:eastAsia="Consolas" w:hAnsi="Consolas"/>
          <w:color w:val="22303F"/>
          <w:sz w:val="17"/>
          <w:szCs w:val="17"/>
        </w:rPr>
        <w:t xml:space="preserve">CustomerLimitForTransactionAdjustmentInitiate   allOf CustomerLimit</w:t>
      </w:r>
    </w:p>
    <w:p>
      <w:pPr>
        <w:shd w:fill="F4F5F7" w:val="clear"/>
        <w:spacing w:after="160" w:before="0" w:line="240"/>
        <w:ind w:left="180" w:right="180"/>
      </w:pPr>
      <w:r>
        <w:rPr>
          <w:rFonts w:ascii="Consolas" w:cs="Consolas" w:eastAsia="Consolas" w:hAnsi="Consolas"/>
          <w:color w:val="22303F"/>
          <w:sz w:val="17"/>
          <w:szCs w:val="17"/>
        </w:rPr>
        <w:t xml:space="preserve">                                                  + limitValue</w:t>
      </w:r>
    </w:p>
    <w:p>
      <w:pPr>
        <w:spacing w:after="120" w:line="276"/>
      </w:pPr>
      <w:r>
        <w:rPr>
          <w:color w:val="000000"/>
          <w:sz w:val="21"/>
          <w:szCs w:val="21"/>
        </w:rPr>
        <w:t xml:space="preserve">On screen that is three schema names containing </w:t>
      </w:r>
      <w:r>
        <w:rPr>
          <w:rFonts w:ascii="Consolas" w:cs="Consolas" w:eastAsia="Consolas" w:hAnsi="Consolas"/>
          <w:color w:val="1E2761"/>
          <w:sz w:val="19"/>
          <w:szCs w:val="19"/>
        </w:rPr>
        <w:t xml:space="preserve">CustomerLimit</w:t>
      </w:r>
      <w:r>
        <w:rPr>
          <w:color w:val="000000"/>
          <w:sz w:val="21"/>
          <w:szCs w:val="21"/>
        </w:rPr>
        <w:t xml:space="preserve">, which reads as duplication in a schema browser, and we understand why the screenshot looks the way it does. The shared fields are nevertheless published exactly once, and each derived schema adds one property rather than repeating the group. The tool also reports the cause against the exact cells, as a </w:t>
      </w:r>
      <w:r>
        <w:rPr>
          <w:rFonts w:ascii="Consolas" w:cs="Consolas" w:eastAsia="Consolas" w:hAnsi="Consolas"/>
          <w:color w:val="1E2761"/>
          <w:sz w:val="19"/>
          <w:szCs w:val="19"/>
        </w:rPr>
        <w:t xml:space="preserve">P002</w:t>
      </w:r>
      <w:r>
        <w:rPr>
          <w:color w:val="000000"/>
          <w:sz w:val="21"/>
          <w:szCs w:val="21"/>
        </w:rPr>
        <w:t xml:space="preserve"> finding reading </w:t>
      </w:r>
      <w:r>
        <w:rPr>
          <w:rFonts w:ascii="Consolas" w:cs="Consolas" w:eastAsia="Consolas" w:hAnsi="Consolas"/>
          <w:color w:val="1E2761"/>
          <w:sz w:val="19"/>
          <w:szCs w:val="19"/>
        </w:rPr>
        <w:t xml:space="preserve">CustomerLimit.limitValue is declared 2 different ways across availableFundsRetrieve, transactionAdjustmentInitiate: string (18) optional against number mandatory</w:t>
      </w:r>
      <w:r>
        <w:rPr>
          <w:color w:val="000000"/>
          <w:sz w:val="21"/>
          <w:szCs w:val="21"/>
        </w:rPr>
        <w:t xml:space="preserve">. Aligning that one cell collapses the family to a single </w:t>
      </w:r>
      <w:r>
        <w:rPr>
          <w:rFonts w:ascii="Consolas" w:cs="Consolas" w:eastAsia="Consolas" w:hAnsi="Consolas"/>
          <w:color w:val="1E2761"/>
          <w:sz w:val="19"/>
          <w:szCs w:val="19"/>
        </w:rPr>
        <w:t xml:space="preserve">CustomerLimit</w:t>
      </w:r>
      <w:r>
        <w:rPr>
          <w:color w:val="000000"/>
          <w:sz w:val="21"/>
          <w:szCs w:val="21"/>
        </w:rPr>
        <w:t xml:space="preserve"> schema on the next run.</w:t>
      </w:r>
    </w:p>
    <w:p>
      <w:pPr>
        <w:pStyle w:val="Heading2"/>
        <w:keepNext/>
        <w:spacing w:after="120" w:before="300"/>
      </w:pPr>
      <w:r>
        <w:rPr>
          <w:b/>
          <w:bCs/>
          <w:color w:val="1E2761"/>
          <w:sz w:val="25"/>
          <w:szCs w:val="25"/>
        </w:rPr>
        <w:t xml:space="preserve">When the tool is run one file per sheet</w:t>
      </w:r>
    </w:p>
    <w:p>
      <w:pPr>
        <w:spacing w:after="120" w:line="276"/>
      </w:pPr>
      <w:r>
        <w:rPr>
          <w:color w:val="000000"/>
          <w:sz w:val="21"/>
          <w:szCs w:val="21"/>
        </w:rPr>
        <w:t xml:space="preserve">Here there is genuinely no reuse, by design, and this is the cause worth eliminating first. Running with </w:t>
      </w:r>
      <w:r>
        <w:rPr>
          <w:rFonts w:ascii="Consolas" w:cs="Consolas" w:eastAsia="Consolas" w:hAnsi="Consolas"/>
          <w:color w:val="1E2761"/>
          <w:sz w:val="19"/>
          <w:szCs w:val="19"/>
        </w:rPr>
        <w:t xml:space="preserve">--split</w:t>
      </w:r>
      <w:r>
        <w:rPr>
          <w:color w:val="000000"/>
          <w:sz w:val="21"/>
          <w:szCs w:val="21"/>
        </w:rPr>
        <w:t xml:space="preserve">, or selecting the split output mode in the window, gives every sheet its own schema namespace, so nothing can be shared between them. In that mode </w:t>
      </w:r>
      <w:r>
        <w:rPr>
          <w:rFonts w:ascii="Consolas" w:cs="Consolas" w:eastAsia="Consolas" w:hAnsi="Consolas"/>
          <w:color w:val="1E2761"/>
          <w:sz w:val="19"/>
          <w:szCs w:val="19"/>
        </w:rPr>
        <w:t xml:space="preserve">CustomerLimit</w:t>
      </w:r>
      <w:r>
        <w:rPr>
          <w:color w:val="000000"/>
          <w:sz w:val="21"/>
          <w:szCs w:val="21"/>
        </w:rPr>
        <w:t xml:space="preserve"> is not published as a component at all; its three fields are emitted inline inside each operation's response schema, and the components list holds only the two message schemas. That is indistinguishable from duplication in a browser, and it matches the observation precisely.</w:t>
      </w:r>
    </w:p>
    <w:p>
      <w:pPr>
        <w:pBdr>
          <w:left w:val="single" w:color="8A6D1F" w:sz="18" w:space="8"/>
        </w:pBdr>
        <w:shd w:fill="EEF1F6" w:val="clear"/>
        <w:spacing w:after="180" w:before="120" w:line="276"/>
        <w:ind w:left="120" w:right="120"/>
      </w:pPr>
      <w:r>
        <w:rPr>
          <w:b/>
          <w:bCs/>
          <w:color w:val="1E2761"/>
          <w:sz w:val="20"/>
          <w:szCs w:val="20"/>
        </w:rPr>
        <w:t xml:space="preserve">Worth checking first</w:t>
      </w:r>
      <w:r>
        <w:rPr>
          <w:sz w:val="20"/>
          <w:szCs w:val="20"/>
        </w:rPr>
        <w:t xml:space="preserve">  </w:t>
      </w:r>
      <w:r>
        <w:rPr>
          <w:color w:val="000000"/>
          <w:sz w:val="20"/>
          <w:szCs w:val="20"/>
        </w:rPr>
        <w:t xml:space="preserve">Split mode exists for debugging one endpoint in isolation and should never be used to produce a deliverable. If the reviewed output was one file per tab rather than a single specification, that alone accounts for observation three, and re-running in the default merged mode resolves it without touching the workbook.</w:t>
      </w:r>
    </w:p>
    <w:p>
      <w:pPr>
        <w:pStyle w:val="Heading2"/>
        <w:keepNext/>
        <w:spacing w:after="120" w:before="300"/>
      </w:pPr>
      <w:r>
        <w:rPr>
          <w:b/>
          <w:bCs/>
          <w:color w:val="1E2761"/>
          <w:sz w:val="25"/>
          <w:szCs w:val="25"/>
        </w:rPr>
        <w:t xml:space="preserve">What we need from you</w:t>
      </w:r>
    </w:p>
    <w:p>
      <w:pPr>
        <w:spacing w:after="120" w:line="276"/>
      </w:pPr>
      <w:r>
        <w:rPr>
          <w:color w:val="000000"/>
          <w:sz w:val="21"/>
          <w:szCs w:val="21"/>
        </w:rPr>
        <w:t xml:space="preserve">Our reference copy of the credit card workbook, version 2.0.0, declares </w:t>
      </w:r>
      <w:r>
        <w:rPr>
          <w:rFonts w:ascii="Consolas" w:cs="Consolas" w:eastAsia="Consolas" w:hAnsi="Consolas"/>
          <w:color w:val="1E2761"/>
          <w:sz w:val="19"/>
          <w:szCs w:val="19"/>
        </w:rPr>
        <w:t xml:space="preserve">CustomerLimit</w:t>
      </w:r>
      <w:r>
        <w:rPr>
          <w:color w:val="000000"/>
          <w:sz w:val="21"/>
          <w:szCs w:val="21"/>
        </w:rPr>
        <w:t xml:space="preserve"> on </w:t>
      </w:r>
      <w:r>
        <w:rPr>
          <w:rFonts w:ascii="Consolas" w:cs="Consolas" w:eastAsia="Consolas" w:hAnsi="Consolas"/>
          <w:color w:val="1E2761"/>
          <w:sz w:val="19"/>
          <w:szCs w:val="19"/>
        </w:rPr>
        <w:t xml:space="preserve">Available Funds_Retrieve</w:t>
      </w:r>
      <w:r>
        <w:rPr>
          <w:color w:val="000000"/>
          <w:sz w:val="21"/>
          <w:szCs w:val="21"/>
        </w:rPr>
        <w:t xml:space="preserve"> only, and does not carry it on </w:t>
      </w:r>
      <w:r>
        <w:rPr>
          <w:rFonts w:ascii="Consolas" w:cs="Consolas" w:eastAsia="Consolas" w:hAnsi="Consolas"/>
          <w:color w:val="1E2761"/>
          <w:sz w:val="19"/>
          <w:szCs w:val="19"/>
        </w:rPr>
        <w:t xml:space="preserve">Transaction Adjustment_Initiate</w:t>
      </w:r>
      <w:r>
        <w:rPr>
          <w:color w:val="000000"/>
          <w:sz w:val="21"/>
          <w:szCs w:val="21"/>
        </w:rPr>
        <w:t xml:space="preserve"> at all, so we cannot reproduce your screenshot from the workbook we hold. Yours is evidently a later revision.</w:t>
      </w:r>
    </w:p>
    <w:p>
      <w:pPr>
        <w:spacing w:after="120" w:line="276"/>
      </w:pPr>
      <w:r>
        <w:rPr>
          <w:color w:val="000000"/>
          <w:sz w:val="21"/>
          <w:szCs w:val="21"/>
        </w:rPr>
        <w:t xml:space="preserve">Send the workbook you ran, together with the exact command line or the window settings used, and we will identify which of the three cases applies within a day. Should it prove to be none of them, it is a defect, and we will treat it as one rather than as a matter of interpretation.</w:t>
      </w:r>
    </w:p>
    <w:p>
      <w:r>
        <w:br w:type="page"/>
      </w:r>
    </w:p>
    <w:p>
      <w:pPr>
        <w:pStyle w:val="Heading1"/>
        <w:pBdr>
          <w:bottom w:val="single" w:color="C6CBD4" w:sz="8" w:space="6"/>
        </w:pBdr>
        <w:spacing w:after="200" w:before="400"/>
      </w:pPr>
      <w:r>
        <w:rPr>
          <w:b/>
          <w:bCs/>
          <w:color w:val="1E2761"/>
          <w:sz w:val="32"/>
          <w:szCs w:val="32"/>
        </w:rPr>
        <w:t xml:space="preserve">4  The standard error code structure</w:t>
      </w:r>
    </w:p>
    <w:p>
      <w:pPr>
        <w:spacing w:after="120" w:line="276"/>
      </w:pPr>
      <w:r>
        <w:rPr>
          <w:color w:val="000000"/>
          <w:sz w:val="21"/>
          <w:szCs w:val="21"/>
        </w:rPr>
        <w:t xml:space="preserve">Accepted without qualification. We confirmed it: the generated specifications carry only </w:t>
      </w:r>
      <w:r>
        <w:rPr>
          <w:rFonts w:ascii="Consolas" w:cs="Consolas" w:eastAsia="Consolas" w:hAnsi="Consolas"/>
          <w:color w:val="1E2761"/>
          <w:sz w:val="19"/>
          <w:szCs w:val="19"/>
        </w:rPr>
        <w:t xml:space="preserve">200</w:t>
      </w:r>
      <w:r>
        <w:rPr>
          <w:color w:val="000000"/>
          <w:sz w:val="21"/>
          <w:szCs w:val="21"/>
        </w:rPr>
        <w:t xml:space="preserve"> on the operations that return a payload and </w:t>
      </w:r>
      <w:r>
        <w:rPr>
          <w:rFonts w:ascii="Consolas" w:cs="Consolas" w:eastAsia="Consolas" w:hAnsi="Consolas"/>
          <w:color w:val="1E2761"/>
          <w:sz w:val="19"/>
          <w:szCs w:val="19"/>
        </w:rPr>
        <w:t xml:space="preserve">204</w:t>
      </w:r>
      <w:r>
        <w:rPr>
          <w:color w:val="000000"/>
          <w:sz w:val="21"/>
          <w:szCs w:val="21"/>
        </w:rPr>
        <w:t xml:space="preserve"> on the one that does not, and there is no </w:t>
      </w:r>
      <w:r>
        <w:rPr>
          <w:rFonts w:ascii="Consolas" w:cs="Consolas" w:eastAsia="Consolas" w:hAnsi="Consolas"/>
          <w:color w:val="1E2761"/>
          <w:sz w:val="19"/>
          <w:szCs w:val="19"/>
        </w:rPr>
        <w:t xml:space="preserve">components/responses</w:t>
      </w:r>
      <w:r>
        <w:rPr>
          <w:color w:val="000000"/>
          <w:sz w:val="21"/>
          <w:szCs w:val="21"/>
        </w:rPr>
        <w:t xml:space="preserve"> block at all. Nothing about error handling reaches the output today.</w:t>
      </w:r>
    </w:p>
    <w:p>
      <w:pPr>
        <w:spacing w:after="120" w:line="276"/>
      </w:pPr>
      <w:r>
        <w:rPr>
          <w:color w:val="000000"/>
          <w:sz w:val="21"/>
          <w:szCs w:val="21"/>
        </w:rPr>
        <w:t xml:space="preserve">The shape to implement is not a matter of preference either, which makes this quick. The published BIAN specification attaches the same six responses to every operation as shared references, namely </w:t>
      </w:r>
      <w:r>
        <w:rPr>
          <w:rFonts w:ascii="Consolas" w:cs="Consolas" w:eastAsia="Consolas" w:hAnsi="Consolas"/>
          <w:color w:val="1E2761"/>
          <w:sz w:val="19"/>
          <w:szCs w:val="19"/>
        </w:rPr>
        <w:t xml:space="preserve">400</w:t>
      </w:r>
      <w:r>
        <w:rPr>
          <w:color w:val="000000"/>
          <w:sz w:val="21"/>
          <w:szCs w:val="21"/>
        </w:rPr>
        <w:t xml:space="preserve">, </w:t>
      </w:r>
      <w:r>
        <w:rPr>
          <w:rFonts w:ascii="Consolas" w:cs="Consolas" w:eastAsia="Consolas" w:hAnsi="Consolas"/>
          <w:color w:val="1E2761"/>
          <w:sz w:val="19"/>
          <w:szCs w:val="19"/>
        </w:rPr>
        <w:t xml:space="preserve">401</w:t>
      </w:r>
      <w:r>
        <w:rPr>
          <w:color w:val="000000"/>
          <w:sz w:val="21"/>
          <w:szCs w:val="21"/>
        </w:rPr>
        <w:t xml:space="preserve">, </w:t>
      </w:r>
      <w:r>
        <w:rPr>
          <w:rFonts w:ascii="Consolas" w:cs="Consolas" w:eastAsia="Consolas" w:hAnsi="Consolas"/>
          <w:color w:val="1E2761"/>
          <w:sz w:val="19"/>
          <w:szCs w:val="19"/>
        </w:rPr>
        <w:t xml:space="preserve">403</w:t>
      </w:r>
      <w:r>
        <w:rPr>
          <w:color w:val="000000"/>
          <w:sz w:val="21"/>
          <w:szCs w:val="21"/>
        </w:rPr>
        <w:t xml:space="preserve">, </w:t>
      </w:r>
      <w:r>
        <w:rPr>
          <w:rFonts w:ascii="Consolas" w:cs="Consolas" w:eastAsia="Consolas" w:hAnsi="Consolas"/>
          <w:color w:val="1E2761"/>
          <w:sz w:val="19"/>
          <w:szCs w:val="19"/>
        </w:rPr>
        <w:t xml:space="preserve">404</w:t>
      </w:r>
      <w:r>
        <w:rPr>
          <w:color w:val="000000"/>
          <w:sz w:val="21"/>
          <w:szCs w:val="21"/>
        </w:rPr>
        <w:t xml:space="preserve">, </w:t>
      </w:r>
      <w:r>
        <w:rPr>
          <w:rFonts w:ascii="Consolas" w:cs="Consolas" w:eastAsia="Consolas" w:hAnsi="Consolas"/>
          <w:color w:val="1E2761"/>
          <w:sz w:val="19"/>
          <w:szCs w:val="19"/>
        </w:rPr>
        <w:t xml:space="preserve">429</w:t>
      </w:r>
      <w:r>
        <w:rPr>
          <w:color w:val="000000"/>
          <w:sz w:val="21"/>
          <w:szCs w:val="21"/>
        </w:rPr>
        <w:t xml:space="preserve"> and </w:t>
      </w:r>
      <w:r>
        <w:rPr>
          <w:rFonts w:ascii="Consolas" w:cs="Consolas" w:eastAsia="Consolas" w:hAnsi="Consolas"/>
          <w:color w:val="1E2761"/>
          <w:sz w:val="19"/>
          <w:szCs w:val="19"/>
        </w:rPr>
        <w:t xml:space="preserve">500</w:t>
      </w:r>
      <w:r>
        <w:rPr>
          <w:color w:val="000000"/>
          <w:sz w:val="21"/>
          <w:szCs w:val="21"/>
        </w:rPr>
        <w:t xml:space="preserve">, alongside a shared error schema. We propose to emit that set as entries under </w:t>
      </w:r>
      <w:r>
        <w:rPr>
          <w:rFonts w:ascii="Consolas" w:cs="Consolas" w:eastAsia="Consolas" w:hAnsi="Consolas"/>
          <w:color w:val="1E2761"/>
          <w:sz w:val="19"/>
          <w:szCs w:val="19"/>
        </w:rPr>
        <w:t xml:space="preserve">components/responses</w:t>
      </w:r>
      <w:r>
        <w:rPr>
          <w:color w:val="000000"/>
          <w:sz w:val="21"/>
          <w:szCs w:val="21"/>
        </w:rPr>
        <w:t xml:space="preserve">, reference them from every generated operation, and carry a single error schema under </w:t>
      </w:r>
      <w:r>
        <w:rPr>
          <w:rFonts w:ascii="Consolas" w:cs="Consolas" w:eastAsia="Consolas" w:hAnsi="Consolas"/>
          <w:color w:val="1E2761"/>
          <w:sz w:val="19"/>
          <w:szCs w:val="19"/>
        </w:rPr>
        <w:t xml:space="preserve">components/schemas</w:t>
      </w:r>
      <w:r>
        <w:rPr>
          <w:color w:val="000000"/>
          <w:sz w:val="21"/>
          <w:szCs w:val="21"/>
        </w:rPr>
        <w:t xml:space="preserve">, so the standard structure appears once and is reused rather than repeated on each path.</w:t>
      </w:r>
    </w:p>
    <w:p>
      <w:pPr>
        <w:spacing w:after="120" w:line="276"/>
      </w:pPr>
      <w:r>
        <w:rPr>
          <w:color w:val="000000"/>
          <w:sz w:val="21"/>
          <w:szCs w:val="21"/>
        </w:rPr>
        <w:t xml:space="preserve">One question decides whether we build yours or theirs. If your house error schema differs from the BIAN one, in its field names, its use of a correlation identifier, or its treatment of nested error detail, send the definition and we will emit that instead. If it does not, the BIAN set stands and needs no further input.</w:t>
      </w:r>
    </w:p>
    <w:p>
      <w:pPr>
        <w:pStyle w:val="Heading1"/>
        <w:pBdr>
          <w:bottom w:val="single" w:color="C6CBD4" w:sz="8" w:space="6"/>
        </w:pBdr>
        <w:spacing w:after="200" w:before="400"/>
      </w:pPr>
      <w:r>
        <w:rPr>
          <w:b/>
          <w:bCs/>
          <w:color w:val="1E2761"/>
          <w:sz w:val="32"/>
          <w:szCs w:val="32"/>
        </w:rPr>
        <w:t xml:space="preserve">5  The API lifecycle design status</w:t>
      </w:r>
    </w:p>
    <w:p>
      <w:pPr>
        <w:spacing w:after="120" w:line="276"/>
      </w:pPr>
      <w:r>
        <w:rPr>
          <w:color w:val="000000"/>
          <w:sz w:val="21"/>
          <w:szCs w:val="21"/>
        </w:rPr>
        <w:t xml:space="preserve">Accepted. This is absent, and it is the smallest item on the list: a value read from the Data Model Sheet banner and stamped into the generated specification.</w:t>
      </w:r>
    </w:p>
    <w:p>
      <w:pPr>
        <w:spacing w:after="120" w:line="276"/>
      </w:pPr>
      <w:r>
        <w:rPr>
          <w:color w:val="000000"/>
          <w:sz w:val="21"/>
          <w:szCs w:val="21"/>
        </w:rPr>
        <w:t xml:space="preserve">Three details settle the implementation, and guessing at any of them would produce something you would have to correct. First, the permitted values and their exact spelling, since the strict checking level can then reject anything outside that vocabulary and the status will not drift across service domains. Second, where the value belongs in the specification, whether as an extension in the </w:t>
      </w:r>
      <w:r>
        <w:rPr>
          <w:rFonts w:ascii="Consolas" w:cs="Consolas" w:eastAsia="Consolas" w:hAnsi="Consolas"/>
          <w:color w:val="1E2761"/>
          <w:sz w:val="19"/>
          <w:szCs w:val="19"/>
        </w:rPr>
        <w:t xml:space="preserve">info</w:t>
      </w:r>
      <w:r>
        <w:rPr>
          <w:color w:val="000000"/>
          <w:sz w:val="21"/>
          <w:szCs w:val="21"/>
        </w:rPr>
        <w:t xml:space="preserve"> block, as an extension on each operation, or as a tag, since governance tooling tends to read exactly one of those. Third, whether the status is a property of the specification as a whole or of each operation individually, which decides whether it is one banner cell or one per sheet.</w:t>
      </w:r>
    </w:p>
    <w:p>
      <w:pPr>
        <w:spacing w:after="120" w:line="276"/>
      </w:pPr>
      <w:r>
        <w:rPr>
          <w:color w:val="000000"/>
          <w:sz w:val="21"/>
          <w:szCs w:val="21"/>
        </w:rPr>
        <w:t xml:space="preserve">Send those three and the work is a single afternoon, including the template update and the checking rule.</w:t>
      </w:r>
    </w:p>
    <w:p>
      <w:pPr>
        <w:pStyle w:val="Heading1"/>
        <w:pBdr>
          <w:bottom w:val="single" w:color="C6CBD4" w:sz="8" w:space="6"/>
        </w:pBdr>
        <w:spacing w:after="200" w:before="400"/>
      </w:pPr>
      <w:r>
        <w:rPr>
          <w:b/>
          <w:bCs/>
          <w:color w:val="1E2761"/>
          <w:sz w:val="32"/>
          <w:szCs w:val="32"/>
        </w:rPr>
        <w:t xml:space="preserve">6  Impact on previously delivered service domains</w:t>
      </w:r>
    </w:p>
    <w:p>
      <w:pPr>
        <w:spacing w:after="120" w:line="276"/>
      </w:pPr>
      <w:r>
        <w:rPr>
          <w:color w:val="000000"/>
          <w:sz w:val="21"/>
          <w:szCs w:val="21"/>
        </w:rPr>
        <w:t xml:space="preserve">The concern is correct as stated, and it is the most consequential item in the review. If the Level format Data Model Sheet were the only way into the tool, then applying it to delivered service domains would mean re-cutting every existing data model, and on your timelines that would not be worth doing.</w:t>
      </w:r>
    </w:p>
    <w:p>
      <w:pPr>
        <w:spacing w:after="120" w:line="276"/>
      </w:pPr>
      <w:r>
        <w:rPr>
          <w:color w:val="000000"/>
          <w:sz w:val="21"/>
          <w:szCs w:val="21"/>
        </w:rPr>
        <w:t xml:space="preserve">It is not the only way in. The delivered package contains a second engine, in </w:t>
      </w:r>
      <w:r>
        <w:rPr>
          <w:rFonts w:ascii="Consolas" w:cs="Consolas" w:eastAsia="Consolas" w:hAnsi="Consolas"/>
          <w:color w:val="1E2761"/>
          <w:sz w:val="19"/>
          <w:szCs w:val="19"/>
        </w:rPr>
        <w:t xml:space="preserve">polymorphize_core.py</w:t>
      </w:r>
      <w:r>
        <w:rPr>
          <w:color w:val="000000"/>
          <w:sz w:val="21"/>
          <w:szCs w:val="21"/>
        </w:rPr>
        <w:t xml:space="preserve">, built for precisely this situation. It takes an existing specification together with a field mapping document and removes the elements the mapping shows as unsupported, editing the specification you already have rather than composing a new one. Its column recognition already covers the vocabulary a field mapping document uses, including SOR API Field Name, Reusable API Field Name, Parameter Type, Usage, Data Type, Description and Remarks, and it understands the section banners such as Request Body and Response Header that those documents carry. That path is regression tested and its tests pass in the delivered release.</w:t>
      </w:r>
    </w:p>
    <w:p>
      <w:pPr>
        <w:spacing w:after="120" w:line="276"/>
      </w:pPr>
      <w:r>
        <w:rPr>
          <w:color w:val="000000"/>
          <w:sz w:val="21"/>
          <w:szCs w:val="21"/>
        </w:rPr>
        <w:t xml:space="preserve">For a previously delivered service domain, then, the inputs are the swagger you have already published and the field mapping document you already maintain. No data model needs re-cutting, and the artefact your current swagger creation tool consumes is the artefact this engine reads.</w:t>
      </w:r>
    </w:p>
    <w:p>
      <w:pPr>
        <w:spacing w:after="120" w:line="276"/>
      </w:pPr>
      <w:r>
        <w:rPr>
          <w:color w:val="000000"/>
          <w:sz w:val="21"/>
          <w:szCs w:val="21"/>
        </w:rPr>
        <w:t xml:space="preserve">Two honest limits on that. Trimming an existing specification subtracts from what is there and therefore cannot give you the cross-operation reuse that the Level format enables, since the reuse comes from comparing operations that were designed together. And an unmatched mapping row defaults to keep and flag rather than to delete, deliberately, so that a join failure between the mapping and the specification cannot quietly empty a payload; you will see flags to work through rather than a silently smaller interface.</w:t>
      </w:r>
    </w:p>
    <w:p>
      <w:pPr>
        <w:spacing w:after="120" w:line="276"/>
      </w:pPr>
      <w:r>
        <w:rPr>
          <w:color w:val="000000"/>
          <w:sz w:val="21"/>
          <w:szCs w:val="21"/>
        </w:rPr>
        <w:t xml:space="preserve">Where a delivered domain is being revisited anyway, converting its field mapping document into the Level format is mechanical, and we would rather write that converter once than ask analysts to retype work they have already done. If you can send two or three representative field mapping documents from delivered domains, we will confirm the conversion is as mechanical as it appears and quote it properly.</w:t>
      </w:r>
    </w:p>
    <w:p>
      <w:r>
        <w:br w:type="page"/>
      </w:r>
    </w:p>
    <w:p>
      <w:pPr>
        <w:pStyle w:val="Heading1"/>
        <w:pBdr>
          <w:bottom w:val="single" w:color="C6CBD4" w:sz="8" w:space="6"/>
        </w:pBdr>
        <w:spacing w:after="200" w:before="400"/>
      </w:pPr>
      <w:r>
        <w:rPr>
          <w:b/>
          <w:bCs/>
          <w:color w:val="1E2761"/>
          <w:sz w:val="32"/>
          <w:szCs w:val="32"/>
        </w:rPr>
        <w:t xml:space="preserve">Proposed sequence</w:t>
      </w:r>
    </w:p>
    <w:p>
      <w:pPr>
        <w:spacing w:after="120" w:line="276"/>
      </w:pPr>
      <w:r>
        <w:rPr>
          <w:color w:val="000000"/>
          <w:sz w:val="21"/>
          <w:szCs w:val="21"/>
        </w:rPr>
        <w:t xml:space="preserve">Observations four and five are small, self-contained and stand between you and sign-off, so we propose closing those first. The mapping export in observation two follows, as soon as we have an example of the target format, since it removes a manual step that is costing you time on every service domain. Observation three we propose to treat as an open incident rather than a discussion until your workbook arrives, because if it is a defect we would rather find that out this week than argue about it.</w:t>
      </w:r>
    </w:p>
    <w:p>
      <w:pPr>
        <w:spacing w:after="120" w:line="276"/>
      </w:pPr>
      <w:r>
        <w:rPr>
          <w:color w:val="000000"/>
          <w:sz w:val="21"/>
          <w:szCs w:val="21"/>
        </w:rPr>
        <w:t xml:space="preserve">Observation one is ours to fix in the packaging and the walkthrough, and needs nothing from you. Observation six is best handled as a working session over one delivered domain, where the trim path can be run end to end against a specification and a mapping document you already know well; that will settle the retrofit question far faster than a written exchange.</w:t>
      </w:r>
    </w:p>
    <w:p>
      <w:pPr>
        <w:pStyle w:val="Heading2"/>
        <w:keepNext/>
        <w:spacing w:after="120" w:before="300"/>
      </w:pPr>
      <w:r>
        <w:rPr>
          <w:b/>
          <w:bCs/>
          <w:color w:val="1E2761"/>
          <w:sz w:val="25"/>
          <w:szCs w:val="25"/>
        </w:rPr>
        <w:t xml:space="preserve">What we need from you</w:t>
      </w:r>
    </w:p>
    <w:p>
      <w:pPr>
        <w:spacing w:after="120" w:line="276"/>
      </w:pPr>
      <w:r>
        <w:rPr>
          <w:color w:val="000000"/>
          <w:sz w:val="21"/>
          <w:szCs w:val="21"/>
        </w:rPr>
        <w:t xml:space="preserve">Three things, in the order they unblock work. The workbook and the run settings behind the </w:t>
      </w:r>
      <w:r>
        <w:rPr>
          <w:rFonts w:ascii="Consolas" w:cs="Consolas" w:eastAsia="Consolas" w:hAnsi="Consolas"/>
          <w:color w:val="1E2761"/>
          <w:sz w:val="19"/>
          <w:szCs w:val="19"/>
        </w:rPr>
        <w:t xml:space="preserve">CustomerLimit</w:t>
      </w:r>
      <w:r>
        <w:rPr>
          <w:color w:val="000000"/>
          <w:sz w:val="21"/>
          <w:szCs w:val="21"/>
        </w:rPr>
        <w:t xml:space="preserve"> screenshot, so observation three can be diagnosed. One example of the field mapping document in the exact shape the downstream swagger creation tool expects, so the export in observation two matches it rather than approximates it. And the lifecycle status vocabulary and its placement, so observation five can be closed alongside observation four.</w:t>
      </w:r>
    </w:p>
    <w:p>
      <w:pPr>
        <w:spacing w:after="120" w:line="276"/>
      </w:pPr>
      <w:r>
        <w:rPr>
          <w:color w:val="000000"/>
          <w:sz w:val="21"/>
          <w:szCs w:val="21"/>
        </w:rPr>
        <w:t xml:space="preserve">We would welcome an hour with whoever ran the tool during the review. Most of what is above turns on which output mode was used and which files reached the reviewers, and that is a conversation rather than a document.</w:t>
      </w:r>
    </w:p>
    <w:p>
      <w:pPr>
        <w:pBdr>
          <w:left w:val="single" w:color="8A6D1F" w:sz="18" w:space="8"/>
        </w:pBdr>
        <w:shd w:fill="EEF1F6" w:val="clear"/>
        <w:spacing w:after="180" w:before="120" w:line="276"/>
        <w:ind w:left="120" w:right="120"/>
      </w:pPr>
      <w:r>
        <w:rPr>
          <w:b/>
          <w:bCs/>
          <w:color w:val="1E2761"/>
          <w:sz w:val="20"/>
          <w:szCs w:val="20"/>
        </w:rPr>
        <w:t xml:space="preserve">A note on the successor release</w:t>
      </w:r>
      <w:r>
        <w:rPr>
          <w:sz w:val="20"/>
          <w:szCs w:val="20"/>
        </w:rPr>
        <w:t xml:space="preserve">  </w:t>
      </w:r>
      <w:r>
        <w:rPr>
          <w:color w:val="000000"/>
          <w:sz w:val="20"/>
          <w:szCs w:val="20"/>
        </w:rPr>
        <w:t xml:space="preserve">Everything above concerns release 6.3, the release you reviewed. Its successor changes how shared groups that diverge between operations are published, which materially changes the answer to observation three, and it removes the schema composition keywords in favour of the flat, reference-based structure that BIAN itself publishes. That is a separate conversation and we have deliberately kept it out of this response rather than complicate six specific questions with a seventh answer.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6"/>
        <w:szCs w:val="16"/>
      </w:rPr>
      <w:t xml:space="preserve">CC&amp;C Solutions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BD4" w:sz="4" w:space="4"/>
      </w:pBdr>
      <w:spacing w:after="60"/>
      <w:jc w:val="right"/>
    </w:pPr>
    <w:r>
      <w:rPr>
        <w:color w:val="5A6472"/>
        <w:sz w:val="16"/>
        <w:szCs w:val="16"/>
      </w:rPr>
      <w:t xml:space="preserve">Response to the SOR Polymorphizer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SOR Polymorphizer review</dc:title>
  <dc:creator>CC&amp;C Solutions</dc:creator>
  <dc:description>Response to the SOR Polymorphizer review</dc:description>
  <cp:lastModifiedBy>Un-named</cp:lastModifiedBy>
  <cp:revision>1</cp:revision>
  <dcterms:created xsi:type="dcterms:W3CDTF">2026-09-09T01:06:49.744Z</dcterms:created>
  <dcterms:modified xsi:type="dcterms:W3CDTF">2026-09-09T01:06:49.757Z</dcterms:modified>
</cp:coreProperties>
</file>

<file path=docProps/custom.xml><?xml version="1.0" encoding="utf-8"?>
<Properties xmlns="http://schemas.openxmlformats.org/officeDocument/2006/custom-properties" xmlns:vt="http://schemas.openxmlformats.org/officeDocument/2006/docPropsVTypes"/>
</file>