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8A6D1F"/>
          <w:spacing w:val="60"/>
          <w:sz w:val="20"/>
          <w:szCs w:val="20"/>
        </w:rPr>
        <w:t xml:space="preserve">SOR POLYMORPHIZER</w:t>
      </w:r>
    </w:p>
    <w:p>
      <w:pPr>
        <w:spacing w:after="0" w:before="160"/>
      </w:pPr>
      <w:r>
        <w:rPr>
          <w:b/>
          <w:bCs/>
          <w:color w:val="1E2761"/>
          <w:sz w:val="56"/>
          <w:szCs w:val="56"/>
        </w:rPr>
        <w:t xml:space="preserve">User Manual</w:t>
      </w:r>
    </w:p>
    <w:p>
      <w:pPr>
        <w:spacing w:after="300" w:before="120"/>
      </w:pPr>
      <w:r>
        <w:rPr>
          <w:color w:val="5A6472"/>
          <w:sz w:val="24"/>
          <w:szCs w:val="24"/>
        </w:rPr>
        <w:t xml:space="preserve">Building a business API interface that publishes only what the System of Record can supply</w:t>
      </w:r>
    </w:p>
    <w:p>
      <w:pPr>
        <w:pBdr>
          <w:top w:val="single" w:color="8A6D1F" w:sz="12" w:space="4"/>
        </w:pBdr>
        <w:spacing w:after="260" w:before="0"/>
      </w:pPr>
    </w:p>
    <w:p>
      <w:pPr>
        <w:spacing w:after="60"/>
      </w:pPr>
      <w:r>
        <w:rPr>
          <w:rFonts w:ascii="Consolas" w:cs="Consolas" w:eastAsia="Consolas" w:hAnsi="Consolas"/>
          <w:color w:val="5A6472"/>
          <w:sz w:val="19"/>
          <w:szCs w:val="19"/>
        </w:rPr>
        <w:t xml:space="preserve">Release           </w:t>
      </w:r>
      <w:r>
        <w:rPr>
          <w:color w:val="000000"/>
          <w:sz w:val="19"/>
          <w:szCs w:val="19"/>
        </w:rPr>
        <w:t xml:space="preserve">6.3</w:t>
      </w:r>
    </w:p>
    <w:p>
      <w:pPr>
        <w:spacing w:after="60"/>
      </w:pPr>
      <w:r>
        <w:rPr>
          <w:rFonts w:ascii="Consolas" w:cs="Consolas" w:eastAsia="Consolas" w:hAnsi="Consolas"/>
          <w:color w:val="5A6472"/>
          <w:sz w:val="19"/>
          <w:szCs w:val="19"/>
        </w:rPr>
        <w:t xml:space="preserve">Audience          </w:t>
      </w:r>
      <w:r>
        <w:rPr>
          <w:color w:val="000000"/>
          <w:sz w:val="19"/>
          <w:szCs w:val="19"/>
        </w:rPr>
        <w:t xml:space="preserve">Business analysts, integration analysts and API designers</w:t>
      </w:r>
    </w:p>
    <w:p>
      <w:pPr>
        <w:spacing w:after="60"/>
      </w:pPr>
      <w:r>
        <w:rPr>
          <w:rFonts w:ascii="Consolas" w:cs="Consolas" w:eastAsia="Consolas" w:hAnsi="Consolas"/>
          <w:color w:val="5A6472"/>
          <w:sz w:val="19"/>
          <w:szCs w:val="19"/>
        </w:rPr>
        <w:t xml:space="preserve">Supersedes        </w:t>
      </w:r>
      <w:r>
        <w:rPr>
          <w:color w:val="000000"/>
          <w:sz w:val="19"/>
          <w:szCs w:val="19"/>
        </w:rPr>
        <w:t xml:space="preserve">All editions written for release 5.x</w:t>
      </w:r>
    </w:p>
    <w:p>
      <w:pPr>
        <w:spacing w:after="60"/>
      </w:pPr>
      <w:r>
        <w:rPr>
          <w:rFonts w:ascii="Consolas" w:cs="Consolas" w:eastAsia="Consolas" w:hAnsi="Consolas"/>
          <w:color w:val="5A6472"/>
          <w:sz w:val="19"/>
          <w:szCs w:val="19"/>
        </w:rPr>
        <w:t xml:space="preserve">Companion         </w:t>
      </w:r>
      <w:r>
        <w:rPr>
          <w:color w:val="000000"/>
          <w:sz w:val="19"/>
          <w:szCs w:val="19"/>
        </w:rPr>
        <w:t xml:space="preserve">Technical Guide (for maintainers of the application)</w:t>
      </w:r>
    </w:p>
    <w:p>
      <w:r>
        <w:br w:type="page"/>
      </w:r>
    </w:p>
    <w:p>
      <w:pPr>
        <w:pStyle w:val="Heading1"/>
        <w:pBdr>
          <w:bottom w:val="single" w:color="C6CBD4" w:sz="8" w:space="6"/>
        </w:pBdr>
        <w:spacing w:after="200" w:before="400"/>
      </w:pPr>
      <w:r>
        <w:rPr>
          <w:b/>
          <w:bCs/>
          <w:color w:val="1E2761"/>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6CBD4" w:sz="8" w:space="6"/>
        </w:pBdr>
        <w:spacing w:after="200" w:before="400"/>
      </w:pPr>
      <w:r>
        <w:rPr>
          <w:b/>
          <w:bCs/>
          <w:color w:val="1E2761"/>
          <w:sz w:val="32"/>
          <w:szCs w:val="32"/>
        </w:rPr>
        <w:t xml:space="preserve">1  What the tool does</w:t>
      </w:r>
    </w:p>
    <w:p>
      <w:pPr>
        <w:pStyle w:val="Heading2"/>
        <w:keepNext/>
        <w:spacing w:after="120" w:before="300"/>
      </w:pPr>
      <w:r>
        <w:rPr>
          <w:b/>
          <w:bCs/>
          <w:color w:val="1E2761"/>
          <w:sz w:val="25"/>
          <w:szCs w:val="25"/>
        </w:rPr>
        <w:t xml:space="preserve">1.1  The problem it removes</w:t>
      </w:r>
    </w:p>
    <w:p>
      <w:pPr>
        <w:spacing w:after="120" w:line="276"/>
      </w:pPr>
      <w:r>
        <w:rPr>
          <w:color w:val="000000"/>
          <w:sz w:val="21"/>
          <w:szCs w:val="21"/>
        </w:rPr>
        <w:t xml:space="preserve">A business API is usually designed from a canonical model and then wired to whatever the System of Record happens to offer. The design survives; the wiring does not always. What reaches the consumer is a schema declaring sixty attributes where the System of Record behind that particular call supplies six. The other fifty four are not optional attributes. They are attributes with nothing behind them.</w:t>
      </w:r>
    </w:p>
    <w:p>
      <w:pPr>
        <w:spacing w:after="120" w:line="276"/>
      </w:pPr>
      <w:r>
        <w:rPr>
          <w:color w:val="000000"/>
          <w:sz w:val="21"/>
          <w:szCs w:val="21"/>
        </w:rPr>
        <w:t xml:space="preserve">The cost of that gap is paid three times. The consumer populates fields that are discarded in transit. The test team writes cases for behaviour that does not exist. The support team investigates a filter that was never wired. None of this is visible in the specification, because a specification cannot say that an attribute is present but inert.</w:t>
      </w:r>
    </w:p>
    <w:p>
      <w:pPr>
        <w:spacing w:after="120" w:line="276"/>
      </w:pPr>
      <w:r>
        <w:rPr>
          <w:color w:val="000000"/>
          <w:sz w:val="21"/>
          <w:szCs w:val="21"/>
        </w:rPr>
        <w:t xml:space="preserve">The SOR Polymorphizer closes the gap by construction. It reads the mapping workbook that the analyst already maintains, establishes for every attribute whether a System of Record field stands behind it, and publishes only those that do.</w:t>
      </w:r>
    </w:p>
    <w:p>
      <w:pPr>
        <w:pStyle w:val="Heading2"/>
        <w:keepNext/>
        <w:spacing w:after="120" w:before="300"/>
      </w:pPr>
      <w:r>
        <w:rPr>
          <w:b/>
          <w:bCs/>
          <w:color w:val="1E2761"/>
          <w:sz w:val="25"/>
          <w:szCs w:val="25"/>
        </w:rPr>
        <w:t xml:space="preserve">1.2  What it produces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100"/>
        <w:gridCol w:w="6920"/>
      </w:tblGrid>
      <w:tr>
        <w:trPr>
          <w:tblHeader/>
        </w:trPr>
        <w:tc>
          <w:tcPr>
            <w:tcW w:type="dxa" w:w="2100"/>
            <w:shd w:fill="1E2761" w:val="clear"/>
            <w:tcMar>
              <w:top w:type="dxa" w:w="70"/>
              <w:left w:type="dxa" w:w="110"/>
              <w:bottom w:type="dxa" w:w="70"/>
              <w:right w:type="dxa" w:w="110"/>
            </w:tcMar>
            <w:vAlign w:val="top"/>
          </w:tcPr>
          <w:p>
            <w:pPr>
              <w:spacing w:after="0" w:line="250"/>
            </w:pPr>
            <w:r>
              <w:rPr>
                <w:b/>
                <w:bCs/>
                <w:color w:val="FFFFFF"/>
                <w:sz w:val="19"/>
                <w:szCs w:val="19"/>
              </w:rPr>
              <w:t xml:space="preserve">Output</w:t>
            </w:r>
          </w:p>
        </w:tc>
        <w:tc>
          <w:tcPr>
            <w:tcW w:type="dxa" w:w="6920"/>
            <w:shd w:fill="1E2761" w:val="clear"/>
            <w:tcMar>
              <w:top w:type="dxa" w:w="70"/>
              <w:left w:type="dxa" w:w="110"/>
              <w:bottom w:type="dxa" w:w="70"/>
              <w:right w:type="dxa" w:w="110"/>
            </w:tcMar>
            <w:vAlign w:val="top"/>
          </w:tcPr>
          <w:p>
            <w:pPr>
              <w:spacing w:after="0" w:line="250"/>
            </w:pPr>
            <w:r>
              <w:rPr>
                <w:b/>
                <w:bCs/>
                <w:color w:val="FFFFFF"/>
                <w:sz w:val="19"/>
                <w:szCs w:val="19"/>
              </w:rPr>
              <w:t xml:space="preserve">What it is</w:t>
            </w:r>
          </w:p>
        </w:tc>
      </w:tr>
      <w:tr>
        <w:trPr>
          <w:tblHeader w:val="false"/>
        </w:trPr>
        <w:tc>
          <w:tcPr>
            <w:tcW w:type="dxa" w:w="21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openapi.yaml</w:t>
            </w:r>
          </w:p>
        </w:tc>
        <w:tc>
          <w:tcPr>
            <w:tcW w:type="dxa" w:w="6920"/>
            <w:tcMar>
              <w:top w:type="dxa" w:w="70"/>
              <w:left w:type="dxa" w:w="110"/>
              <w:bottom w:type="dxa" w:w="70"/>
              <w:right w:type="dxa" w:w="110"/>
            </w:tcMar>
            <w:vAlign w:val="top"/>
          </w:tcPr>
          <w:p>
            <w:pPr>
              <w:spacing w:after="0" w:line="250"/>
            </w:pPr>
            <w:r>
              <w:rPr>
                <w:color w:val="000000"/>
                <w:sz w:val="19"/>
                <w:szCs w:val="19"/>
              </w:rPr>
              <w:t xml:space="preserve">One OpenAPI 3.0.3 specification for the whole workbook. Every operation sheet becomes one path and method; shared groups become named components reused across operations.</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&lt;service-domain&gt;.html</w:t>
            </w:r>
          </w:p>
        </w:tc>
        <w:tc>
          <w:tcPr>
            <w:tcW w:type="dxa" w:w="6920"/>
            <w:shd w:fill="F7F8FA" w:val="clear"/>
            <w:tcMar>
              <w:top w:type="dxa" w:w="70"/>
              <w:left w:type="dxa" w:w="110"/>
              <w:bottom w:type="dxa" w:w="70"/>
              <w:right w:type="dxa" w:w="110"/>
            </w:tcMar>
            <w:vAlign w:val="top"/>
          </w:tcPr>
          <w:p>
            <w:pPr>
              <w:spacing w:after="0" w:line="250"/>
            </w:pPr>
            <w:r>
              <w:rPr>
                <w:color w:val="000000"/>
                <w:sz w:val="19"/>
                <w:szCs w:val="19"/>
              </w:rPr>
              <w:t xml:space="preserve">The showcase report. For every class of every integration API it lists every element the workbook declared and either that it is published or why it is not. This is the validation instrument.</w:t>
            </w:r>
          </w:p>
        </w:tc>
      </w:tr>
      <w:tr>
        <w:trPr>
          <w:tblHeader w:val="false"/>
        </w:trPr>
        <w:tc>
          <w:tcPr>
            <w:tcW w:type="dxa" w:w="21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generation_report.md</w:t>
            </w:r>
          </w:p>
        </w:tc>
        <w:tc>
          <w:tcPr>
            <w:tcW w:type="dxa" w:w="6920"/>
            <w:tcMar>
              <w:top w:type="dxa" w:w="70"/>
              <w:left w:type="dxa" w:w="110"/>
              <w:bottom w:type="dxa" w:w="70"/>
              <w:right w:type="dxa" w:w="110"/>
            </w:tcMar>
            <w:vAlign w:val="top"/>
          </w:tcPr>
          <w:p>
            <w:pPr>
              <w:spacing w:after="0" w:line="250"/>
            </w:pPr>
            <w:r>
              <w:rPr>
                <w:color w:val="000000"/>
                <w:sz w:val="19"/>
                <w:szCs w:val="19"/>
              </w:rPr>
              <w:t xml:space="preserve">The run itself: what generated, what failed, which pattern each sheet used, and the structure of the merged specification.</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&lt;sheet&gt;.FAILED.md</w:t>
            </w:r>
          </w:p>
        </w:tc>
        <w:tc>
          <w:tcPr>
            <w:tcW w:type="dxa" w:w="6920"/>
            <w:shd w:fill="F7F8FA" w:val="clear"/>
            <w:tcMar>
              <w:top w:type="dxa" w:w="70"/>
              <w:left w:type="dxa" w:w="110"/>
              <w:bottom w:type="dxa" w:w="70"/>
              <w:right w:type="dxa" w:w="110"/>
            </w:tcMar>
            <w:vAlign w:val="top"/>
          </w:tcPr>
          <w:p>
            <w:pPr>
              <w:spacing w:after="0" w:line="250"/>
            </w:pPr>
            <w:r>
              <w:rPr>
                <w:color w:val="000000"/>
                <w:sz w:val="19"/>
                <w:szCs w:val="19"/>
              </w:rPr>
              <w:t xml:space="preserve">One file for each sheet that could not be generated, naming the cell and the correction.</w:t>
            </w:r>
          </w:p>
        </w:tc>
      </w:tr>
    </w:tbl>
    <w:p>
      <w:pPr>
        <w:spacing w:after="120" w:line="276"/>
      </w:pPr>
      <w:r>
        <w:rPr>
          <w:color w:val="000000"/>
          <w:sz w:val="21"/>
          <w:szCs w:val="21"/>
        </w:rPr>
        <w:t xml:space="preserve">The specification is the deliverable. The showcase report is the evidence, and it is what makes the result reviewable by somebody who will never open the YAML.</w:t>
      </w:r>
    </w:p>
    <w:p>
      <w:pPr>
        <w:pStyle w:val="Heading2"/>
        <w:keepNext/>
        <w:spacing w:after="120" w:before="300"/>
      </w:pPr>
      <w:r>
        <w:rPr>
          <w:b/>
          <w:bCs/>
          <w:color w:val="1E2761"/>
          <w:sz w:val="25"/>
          <w:szCs w:val="25"/>
        </w:rPr>
        <w:t xml:space="preserve">1.3  What it will not do</w:t>
      </w:r>
    </w:p>
    <w:p>
      <w:pPr>
        <w:pStyle w:val="ListParagraph"/>
        <w:numPr>
          <w:ilvl w:val="0"/>
          <w:numId w:val="2"/>
        </w:numPr>
        <w:spacing w:after="70" w:line="276"/>
      </w:pPr>
      <w:r>
        <w:rPr>
          <w:color w:val="000000"/>
          <w:sz w:val="21"/>
          <w:szCs w:val="21"/>
        </w:rPr>
        <w:t xml:space="preserve">It will not add anything. Every element in the output was declared in the workbook. The tool only ever subtracts.</w:t>
      </w:r>
    </w:p>
    <w:p>
      <w:pPr>
        <w:pStyle w:val="ListParagraph"/>
        <w:numPr>
          <w:ilvl w:val="0"/>
          <w:numId w:val="2"/>
        </w:numPr>
        <w:spacing w:after="70" w:line="276"/>
      </w:pPr>
      <w:r>
        <w:rPr>
          <w:color w:val="000000"/>
          <w:sz w:val="21"/>
          <w:szCs w:val="21"/>
        </w:rPr>
        <w:t xml:space="preserve">It will not rename anything. Where two sheets spell the same concept differently the tool reports the difference and publishes both spellings, because renaming would change a published field name without anybody seeing it happen.</w:t>
      </w:r>
    </w:p>
    <w:p>
      <w:pPr>
        <w:pStyle w:val="ListParagraph"/>
        <w:numPr>
          <w:ilvl w:val="0"/>
          <w:numId w:val="2"/>
        </w:numPr>
        <w:spacing w:after="70" w:line="276"/>
      </w:pPr>
      <w:r>
        <w:rPr>
          <w:color w:val="000000"/>
          <w:sz w:val="21"/>
          <w:szCs w:val="21"/>
        </w:rPr>
        <w:t xml:space="preserve">It will not reshape the interface around the System of Record. The System of Record decides what may be published. It does not decide what things are called, how they are nested, or which operations exist.</w:t>
      </w:r>
    </w:p>
    <w:p>
      <w:pPr>
        <w:pStyle w:val="ListParagraph"/>
        <w:numPr>
          <w:ilvl w:val="0"/>
          <w:numId w:val="2"/>
        </w:numPr>
        <w:spacing w:after="70" w:line="276"/>
      </w:pPr>
      <w:r>
        <w:rPr>
          <w:color w:val="000000"/>
          <w:sz w:val="21"/>
          <w:szCs w:val="21"/>
        </w:rPr>
        <w:t xml:space="preserve">It will not guess. Where the workbook is ambiguous the tool reports the ambiguity and, if the ambiguity would change the interface, refuses to generate that operation.</w:t>
      </w:r>
    </w:p>
    <w:p>
      <w:r>
        <w:br w:type="page"/>
      </w:r>
    </w:p>
    <w:p>
      <w:pPr>
        <w:pStyle w:val="Heading1"/>
        <w:pBdr>
          <w:bottom w:val="single" w:color="C6CBD4" w:sz="8" w:space="6"/>
        </w:pBdr>
        <w:spacing w:after="200" w:before="400"/>
      </w:pPr>
      <w:r>
        <w:rPr>
          <w:b/>
          <w:bCs/>
          <w:color w:val="1E2761"/>
          <w:sz w:val="32"/>
          <w:szCs w:val="32"/>
        </w:rPr>
        <w:t xml:space="preserve">2  Getting started</w:t>
      </w:r>
    </w:p>
    <w:p>
      <w:pPr>
        <w:pStyle w:val="Heading2"/>
        <w:keepNext/>
        <w:spacing w:after="120" w:before="300"/>
      </w:pPr>
      <w:r>
        <w:rPr>
          <w:b/>
          <w:bCs/>
          <w:color w:val="1E2761"/>
          <w:sz w:val="25"/>
          <w:szCs w:val="25"/>
        </w:rPr>
        <w:t xml:space="preserve">2.1  What you need</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400"/>
        <w:gridCol w:w="1500"/>
        <w:gridCol w:w="5120"/>
      </w:tblGrid>
      <w:tr>
        <w:trPr>
          <w:tblHeader/>
        </w:trPr>
        <w:tc>
          <w:tcPr>
            <w:tcW w:type="dxa" w:w="2400"/>
            <w:shd w:fill="1E2761" w:val="clear"/>
            <w:tcMar>
              <w:top w:type="dxa" w:w="70"/>
              <w:left w:type="dxa" w:w="110"/>
              <w:bottom w:type="dxa" w:w="70"/>
              <w:right w:type="dxa" w:w="110"/>
            </w:tcMar>
            <w:vAlign w:val="top"/>
          </w:tcPr>
          <w:p>
            <w:pPr>
              <w:spacing w:after="0" w:line="250"/>
            </w:pPr>
            <w:r>
              <w:rPr>
                <w:b/>
                <w:bCs/>
                <w:color w:val="FFFFFF"/>
                <w:sz w:val="19"/>
                <w:szCs w:val="19"/>
              </w:rPr>
              <w:t xml:space="preserve">Input</w:t>
            </w:r>
          </w:p>
        </w:tc>
        <w:tc>
          <w:tcPr>
            <w:tcW w:type="dxa" w:w="1500"/>
            <w:shd w:fill="1E2761" w:val="clear"/>
            <w:tcMar>
              <w:top w:type="dxa" w:w="70"/>
              <w:left w:type="dxa" w:w="110"/>
              <w:bottom w:type="dxa" w:w="70"/>
              <w:right w:type="dxa" w:w="110"/>
            </w:tcMar>
            <w:vAlign w:val="top"/>
          </w:tcPr>
          <w:p>
            <w:pPr>
              <w:spacing w:after="0" w:line="250"/>
            </w:pPr>
            <w:r>
              <w:rPr>
                <w:b/>
                <w:bCs/>
                <w:color w:val="FFFFFF"/>
                <w:sz w:val="19"/>
                <w:szCs w:val="19"/>
              </w:rPr>
              <w:t xml:space="preserve">Required</w:t>
            </w:r>
          </w:p>
        </w:tc>
        <w:tc>
          <w:tcPr>
            <w:tcW w:type="dxa" w:w="5120"/>
            <w:shd w:fill="1E2761" w:val="clear"/>
            <w:tcMar>
              <w:top w:type="dxa" w:w="70"/>
              <w:left w:type="dxa" w:w="110"/>
              <w:bottom w:type="dxa" w:w="70"/>
              <w:right w:type="dxa" w:w="110"/>
            </w:tcMar>
            <w:vAlign w:val="top"/>
          </w:tcPr>
          <w:p>
            <w:pPr>
              <w:spacing w:after="0" w:line="250"/>
            </w:pPr>
            <w:r>
              <w:rPr>
                <w:b/>
                <w:bCs/>
                <w:color w:val="FFFFFF"/>
                <w:sz w:val="19"/>
                <w:szCs w:val="19"/>
              </w:rPr>
              <w:t xml:space="preserve">Notes</w:t>
            </w:r>
          </w:p>
        </w:tc>
      </w:tr>
      <w:tr>
        <w:trPr>
          <w:tblHeader w:val="false"/>
        </w:trPr>
        <w:tc>
          <w:tcPr>
            <w:tcW w:type="dxa" w:w="2400"/>
            <w:tcMar>
              <w:top w:type="dxa" w:w="70"/>
              <w:left w:type="dxa" w:w="110"/>
              <w:bottom w:type="dxa" w:w="70"/>
              <w:right w:type="dxa" w:w="110"/>
            </w:tcMar>
            <w:vAlign w:val="top"/>
          </w:tcPr>
          <w:p>
            <w:pPr>
              <w:spacing w:after="0" w:line="250"/>
            </w:pPr>
            <w:r>
              <w:rPr>
                <w:color w:val="000000"/>
                <w:sz w:val="19"/>
                <w:szCs w:val="19"/>
              </w:rPr>
              <w:t xml:space="preserve">The mapping workbook</w:t>
            </w:r>
          </w:p>
        </w:tc>
        <w:tc>
          <w:tcPr>
            <w:tcW w:type="dxa" w:w="1500"/>
            <w:tcMar>
              <w:top w:type="dxa" w:w="70"/>
              <w:left w:type="dxa" w:w="110"/>
              <w:bottom w:type="dxa" w:w="70"/>
              <w:right w:type="dxa" w:w="110"/>
            </w:tcMar>
            <w:vAlign w:val="top"/>
          </w:tcPr>
          <w:p>
            <w:pPr>
              <w:spacing w:after="0" w:line="250"/>
            </w:pPr>
            <w:r>
              <w:rPr>
                <w:color w:val="000000"/>
                <w:sz w:val="19"/>
                <w:szCs w:val="19"/>
              </w:rPr>
              <w:t xml:space="preserve">Yes</w:t>
            </w:r>
          </w:p>
        </w:tc>
        <w:tc>
          <w:tcPr>
            <w:tcW w:type="dxa" w:w="5120"/>
            <w:tcMar>
              <w:top w:type="dxa" w:w="70"/>
              <w:left w:type="dxa" w:w="110"/>
              <w:bottom w:type="dxa" w:w="70"/>
              <w:right w:type="dxa" w:w="110"/>
            </w:tcMar>
            <w:vAlign w:val="top"/>
          </w:tcPr>
          <w:p>
            <w:pPr>
              <w:spacing w:after="0" w:line="250"/>
            </w:pPr>
            <w:r>
              <w:rPr>
                <w:color w:val="000000"/>
                <w:sz w:val="19"/>
                <w:szCs w:val="19"/>
              </w:rPr>
              <w:t xml:space="preserve">One </w:t>
            </w:r>
            <w:r>
              <w:rPr>
                <w:rFonts w:ascii="Consolas" w:cs="Consolas" w:eastAsia="Consolas" w:hAnsi="Consolas"/>
                <w:color w:val="1E2761"/>
                <w:sz w:val="17"/>
                <w:szCs w:val="17"/>
              </w:rPr>
              <w:t xml:space="preserve">.xlsx</w:t>
            </w:r>
            <w:r>
              <w:rPr>
                <w:color w:val="000000"/>
                <w:sz w:val="19"/>
                <w:szCs w:val="19"/>
              </w:rPr>
              <w:t xml:space="preserve"> file. One worksheet per operation. Chapter 3 describes the format.</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color w:val="000000"/>
                <w:sz w:val="19"/>
                <w:szCs w:val="19"/>
              </w:rPr>
              <w:t xml:space="preserve">The System of Record specification</w:t>
            </w:r>
          </w:p>
        </w:tc>
        <w:tc>
          <w:tcPr>
            <w:tcW w:type="dxa" w:w="1500"/>
            <w:shd w:fill="F7F8FA" w:val="clear"/>
            <w:tcMar>
              <w:top w:type="dxa" w:w="70"/>
              <w:left w:type="dxa" w:w="110"/>
              <w:bottom w:type="dxa" w:w="70"/>
              <w:right w:type="dxa" w:w="110"/>
            </w:tcMar>
            <w:vAlign w:val="top"/>
          </w:tcPr>
          <w:p>
            <w:pPr>
              <w:spacing w:after="0" w:line="250"/>
            </w:pPr>
            <w:r>
              <w:rPr>
                <w:color w:val="000000"/>
                <w:sz w:val="19"/>
                <w:szCs w:val="19"/>
              </w:rPr>
              <w:t xml:space="preserve">Strongly recommended</w:t>
            </w:r>
          </w:p>
        </w:tc>
        <w:tc>
          <w:tcPr>
            <w:tcW w:type="dxa" w:w="5120"/>
            <w:shd w:fill="F7F8FA" w:val="clear"/>
            <w:tcMar>
              <w:top w:type="dxa" w:w="70"/>
              <w:left w:type="dxa" w:w="110"/>
              <w:bottom w:type="dxa" w:w="70"/>
              <w:right w:type="dxa" w:w="110"/>
            </w:tcMar>
            <w:vAlign w:val="top"/>
          </w:tcPr>
          <w:p>
            <w:pPr>
              <w:spacing w:after="0" w:line="250"/>
            </w:pPr>
            <w:r>
              <w:rPr>
                <w:color w:val="000000"/>
                <w:sz w:val="19"/>
                <w:szCs w:val="19"/>
              </w:rPr>
              <w:t xml:space="preserve">One or more OpenAPI or Swagger files, or a folder of them. Without it every field name in the workbook is taken on trust. Chapter 5 explains what changes.</w:t>
            </w:r>
          </w:p>
        </w:tc>
      </w:tr>
      <w:tr>
        <w:trPr>
          <w:tblHeader w:val="false"/>
        </w:trPr>
        <w:tc>
          <w:tcPr>
            <w:tcW w:type="dxa" w:w="2400"/>
            <w:tcMar>
              <w:top w:type="dxa" w:w="70"/>
              <w:left w:type="dxa" w:w="110"/>
              <w:bottom w:type="dxa" w:w="70"/>
              <w:right w:type="dxa" w:w="110"/>
            </w:tcMar>
            <w:vAlign w:val="top"/>
          </w:tcPr>
          <w:p>
            <w:pPr>
              <w:spacing w:after="0" w:line="250"/>
            </w:pPr>
            <w:r>
              <w:rPr>
                <w:color w:val="000000"/>
                <w:sz w:val="19"/>
                <w:szCs w:val="19"/>
              </w:rPr>
              <w:t xml:space="preserve">An output folder</w:t>
            </w:r>
          </w:p>
        </w:tc>
        <w:tc>
          <w:tcPr>
            <w:tcW w:type="dxa" w:w="1500"/>
            <w:tcMar>
              <w:top w:type="dxa" w:w="70"/>
              <w:left w:type="dxa" w:w="110"/>
              <w:bottom w:type="dxa" w:w="70"/>
              <w:right w:type="dxa" w:w="110"/>
            </w:tcMar>
            <w:vAlign w:val="top"/>
          </w:tcPr>
          <w:p>
            <w:pPr>
              <w:spacing w:after="0" w:line="250"/>
            </w:pPr>
            <w:r>
              <w:rPr>
                <w:color w:val="000000"/>
                <w:sz w:val="19"/>
                <w:szCs w:val="19"/>
              </w:rPr>
              <w:t xml:space="preserve">Yes</w:t>
            </w:r>
          </w:p>
        </w:tc>
        <w:tc>
          <w:tcPr>
            <w:tcW w:type="dxa" w:w="5120"/>
            <w:tcMar>
              <w:top w:type="dxa" w:w="70"/>
              <w:left w:type="dxa" w:w="110"/>
              <w:bottom w:type="dxa" w:w="70"/>
              <w:right w:type="dxa" w:w="110"/>
            </w:tcMar>
            <w:vAlign w:val="top"/>
          </w:tcPr>
          <w:p>
            <w:pPr>
              <w:spacing w:after="0" w:line="250"/>
            </w:pPr>
            <w:r>
              <w:rPr>
                <w:color w:val="000000"/>
                <w:sz w:val="19"/>
                <w:szCs w:val="19"/>
              </w:rPr>
              <w:t xml:space="preserve">Written to, not read. Files left by an earlier run for a sheet that now fails are removed.</w:t>
            </w:r>
          </w:p>
        </w:tc>
      </w:tr>
    </w:tbl>
    <w:p>
      <w:pPr>
        <w:pStyle w:val="Heading2"/>
        <w:keepNext/>
        <w:spacing w:after="120" w:before="300"/>
      </w:pPr>
      <w:r>
        <w:rPr>
          <w:b/>
          <w:bCs/>
          <w:color w:val="1E2761"/>
          <w:sz w:val="25"/>
          <w:szCs w:val="25"/>
        </w:rPr>
        <w:t xml:space="preserve">2.2  Installing</w:t>
      </w:r>
    </w:p>
    <w:p>
      <w:pPr>
        <w:spacing w:after="120" w:line="276"/>
      </w:pPr>
      <w:r>
        <w:rPr>
          <w:color w:val="000000"/>
          <w:sz w:val="21"/>
          <w:szCs w:val="21"/>
        </w:rPr>
        <w:t xml:space="preserve">On a machine with Python 3.9 or later, the toolkit runs from its own folder with no installation step beyond two libraries:</w:t>
      </w:r>
    </w:p>
    <w:p>
      <w:pPr>
        <w:shd w:fill="F4F5F7" w:val="clear"/>
        <w:spacing w:after="0" w:before="60" w:line="240"/>
        <w:ind w:left="180" w:right="180"/>
      </w:pPr>
      <w:r>
        <w:rPr>
          <w:rFonts w:ascii="Consolas" w:cs="Consolas" w:eastAsia="Consolas" w:hAnsi="Consolas"/>
          <w:color w:val="22303F"/>
          <w:sz w:val="17"/>
          <w:szCs w:val="17"/>
        </w:rPr>
        <w:t xml:space="preserve">pip install openpyxl ruamel.yaml</w:t>
      </w:r>
    </w:p>
    <w:p>
      <w:pPr>
        <w:shd w:fill="F4F5F7" w:val="clear"/>
        <w:spacing w:after="160" w:before="0" w:line="240"/>
        <w:ind w:left="180" w:right="180"/>
      </w:pPr>
      <w:r>
        <w:rPr>
          <w:rFonts w:ascii="Consolas" w:cs="Consolas" w:eastAsia="Consolas" w:hAnsi="Consolas"/>
          <w:color w:val="22303F"/>
          <w:sz w:val="17"/>
          <w:szCs w:val="17"/>
        </w:rPr>
        <w:t xml:space="preserve">pip install tkinterdnd2      # optional, adds drag and drop to the window</w:t>
      </w:r>
    </w:p>
    <w:p>
      <w:pPr>
        <w:spacing w:after="120" w:line="276"/>
      </w:pPr>
      <w:r>
        <w:rPr>
          <w:color w:val="000000"/>
          <w:sz w:val="21"/>
          <w:szCs w:val="21"/>
        </w:rPr>
        <w:t xml:space="preserve">On a Windows machine without Python, run </w:t>
      </w:r>
      <w:r>
        <w:rPr>
          <w:rFonts w:ascii="Consolas" w:cs="Consolas" w:eastAsia="Consolas" w:hAnsi="Consolas"/>
          <w:color w:val="1E2761"/>
          <w:sz w:val="19"/>
          <w:szCs w:val="19"/>
        </w:rPr>
        <w:t xml:space="preserve">build_windows_exe.bat</w:t>
      </w:r>
      <w:r>
        <w:rPr>
          <w:color w:val="000000"/>
          <w:sz w:val="21"/>
          <w:szCs w:val="21"/>
        </w:rPr>
        <w:t xml:space="preserve"> once on a machine that does have Python to produce a single executable, then distribute that. The title bar of the window it opens must read </w:t>
      </w:r>
      <w:r>
        <w:rPr>
          <w:b/>
          <w:bCs/>
          <w:color w:val="000000"/>
          <w:sz w:val="21"/>
          <w:szCs w:val="21"/>
        </w:rPr>
        <w:t xml:space="preserve">SOR Polymorphizer 6.3</w:t>
      </w:r>
      <w:r>
        <w:rPr>
          <w:color w:val="000000"/>
          <w:sz w:val="21"/>
          <w:szCs w:val="21"/>
        </w:rPr>
        <w:t xml:space="preserve">; if it reads anything else, the build picked up a stale module.</w:t>
      </w:r>
    </w:p>
    <w:p>
      <w:pPr>
        <w:pStyle w:val="Heading2"/>
        <w:keepNext/>
        <w:spacing w:after="120" w:before="300"/>
      </w:pPr>
      <w:r>
        <w:rPr>
          <w:b/>
          <w:bCs/>
          <w:color w:val="1E2761"/>
          <w:sz w:val="25"/>
          <w:szCs w:val="25"/>
        </w:rPr>
        <w:t xml:space="preserve">2.3  A first run</w:t>
      </w:r>
    </w:p>
    <w:p>
      <w:pPr>
        <w:spacing w:after="120" w:line="276"/>
      </w:pPr>
      <w:r>
        <w:rPr>
          <w:color w:val="000000"/>
          <w:sz w:val="21"/>
          <w:szCs w:val="21"/>
        </w:rPr>
        <w:t xml:space="preserve">Three commands establish that everything works and show what good looks like:</w:t>
      </w:r>
    </w:p>
    <w:p>
      <w:pPr>
        <w:shd w:fill="F4F5F7" w:val="clear"/>
        <w:spacing w:after="0" w:before="60" w:line="240"/>
        <w:ind w:left="180" w:right="180"/>
      </w:pPr>
      <w:r>
        <w:rPr>
          <w:rFonts w:ascii="Consolas" w:cs="Consolas" w:eastAsia="Consolas" w:hAnsi="Consolas"/>
          <w:color w:val="22303F"/>
          <w:sz w:val="17"/>
          <w:szCs w:val="17"/>
        </w:rPr>
        <w:t xml:space="preserve">python polymorphize_cli.py template SOR_mapping_template.xlsx</w:t>
      </w:r>
    </w:p>
    <w:p>
      <w:pPr>
        <w:shd w:fill="F4F5F7" w:val="clear"/>
        <w:spacing w:after="0" w:before="0" w:line="240"/>
        <w:ind w:left="180" w:right="180"/>
      </w:pPr>
      <w:r>
        <w:rPr>
          <w:rFonts w:ascii="Consolas" w:cs="Consolas" w:eastAsia="Consolas" w:hAnsi="Consolas"/>
          <w:color w:val="22303F"/>
          <w:sz w:val="17"/>
          <w:szCs w:val="17"/>
        </w:rPr>
        <w:t xml:space="preserve">python polymorphize_cli.py check SOR_mapping_template.xlsx</w:t>
      </w:r>
    </w:p>
    <w:p>
      <w:pPr>
        <w:shd w:fill="F4F5F7" w:val="clear"/>
        <w:spacing w:after="0" w:before="0" w:line="240"/>
        <w:ind w:left="180" w:right="180"/>
      </w:pPr>
      <w:r>
        <w:rPr>
          <w:rFonts w:ascii="Consolas" w:cs="Consolas" w:eastAsia="Consolas" w:hAnsi="Consolas"/>
          <w:color w:val="22303F"/>
          <w:sz w:val="17"/>
          <w:szCs w:val="17"/>
        </w:rPr>
        <w:t xml:space="preserve">python polymorphize_cli.py generate SOR_mapping_template.xlsx ./out \</w:t>
      </w:r>
    </w:p>
    <w:p>
      <w:pPr>
        <w:shd w:fill="F4F5F7" w:val="clear"/>
        <w:spacing w:after="160" w:before="0" w:line="240"/>
        <w:ind w:left="180" w:right="180"/>
      </w:pPr>
      <w:r>
        <w:rPr>
          <w:rFonts w:ascii="Consolas" w:cs="Consolas" w:eastAsia="Consolas" w:hAnsi="Consolas"/>
          <w:color w:val="22303F"/>
          <w:sz w:val="17"/>
          <w:szCs w:val="17"/>
        </w:rPr>
        <w:t xml:space="preserve">       --sor samples/sor_template_fixture.yaml</w:t>
      </w:r>
    </w:p>
    <w:p>
      <w:pPr>
        <w:spacing w:after="120" w:line="276"/>
      </w:pPr>
      <w:r>
        <w:rPr>
          <w:color w:val="000000"/>
          <w:sz w:val="21"/>
          <w:szCs w:val="21"/>
        </w:rPr>
        <w:t xml:space="preserve">The template validates with no findings at either checking level, and all three of its worked example sheets generate. It is not a sample of a filled workbook. It is the contract, expressed as a workbook, and it is the thing to copy when starting a new mapping.</w:t>
      </w:r>
    </w:p>
    <w:p>
      <w:pPr>
        <w:pBdr>
          <w:left w:val="single" w:color="8A6D1F" w:sz="18" w:space="8"/>
        </w:pBdr>
        <w:shd w:fill="EEF1F6" w:val="clear"/>
        <w:spacing w:after="180" w:before="120" w:line="276"/>
        <w:ind w:left="120" w:right="120"/>
      </w:pPr>
      <w:r>
        <w:rPr>
          <w:b/>
          <w:bCs/>
          <w:color w:val="1E2761"/>
          <w:sz w:val="20"/>
          <w:szCs w:val="20"/>
        </w:rPr>
        <w:t xml:space="preserve">Please note  </w:t>
      </w:r>
      <w:r>
        <w:rPr>
          <w:color w:val="000000"/>
          <w:sz w:val="20"/>
          <w:szCs w:val="20"/>
        </w:rPr>
        <w:t xml:space="preserve">The two files named </w:t>
      </w:r>
      <w:r>
        <w:rPr>
          <w:rFonts w:ascii="Consolas" w:cs="Consolas" w:eastAsia="Consolas" w:hAnsi="Consolas"/>
          <w:color w:val="1E2761"/>
          <w:sz w:val="18"/>
          <w:szCs w:val="18"/>
        </w:rPr>
        <w:t xml:space="preserve">sor_*_fixture.yaml</w:t>
      </w:r>
      <w:r>
        <w:rPr>
          <w:color w:val="000000"/>
          <w:sz w:val="20"/>
          <w:szCs w:val="20"/>
        </w:rPr>
        <w:t xml:space="preserve"> under </w:t>
      </w:r>
      <w:r>
        <w:rPr>
          <w:rFonts w:ascii="Consolas" w:cs="Consolas" w:eastAsia="Consolas" w:hAnsi="Consolas"/>
          <w:color w:val="1E2761"/>
          <w:sz w:val="18"/>
          <w:szCs w:val="18"/>
        </w:rPr>
        <w:t xml:space="preserve">samples/</w:t>
      </w:r>
      <w:r>
        <w:rPr>
          <w:color w:val="000000"/>
          <w:sz w:val="20"/>
          <w:szCs w:val="20"/>
        </w:rPr>
        <w:t xml:space="preserve"> are synthetic. They are generated from the workbooks' own SOR columns so that the worked examples resolve, and three defects are built into them deliberately so that the interesting paths are exercised. They are not documentation of any real System of Record and no conclusion about a real system should be drawn from them.</w:t>
      </w:r>
    </w:p>
    <w:p>
      <w:r>
        <w:br w:type="page"/>
      </w:r>
    </w:p>
    <w:p>
      <w:pPr>
        <w:pStyle w:val="Heading1"/>
        <w:pBdr>
          <w:bottom w:val="single" w:color="C6CBD4" w:sz="8" w:space="6"/>
        </w:pBdr>
        <w:spacing w:after="200" w:before="400"/>
      </w:pPr>
      <w:r>
        <w:rPr>
          <w:b/>
          <w:bCs/>
          <w:color w:val="1E2761"/>
          <w:sz w:val="32"/>
          <w:szCs w:val="32"/>
        </w:rPr>
        <w:t xml:space="preserve">3  The mapping workbook</w:t>
      </w:r>
    </w:p>
    <w:p>
      <w:pPr>
        <w:pStyle w:val="Heading2"/>
        <w:keepNext/>
        <w:spacing w:after="120" w:before="300"/>
      </w:pPr>
      <w:r>
        <w:rPr>
          <w:b/>
          <w:bCs/>
          <w:color w:val="1E2761"/>
          <w:sz w:val="25"/>
          <w:szCs w:val="25"/>
        </w:rPr>
        <w:t xml:space="preserve">3.1  One sheet, one operation</w:t>
      </w:r>
    </w:p>
    <w:p>
      <w:pPr>
        <w:spacing w:after="120" w:line="276"/>
      </w:pPr>
      <w:r>
        <w:rPr>
          <w:color w:val="000000"/>
          <w:sz w:val="21"/>
          <w:szCs w:val="21"/>
        </w:rPr>
        <w:t xml:space="preserve">Each worksheet describes one business API operation: its request message, its response message, and the System of Record calls that serve it. Every worksheet in the workbook is then merged into a single specification, because polymorphism only means anything inside a single namespace. Two sheets that both use a group called </w:t>
      </w:r>
      <w:r>
        <w:rPr>
          <w:rFonts w:ascii="Consolas" w:cs="Consolas" w:eastAsia="Consolas" w:hAnsi="Consolas"/>
          <w:color w:val="1E2761"/>
          <w:sz w:val="19"/>
          <w:szCs w:val="19"/>
        </w:rPr>
        <w:t xml:space="preserve">Account</w:t>
      </w:r>
      <w:r>
        <w:rPr>
          <w:color w:val="000000"/>
          <w:sz w:val="21"/>
          <w:szCs w:val="21"/>
        </w:rPr>
        <w:t xml:space="preserve"> produce one </w:t>
      </w:r>
      <w:r>
        <w:rPr>
          <w:rFonts w:ascii="Consolas" w:cs="Consolas" w:eastAsia="Consolas" w:hAnsi="Consolas"/>
          <w:color w:val="1E2761"/>
          <w:sz w:val="19"/>
          <w:szCs w:val="19"/>
        </w:rPr>
        <w:t xml:space="preserve">Account</w:t>
      </w:r>
      <w:r>
        <w:rPr>
          <w:color w:val="000000"/>
          <w:sz w:val="21"/>
          <w:szCs w:val="21"/>
        </w:rPr>
        <w:t xml:space="preserve"> component, specialised for each operation that does not publish all of it.</w:t>
      </w:r>
    </w:p>
    <w:p>
      <w:pPr>
        <w:pStyle w:val="Heading2"/>
        <w:keepNext/>
        <w:spacing w:after="120" w:before="300"/>
      </w:pPr>
      <w:r>
        <w:rPr>
          <w:b/>
          <w:bCs/>
          <w:color w:val="1E2761"/>
          <w:sz w:val="25"/>
          <w:szCs w:val="25"/>
        </w:rPr>
        <w:t xml:space="preserve">3.2  The header row</w:t>
      </w:r>
    </w:p>
    <w:p>
      <w:pPr>
        <w:spacing w:after="120" w:line="276"/>
      </w:pPr>
      <w:r>
        <w:rPr>
          <w:b/>
          <w:bCs/>
          <w:color w:val="000000"/>
          <w:sz w:val="21"/>
          <w:szCs w:val="21"/>
        </w:rPr>
        <w:t xml:space="preserve">Row 1</w:t>
      </w:r>
      <w:r>
        <w:rPr>
          <w:color w:val="000000"/>
          <w:sz w:val="21"/>
          <w:szCs w:val="21"/>
        </w:rPr>
        <w:t xml:space="preserve"> is the header row. Reading left to right it carries at least one column to the left of the Level columns, then </w:t>
      </w:r>
      <w:r>
        <w:rPr>
          <w:rFonts w:ascii="Consolas" w:cs="Consolas" w:eastAsia="Consolas" w:hAnsi="Consolas"/>
          <w:color w:val="1E2761"/>
          <w:sz w:val="19"/>
          <w:szCs w:val="19"/>
        </w:rPr>
        <w:t xml:space="preserve">Level 1</w:t>
      </w:r>
      <w:r>
        <w:rPr>
          <w:color w:val="000000"/>
          <w:sz w:val="21"/>
          <w:szCs w:val="21"/>
        </w:rPr>
        <w:t xml:space="preserve"> through </w:t>
      </w:r>
      <w:r>
        <w:rPr>
          <w:rFonts w:ascii="Consolas" w:cs="Consolas" w:eastAsia="Consolas" w:hAnsi="Consolas"/>
          <w:color w:val="1E2761"/>
          <w:sz w:val="19"/>
          <w:szCs w:val="19"/>
        </w:rPr>
        <w:t xml:space="preserve">Level N</w:t>
      </w:r>
      <w:r>
        <w:rPr>
          <w:color w:val="000000"/>
          <w:sz w:val="21"/>
          <w:szCs w:val="21"/>
        </w:rPr>
        <w:t xml:space="preserve">, then the attribute columns, then one column for each System of Record endpoint.</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600"/>
        <w:gridCol w:w="6420"/>
      </w:tblGrid>
      <w:tr>
        <w:trPr>
          <w:tblHeader/>
        </w:trPr>
        <w:tc>
          <w:tcPr>
            <w:tcW w:type="dxa" w:w="2600"/>
            <w:shd w:fill="1E2761" w:val="clear"/>
            <w:tcMar>
              <w:top w:type="dxa" w:w="70"/>
              <w:left w:type="dxa" w:w="110"/>
              <w:bottom w:type="dxa" w:w="70"/>
              <w:right w:type="dxa" w:w="110"/>
            </w:tcMar>
            <w:vAlign w:val="top"/>
          </w:tcPr>
          <w:p>
            <w:pPr>
              <w:spacing w:after="0" w:line="250"/>
            </w:pPr>
            <w:r>
              <w:rPr>
                <w:b/>
                <w:bCs/>
                <w:color w:val="FFFFFF"/>
                <w:sz w:val="19"/>
                <w:szCs w:val="19"/>
              </w:rPr>
              <w:t xml:space="preserve">Column</w:t>
            </w:r>
          </w:p>
        </w:tc>
        <w:tc>
          <w:tcPr>
            <w:tcW w:type="dxa" w:w="6420"/>
            <w:shd w:fill="1E2761" w:val="clear"/>
            <w:tcMar>
              <w:top w:type="dxa" w:w="70"/>
              <w:left w:type="dxa" w:w="110"/>
              <w:bottom w:type="dxa" w:w="70"/>
              <w:right w:type="dxa" w:w="110"/>
            </w:tcMar>
            <w:vAlign w:val="top"/>
          </w:tcPr>
          <w:p>
            <w:pPr>
              <w:spacing w:after="0" w:line="250"/>
            </w:pPr>
            <w:r>
              <w:rPr>
                <w:b/>
                <w:bCs/>
                <w:color w:val="FFFFFF"/>
                <w:sz w:val="19"/>
                <w:szCs w:val="19"/>
              </w:rPr>
              <w:t xml:space="preserve">Purpose</w:t>
            </w:r>
          </w:p>
        </w:tc>
      </w:tr>
      <w:tr>
        <w:trPr>
          <w:tblHeader w:val="false"/>
        </w:trPr>
        <w:tc>
          <w:tcPr>
            <w:tcW w:type="dxa" w:w="2600"/>
            <w:tcMar>
              <w:top w:type="dxa" w:w="70"/>
              <w:left w:type="dxa" w:w="110"/>
              <w:bottom w:type="dxa" w:w="70"/>
              <w:right w:type="dxa" w:w="110"/>
            </w:tcMar>
            <w:vAlign w:val="top"/>
          </w:tcPr>
          <w:p>
            <w:pPr>
              <w:spacing w:after="0" w:line="250"/>
            </w:pPr>
            <w:r>
              <w:rPr>
                <w:color w:val="000000"/>
                <w:sz w:val="19"/>
                <w:szCs w:val="19"/>
              </w:rPr>
              <w:t xml:space="preserve">The column before Level 1</w:t>
            </w:r>
          </w:p>
        </w:tc>
        <w:tc>
          <w:tcPr>
            <w:tcW w:type="dxa" w:w="6420"/>
            <w:tcMar>
              <w:top w:type="dxa" w:w="70"/>
              <w:left w:type="dxa" w:w="110"/>
              <w:bottom w:type="dxa" w:w="70"/>
              <w:right w:type="dxa" w:w="110"/>
            </w:tcMar>
            <w:vAlign w:val="top"/>
          </w:tcPr>
          <w:p>
            <w:pPr>
              <w:spacing w:after="0" w:line="250"/>
            </w:pPr>
            <w:r>
              <w:rPr>
                <w:color w:val="000000"/>
                <w:sz w:val="19"/>
                <w:szCs w:val="19"/>
              </w:rPr>
              <w:t xml:space="preserve">Holds the banner labels and the section labels. It must exist. If it does not, there is nowhere for </w:t>
            </w:r>
            <w:r>
              <w:rPr>
                <w:rFonts w:ascii="Consolas" w:cs="Consolas" w:eastAsia="Consolas" w:hAnsi="Consolas"/>
                <w:color w:val="1E2761"/>
                <w:sz w:val="17"/>
                <w:szCs w:val="17"/>
              </w:rPr>
              <w:t xml:space="preserve">Request Body</w:t>
            </w:r>
            <w:r>
              <w:rPr>
                <w:color w:val="000000"/>
                <w:sz w:val="19"/>
                <w:szCs w:val="19"/>
              </w:rPr>
              <w:t xml:space="preserve"> to be written.</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Level 1</w:t>
            </w:r>
            <w:r>
              <w:rPr>
                <w:color w:val="000000"/>
                <w:sz w:val="19"/>
                <w:szCs w:val="19"/>
              </w:rPr>
              <w:t xml:space="preserve"> … </w:t>
            </w:r>
            <w:r>
              <w:rPr>
                <w:rFonts w:ascii="Consolas" w:cs="Consolas" w:eastAsia="Consolas" w:hAnsi="Consolas"/>
                <w:color w:val="1E2761"/>
                <w:sz w:val="17"/>
                <w:szCs w:val="17"/>
              </w:rPr>
              <w:t xml:space="preserve">Level N</w:t>
            </w:r>
          </w:p>
        </w:tc>
        <w:tc>
          <w:tcPr>
            <w:tcW w:type="dxa" w:w="6420"/>
            <w:shd w:fill="F7F8FA" w:val="clear"/>
            <w:tcMar>
              <w:top w:type="dxa" w:w="70"/>
              <w:left w:type="dxa" w:w="110"/>
              <w:bottom w:type="dxa" w:w="70"/>
              <w:right w:type="dxa" w:w="110"/>
            </w:tcMar>
            <w:vAlign w:val="top"/>
          </w:tcPr>
          <w:p>
            <w:pPr>
              <w:spacing w:after="0" w:line="250"/>
            </w:pPr>
            <w:r>
              <w:rPr>
                <w:color w:val="000000"/>
                <w:sz w:val="19"/>
                <w:szCs w:val="19"/>
              </w:rPr>
              <w:t xml:space="preserve">The hierarchy. Numbered from one with no gaps and no repeats. Depth varies by sheet; three to six is normal.</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Dummy Value</w:t>
            </w:r>
          </w:p>
        </w:tc>
        <w:tc>
          <w:tcPr>
            <w:tcW w:type="dxa" w:w="6420"/>
            <w:tcMar>
              <w:top w:type="dxa" w:w="70"/>
              <w:left w:type="dxa" w:w="110"/>
              <w:bottom w:type="dxa" w:w="70"/>
              <w:right w:type="dxa" w:w="110"/>
            </w:tcMar>
            <w:vAlign w:val="top"/>
          </w:tcPr>
          <w:p>
            <w:pPr>
              <w:spacing w:after="0" w:line="250"/>
            </w:pPr>
            <w:r>
              <w:rPr>
                <w:color w:val="000000"/>
                <w:sz w:val="19"/>
                <w:szCs w:val="19"/>
              </w:rPr>
              <w:t xml:space="preserve">An example value, published as </w:t>
            </w:r>
            <w:r>
              <w:rPr>
                <w:rFonts w:ascii="Consolas" w:cs="Consolas" w:eastAsia="Consolas" w:hAnsi="Consolas"/>
                <w:color w:val="1E2761"/>
                <w:sz w:val="17"/>
                <w:szCs w:val="17"/>
              </w:rPr>
              <w:t xml:space="preserve">example</w:t>
            </w:r>
            <w:r>
              <w:rPr>
                <w:color w:val="000000"/>
                <w:sz w:val="19"/>
                <w:szCs w:val="19"/>
              </w:rPr>
              <w:t xml:space="preserve">.</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Data Type</w:t>
            </w:r>
          </w:p>
        </w:tc>
        <w:tc>
          <w:tcPr>
            <w:tcW w:type="dxa" w:w="6420"/>
            <w:shd w:fill="F7F8FA" w:val="clear"/>
            <w:tcMar>
              <w:top w:type="dxa" w:w="70"/>
              <w:left w:type="dxa" w:w="110"/>
              <w:bottom w:type="dxa" w:w="70"/>
              <w:right w:type="dxa" w:w="110"/>
            </w:tcMar>
            <w:vAlign w:val="top"/>
          </w:tcPr>
          <w:p>
            <w:pPr>
              <w:spacing w:after="0" w:line="250"/>
            </w:pPr>
            <w:r>
              <w:rPr>
                <w:color w:val="000000"/>
                <w:sz w:val="19"/>
                <w:szCs w:val="19"/>
              </w:rPr>
              <w:t xml:space="preserve">The type, optionally with a length in brackets, for example </w:t>
            </w:r>
            <w:r>
              <w:rPr>
                <w:rFonts w:ascii="Consolas" w:cs="Consolas" w:eastAsia="Consolas" w:hAnsi="Consolas"/>
                <w:color w:val="1E2761"/>
                <w:sz w:val="17"/>
                <w:szCs w:val="17"/>
              </w:rPr>
              <w:t xml:space="preserve">String (35)</w:t>
            </w:r>
            <w:r>
              <w:rPr>
                <w:color w:val="000000"/>
                <w:sz w:val="19"/>
                <w:szCs w:val="19"/>
              </w:rPr>
              <w:t xml:space="preserve">.</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Usage</w:t>
            </w:r>
            <w:r>
              <w:rPr>
                <w:color w:val="000000"/>
                <w:sz w:val="19"/>
                <w:szCs w:val="19"/>
              </w:rPr>
              <w:t xml:space="preserve"> or </w:t>
            </w:r>
            <w:r>
              <w:rPr>
                <w:rFonts w:ascii="Consolas" w:cs="Consolas" w:eastAsia="Consolas" w:hAnsi="Consolas"/>
                <w:color w:val="1E2761"/>
                <w:sz w:val="17"/>
                <w:szCs w:val="17"/>
              </w:rPr>
              <w:t xml:space="preserve">Required</w:t>
            </w:r>
          </w:p>
        </w:tc>
        <w:tc>
          <w:tcPr>
            <w:tcW w:type="dxa" w:w="642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Mandatory</w:t>
            </w:r>
            <w:r>
              <w:rPr>
                <w:color w:val="000000"/>
                <w:sz w:val="19"/>
                <w:szCs w:val="19"/>
              </w:rPr>
              <w:t xml:space="preserve">, </w:t>
            </w:r>
            <w:r>
              <w:rPr>
                <w:rFonts w:ascii="Consolas" w:cs="Consolas" w:eastAsia="Consolas" w:hAnsi="Consolas"/>
                <w:color w:val="1E2761"/>
                <w:sz w:val="17"/>
                <w:szCs w:val="17"/>
              </w:rPr>
              <w:t xml:space="preserve">ConditionalMandatory</w:t>
            </w:r>
            <w:r>
              <w:rPr>
                <w:color w:val="000000"/>
                <w:sz w:val="19"/>
                <w:szCs w:val="19"/>
              </w:rPr>
              <w:t xml:space="preserve">, or blank for optional.</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Description</w:t>
            </w:r>
            <w:r>
              <w:rPr>
                <w:color w:val="000000"/>
                <w:sz w:val="19"/>
                <w:szCs w:val="19"/>
              </w:rPr>
              <w:t xml:space="preserve"> or </w:t>
            </w:r>
            <w:r>
              <w:rPr>
                <w:rFonts w:ascii="Consolas" w:cs="Consolas" w:eastAsia="Consolas" w:hAnsi="Consolas"/>
                <w:color w:val="1E2761"/>
                <w:sz w:val="17"/>
                <w:szCs w:val="17"/>
              </w:rPr>
              <w:t xml:space="preserve">Descriptions</w:t>
            </w:r>
          </w:p>
        </w:tc>
        <w:tc>
          <w:tcPr>
            <w:tcW w:type="dxa" w:w="6420"/>
            <w:shd w:fill="F7F8FA" w:val="clear"/>
            <w:tcMar>
              <w:top w:type="dxa" w:w="70"/>
              <w:left w:type="dxa" w:w="110"/>
              <w:bottom w:type="dxa" w:w="70"/>
              <w:right w:type="dxa" w:w="110"/>
            </w:tcMar>
            <w:vAlign w:val="top"/>
          </w:tcPr>
          <w:p>
            <w:pPr>
              <w:spacing w:after="0" w:line="250"/>
            </w:pPr>
            <w:r>
              <w:rPr>
                <w:color w:val="000000"/>
                <w:sz w:val="19"/>
                <w:szCs w:val="19"/>
              </w:rPr>
              <w:t xml:space="preserve">Prose for the consumer.</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SOR &lt;endpoint&gt;</w:t>
            </w:r>
          </w:p>
        </w:tc>
        <w:tc>
          <w:tcPr>
            <w:tcW w:type="dxa" w:w="6420"/>
            <w:tcMar>
              <w:top w:type="dxa" w:w="70"/>
              <w:left w:type="dxa" w:w="110"/>
              <w:bottom w:type="dxa" w:w="70"/>
              <w:right w:type="dxa" w:w="110"/>
            </w:tcMar>
            <w:vAlign w:val="top"/>
          </w:tcPr>
          <w:p>
            <w:pPr>
              <w:spacing w:after="0" w:line="250"/>
            </w:pPr>
            <w:r>
              <w:rPr>
                <w:color w:val="000000"/>
                <w:sz w:val="19"/>
                <w:szCs w:val="19"/>
              </w:rPr>
              <w:t xml:space="preserve">One column per System of Record endpoint this operation calls. The cell holds the field name in that endpoint that feeds the row's attribute.</w:t>
            </w:r>
          </w:p>
        </w:tc>
      </w:tr>
    </w:tbl>
    <w:p>
      <w:pPr>
        <w:pStyle w:val="Heading2"/>
        <w:keepNext/>
        <w:spacing w:after="120" w:before="300"/>
      </w:pPr>
      <w:r>
        <w:rPr>
          <w:b/>
          <w:bCs/>
          <w:color w:val="1E2761"/>
          <w:sz w:val="25"/>
          <w:szCs w:val="25"/>
        </w:rPr>
        <w:t xml:space="preserve">3.3  The banner</w:t>
      </w:r>
    </w:p>
    <w:p>
      <w:pPr>
        <w:spacing w:after="120" w:line="276"/>
      </w:pPr>
      <w:r>
        <w:rPr>
          <w:b/>
          <w:bCs/>
          <w:color w:val="000000"/>
          <w:sz w:val="21"/>
          <w:szCs w:val="21"/>
        </w:rPr>
        <w:t xml:space="preserve">Rows 2 to 6</w:t>
      </w:r>
      <w:r>
        <w:rPr>
          <w:color w:val="000000"/>
          <w:sz w:val="21"/>
          <w:szCs w:val="21"/>
        </w:rPr>
        <w:t xml:space="preserve">, beneath the header row rather than above it, carry the banner. The label goes in the column to the left of Level 1 and the value in the next column along.</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3000"/>
        <w:gridCol w:w="6020"/>
      </w:tblGrid>
      <w:tr>
        <w:trPr>
          <w:tblHeader/>
        </w:trPr>
        <w:tc>
          <w:tcPr>
            <w:tcW w:type="dxa" w:w="3000"/>
            <w:shd w:fill="1E2761" w:val="clear"/>
            <w:tcMar>
              <w:top w:type="dxa" w:w="70"/>
              <w:left w:type="dxa" w:w="110"/>
              <w:bottom w:type="dxa" w:w="70"/>
              <w:right w:type="dxa" w:w="110"/>
            </w:tcMar>
            <w:vAlign w:val="top"/>
          </w:tcPr>
          <w:p>
            <w:pPr>
              <w:spacing w:after="0" w:line="250"/>
            </w:pPr>
            <w:r>
              <w:rPr>
                <w:b/>
                <w:bCs/>
                <w:color w:val="FFFFFF"/>
                <w:sz w:val="19"/>
                <w:szCs w:val="19"/>
              </w:rPr>
              <w:t xml:space="preserve">Banner label</w:t>
            </w:r>
          </w:p>
        </w:tc>
        <w:tc>
          <w:tcPr>
            <w:tcW w:type="dxa" w:w="6020"/>
            <w:shd w:fill="1E2761" w:val="clear"/>
            <w:tcMar>
              <w:top w:type="dxa" w:w="70"/>
              <w:left w:type="dxa" w:w="110"/>
              <w:bottom w:type="dxa" w:w="70"/>
              <w:right w:type="dxa" w:w="110"/>
            </w:tcMar>
            <w:vAlign w:val="top"/>
          </w:tcPr>
          <w:p>
            <w:pPr>
              <w:spacing w:after="0" w:line="250"/>
            </w:pPr>
            <w:r>
              <w:rPr>
                <w:b/>
                <w:bCs/>
                <w:color w:val="FFFFFF"/>
                <w:sz w:val="19"/>
                <w:szCs w:val="19"/>
              </w:rPr>
              <w:t xml:space="preserve">Effect</w:t>
            </w:r>
          </w:p>
        </w:tc>
      </w:tr>
      <w:tr>
        <w:trPr>
          <w:tblHeader w:val="false"/>
        </w:trPr>
        <w:tc>
          <w:tcPr>
            <w:tcW w:type="dxa" w:w="30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Use Case:</w:t>
            </w:r>
          </w:p>
        </w:tc>
        <w:tc>
          <w:tcPr>
            <w:tcW w:type="dxa" w:w="6020"/>
            <w:tcMar>
              <w:top w:type="dxa" w:w="70"/>
              <w:left w:type="dxa" w:w="110"/>
              <w:bottom w:type="dxa" w:w="70"/>
              <w:right w:type="dxa" w:w="110"/>
            </w:tcMar>
            <w:vAlign w:val="top"/>
          </w:tcPr>
          <w:p>
            <w:pPr>
              <w:spacing w:after="0" w:line="250"/>
            </w:pPr>
            <w:r>
              <w:rPr>
                <w:color w:val="000000"/>
                <w:sz w:val="19"/>
                <w:szCs w:val="19"/>
              </w:rPr>
              <w:t xml:space="preserve">Carried into the operation summary. Required at strict checking level.</w:t>
            </w:r>
          </w:p>
        </w:tc>
      </w:tr>
      <w:tr>
        <w:trPr>
          <w:tblHeader w:val="false"/>
        </w:trPr>
        <w:tc>
          <w:tcPr>
            <w:tcW w:type="dxa" w:w="30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Service Domain:</w:t>
            </w:r>
          </w:p>
        </w:tc>
        <w:tc>
          <w:tcPr>
            <w:tcW w:type="dxa" w:w="6020"/>
            <w:shd w:fill="F7F8FA" w:val="clear"/>
            <w:tcMar>
              <w:top w:type="dxa" w:w="70"/>
              <w:left w:type="dxa" w:w="110"/>
              <w:bottom w:type="dxa" w:w="70"/>
              <w:right w:type="dxa" w:w="110"/>
            </w:tcMar>
            <w:vAlign w:val="top"/>
          </w:tcPr>
          <w:p>
            <w:pPr>
              <w:spacing w:after="0" w:line="250"/>
            </w:pPr>
            <w:r>
              <w:rPr>
                <w:color w:val="000000"/>
                <w:sz w:val="19"/>
                <w:szCs w:val="19"/>
              </w:rPr>
              <w:t xml:space="preserve">Becomes the tag, the specification title and the file name of the showcase report. A behaviour qualifier may sit beside it as </w:t>
            </w:r>
            <w:r>
              <w:rPr>
                <w:rFonts w:ascii="Consolas" w:cs="Consolas" w:eastAsia="Consolas" w:hAnsi="Consolas"/>
                <w:color w:val="1E2761"/>
                <w:sz w:val="17"/>
                <w:szCs w:val="17"/>
              </w:rPr>
              <w:t xml:space="preserve">BQ: &lt;name&gt;</w:t>
            </w:r>
            <w:r>
              <w:rPr>
                <w:color w:val="000000"/>
                <w:sz w:val="19"/>
                <w:szCs w:val="19"/>
              </w:rPr>
              <w:t xml:space="preserve">.</w:t>
            </w:r>
          </w:p>
        </w:tc>
      </w:tr>
      <w:tr>
        <w:trPr>
          <w:tblHeader w:val="false"/>
        </w:trPr>
        <w:tc>
          <w:tcPr>
            <w:tcW w:type="dxa" w:w="30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Equivalent BIAN API Endpoint:</w:t>
            </w:r>
          </w:p>
        </w:tc>
        <w:tc>
          <w:tcPr>
            <w:tcW w:type="dxa" w:w="6020"/>
            <w:tcMar>
              <w:top w:type="dxa" w:w="70"/>
              <w:left w:type="dxa" w:w="110"/>
              <w:bottom w:type="dxa" w:w="70"/>
              <w:right w:type="dxa" w:w="110"/>
            </w:tcMar>
            <w:vAlign w:val="top"/>
          </w:tcPr>
          <w:p>
            <w:pPr>
              <w:spacing w:after="0" w:line="250"/>
            </w:pPr>
            <w:r>
              <w:rPr>
                <w:color w:val="000000"/>
                <w:sz w:val="19"/>
                <w:szCs w:val="19"/>
              </w:rPr>
              <w:t xml:space="preserve">The BIAN action term at the end of this value decides the HTTP method.</w:t>
            </w:r>
          </w:p>
        </w:tc>
      </w:tr>
      <w:tr>
        <w:trPr>
          <w:tblHeader w:val="false"/>
        </w:trPr>
        <w:tc>
          <w:tcPr>
            <w:tcW w:type="dxa" w:w="30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Proposed Business API Endpoint:</w:t>
            </w:r>
          </w:p>
        </w:tc>
        <w:tc>
          <w:tcPr>
            <w:tcW w:type="dxa" w:w="6020"/>
            <w:shd w:fill="F7F8FA" w:val="clear"/>
            <w:tcMar>
              <w:top w:type="dxa" w:w="70"/>
              <w:left w:type="dxa" w:w="110"/>
              <w:bottom w:type="dxa" w:w="70"/>
              <w:right w:type="dxa" w:w="110"/>
            </w:tcMar>
            <w:vAlign w:val="top"/>
          </w:tcPr>
          <w:p>
            <w:pPr>
              <w:spacing w:after="0" w:line="250"/>
            </w:pPr>
            <w:r>
              <w:rPr>
                <w:color w:val="000000"/>
                <w:sz w:val="19"/>
                <w:szCs w:val="19"/>
              </w:rPr>
              <w:t xml:space="preserve">The path the consumer calls.</w:t>
            </w:r>
          </w:p>
        </w:tc>
      </w:tr>
      <w:tr>
        <w:trPr>
          <w:tblHeader w:val="false"/>
        </w:trPr>
        <w:tc>
          <w:tcPr>
            <w:tcW w:type="dxa" w:w="30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SOR API Endpoint:</w:t>
            </w:r>
          </w:p>
        </w:tc>
        <w:tc>
          <w:tcPr>
            <w:tcW w:type="dxa" w:w="6020"/>
            <w:tcMar>
              <w:top w:type="dxa" w:w="70"/>
              <w:left w:type="dxa" w:w="110"/>
              <w:bottom w:type="dxa" w:w="70"/>
              <w:right w:type="dxa" w:w="110"/>
            </w:tcMar>
            <w:vAlign w:val="top"/>
          </w:tcPr>
          <w:p>
            <w:pPr>
              <w:spacing w:after="0" w:line="250"/>
            </w:pPr>
            <w:r>
              <w:rPr>
                <w:b/>
                <w:bCs/>
                <w:color w:val="000000"/>
                <w:sz w:val="19"/>
                <w:szCs w:val="19"/>
              </w:rPr>
              <w:t xml:space="preserve">The definitive statement of which System of Record endpoint this sheet calls.</w:t>
            </w:r>
            <w:r>
              <w:rPr>
                <w:color w:val="000000"/>
                <w:sz w:val="19"/>
                <w:szCs w:val="19"/>
              </w:rPr>
              <w:t xml:space="preserve"> One endpoint serves every SOR column; several are paired with the columns in left to right order.</w:t>
            </w:r>
          </w:p>
        </w:tc>
      </w:tr>
      <w:tr>
        <w:trPr>
          <w:tblHeader w:val="false"/>
        </w:trPr>
        <w:tc>
          <w:tcPr>
            <w:tcW w:type="dxa" w:w="30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Method:</w:t>
            </w:r>
          </w:p>
        </w:tc>
        <w:tc>
          <w:tcPr>
            <w:tcW w:type="dxa" w:w="6020"/>
            <w:shd w:fill="F7F8FA" w:val="clear"/>
            <w:tcMar>
              <w:top w:type="dxa" w:w="70"/>
              <w:left w:type="dxa" w:w="110"/>
              <w:bottom w:type="dxa" w:w="70"/>
              <w:right w:type="dxa" w:w="110"/>
            </w:tcMar>
            <w:vAlign w:val="top"/>
          </w:tcPr>
          <w:p>
            <w:pPr>
              <w:spacing w:after="0" w:line="250"/>
            </w:pPr>
            <w:r>
              <w:rPr>
                <w:color w:val="000000"/>
                <w:sz w:val="19"/>
                <w:szCs w:val="19"/>
              </w:rPr>
              <w:t xml:space="preserve">Optional. States the HTTP method explicitly and overrides the action term. Use it for a retrieval that must carry a request body.</w:t>
            </w:r>
          </w:p>
        </w:tc>
      </w:tr>
    </w:tbl>
    <w:p>
      <w:pPr>
        <w:pBdr>
          <w:left w:val="single" w:color="8A6D1F" w:sz="18" w:space="8"/>
        </w:pBdr>
        <w:shd w:fill="EEF1F6" w:val="clear"/>
        <w:spacing w:after="180" w:before="120" w:line="276"/>
        <w:ind w:left="120" w:right="120"/>
      </w:pPr>
      <w:r>
        <w:rPr>
          <w:b/>
          <w:bCs/>
          <w:color w:val="1E2761"/>
          <w:sz w:val="20"/>
          <w:szCs w:val="20"/>
        </w:rPr>
        <w:t xml:space="preserve">The banner is authoritative  </w:t>
      </w:r>
      <w:r>
        <w:rPr>
          <w:color w:val="000000"/>
          <w:sz w:val="20"/>
          <w:szCs w:val="20"/>
        </w:rPr>
        <w:t xml:space="preserve">An endpoint written on an SOR column header is a label for a human reader. It is never read as the source of the endpoint. Where the two differ the banner is used and the difference is reported, so that the interface is correct and the workbook still gets corrected.</w:t>
      </w:r>
    </w:p>
    <w:p>
      <w:pPr>
        <w:pStyle w:val="Heading2"/>
        <w:keepNext/>
        <w:spacing w:after="120" w:before="300"/>
      </w:pPr>
      <w:r>
        <w:rPr>
          <w:b/>
          <w:bCs/>
          <w:color w:val="1E2761"/>
          <w:sz w:val="25"/>
          <w:szCs w:val="25"/>
        </w:rPr>
        <w:t xml:space="preserve">3.4  The Level columns are the structure</w:t>
      </w:r>
    </w:p>
    <w:p>
      <w:pPr>
        <w:spacing w:after="120" w:line="276"/>
      </w:pPr>
      <w:r>
        <w:rPr>
          <w:color w:val="000000"/>
          <w:sz w:val="21"/>
          <w:szCs w:val="21"/>
        </w:rPr>
        <w:t xml:space="preserve">Nesting is expressed by which Level column holds the name, and by nothing else. Indentation inside a cell, a merged cell, and the visual left edge of the text all carry no meaning. A name in </w:t>
      </w:r>
      <w:r>
        <w:rPr>
          <w:rFonts w:ascii="Consolas" w:cs="Consolas" w:eastAsia="Consolas" w:hAnsi="Consolas"/>
          <w:color w:val="1E2761"/>
          <w:sz w:val="19"/>
          <w:szCs w:val="19"/>
        </w:rPr>
        <w:t xml:space="preserve">Level 3</w:t>
      </w:r>
      <w:r>
        <w:rPr>
          <w:color w:val="000000"/>
          <w:sz w:val="21"/>
          <w:szCs w:val="21"/>
        </w:rPr>
        <w:t xml:space="preserve"> belongs to the nearest row above it that has a name in </w:t>
      </w:r>
      <w:r>
        <w:rPr>
          <w:rFonts w:ascii="Consolas" w:cs="Consolas" w:eastAsia="Consolas" w:hAnsi="Consolas"/>
          <w:color w:val="1E2761"/>
          <w:sz w:val="19"/>
          <w:szCs w:val="19"/>
        </w:rPr>
        <w:t xml:space="preserve">Level 2</w:t>
      </w:r>
      <w:r>
        <w:rPr>
          <w:color w:val="000000"/>
          <w:sz w:val="21"/>
          <w:szCs w:val="21"/>
        </w:rPr>
        <w:t xml:space="preserve">.</w:t>
      </w:r>
    </w:p>
    <w:p>
      <w:pPr>
        <w:spacing w:after="120" w:line="276"/>
      </w:pPr>
      <w:r>
        <w:rPr>
          <w:color w:val="000000"/>
          <w:sz w:val="21"/>
          <w:szCs w:val="21"/>
        </w:rPr>
        <w:t xml:space="preserve">A row may be at most one Level deeper than the row above it. Each section carries exactly one row at Level 1, and that row names the message schema.</w:t>
      </w:r>
    </w:p>
    <w:p>
      <w:pPr>
        <w:pStyle w:val="Heading2"/>
        <w:keepNext/>
        <w:spacing w:after="120" w:before="300"/>
      </w:pPr>
      <w:r>
        <w:rPr>
          <w:b/>
          <w:bCs/>
          <w:color w:val="1E2761"/>
          <w:sz w:val="25"/>
          <w:szCs w:val="25"/>
        </w:rPr>
        <w:t xml:space="preserve">3.5  The SOR columns and what an empty cell means</w:t>
      </w:r>
    </w:p>
    <w:p>
      <w:pPr>
        <w:spacing w:after="120" w:line="276"/>
      </w:pPr>
      <w:r>
        <w:rPr>
          <w:color w:val="000000"/>
          <w:sz w:val="21"/>
          <w:szCs w:val="21"/>
        </w:rPr>
        <w:t xml:space="preserve">A cell in an SOR column names the field in that System of Record endpoint which feeds the row's attribute. </w:t>
      </w:r>
      <w:r>
        <w:rPr>
          <w:b/>
          <w:bCs/>
          <w:color w:val="000000"/>
          <w:sz w:val="21"/>
          <w:szCs w:val="21"/>
        </w:rPr>
        <w:t xml:space="preserve">An empty cell is a statement: that endpoint does not supply this attribute.</w:t>
      </w:r>
      <w:r>
        <w:rPr>
          <w:color w:val="000000"/>
          <w:sz w:val="21"/>
          <w:szCs w:val="21"/>
        </w:rPr>
        <w:t xml:space="preserve"> That is the mechanism by which the interface shrinks, so an empty cell is never an omission to be tidied up later. It is the answer.</w:t>
      </w:r>
    </w:p>
    <w:p>
      <w:pPr>
        <w:spacing w:after="120" w:line="276"/>
      </w:pPr>
      <w:r>
        <w:rPr>
          <w:color w:val="000000"/>
          <w:sz w:val="21"/>
          <w:szCs w:val="21"/>
        </w:rPr>
        <w:t xml:space="preserve">A cell may name the field in whatever shape the analyst has it: a bare name, a dotted path of any depth, several names separated by spaces where more than one field feeds the element, or several separated by commas where any one of them will do. All of these are understood.</w:t>
      </w:r>
    </w:p>
    <w:p>
      <w:pPr>
        <w:pStyle w:val="Heading2"/>
        <w:keepNext/>
        <w:spacing w:after="120" w:before="300"/>
      </w:pPr>
      <w:r>
        <w:rPr>
          <w:b/>
          <w:bCs/>
          <w:color w:val="1E2761"/>
          <w:sz w:val="25"/>
          <w:szCs w:val="25"/>
        </w:rPr>
        <w:t xml:space="preserve">3.6  Only Request Body and Response Body are read</w:t>
      </w:r>
    </w:p>
    <w:p>
      <w:pPr>
        <w:spacing w:after="120" w:line="276"/>
      </w:pPr>
      <w:r>
        <w:rPr>
          <w:color w:val="000000"/>
          <w:sz w:val="21"/>
          <w:szCs w:val="21"/>
        </w:rPr>
        <w:t xml:space="preserve">Two section labels are recognised: </w:t>
      </w:r>
      <w:r>
        <w:rPr>
          <w:rFonts w:ascii="Consolas" w:cs="Consolas" w:eastAsia="Consolas" w:hAnsi="Consolas"/>
          <w:color w:val="1E2761"/>
          <w:sz w:val="19"/>
          <w:szCs w:val="19"/>
        </w:rPr>
        <w:t xml:space="preserve">Request Body</w:t>
      </w:r>
      <w:r>
        <w:rPr>
          <w:color w:val="000000"/>
          <w:sz w:val="21"/>
          <w:szCs w:val="21"/>
        </w:rPr>
        <w:t xml:space="preserve"> and </w:t>
      </w:r>
      <w:r>
        <w:rPr>
          <w:rFonts w:ascii="Consolas" w:cs="Consolas" w:eastAsia="Consolas" w:hAnsi="Consolas"/>
          <w:color w:val="1E2761"/>
          <w:sz w:val="19"/>
          <w:szCs w:val="19"/>
        </w:rPr>
        <w:t xml:space="preserve">Response Body</w:t>
      </w:r>
      <w:r>
        <w:rPr>
          <w:color w:val="000000"/>
          <w:sz w:val="21"/>
          <w:szCs w:val="21"/>
        </w:rPr>
        <w:t xml:space="preserve">. A section labelled </w:t>
      </w:r>
      <w:r>
        <w:rPr>
          <w:rFonts w:ascii="Consolas" w:cs="Consolas" w:eastAsia="Consolas" w:hAnsi="Consolas"/>
          <w:color w:val="1E2761"/>
          <w:sz w:val="19"/>
          <w:szCs w:val="19"/>
        </w:rPr>
        <w:t xml:space="preserve">Request Header</w:t>
      </w:r>
      <w:r>
        <w:rPr>
          <w:color w:val="000000"/>
          <w:sz w:val="21"/>
          <w:szCs w:val="21"/>
        </w:rPr>
        <w:t xml:space="preserve">, </w:t>
      </w:r>
      <w:r>
        <w:rPr>
          <w:rFonts w:ascii="Consolas" w:cs="Consolas" w:eastAsia="Consolas" w:hAnsi="Consolas"/>
          <w:color w:val="1E2761"/>
          <w:sz w:val="19"/>
          <w:szCs w:val="19"/>
        </w:rPr>
        <w:t xml:space="preserve">Response Header</w:t>
      </w:r>
      <w:r>
        <w:rPr>
          <w:color w:val="000000"/>
          <w:sz w:val="21"/>
          <w:szCs w:val="21"/>
        </w:rPr>
        <w:t xml:space="preserve"> or anything about parameters is skipped, deliberately, so that a pasted header table cannot be mistaken for payload. This rule matters more than it first appears, because a schema written under the wrong label is invisible rather than wrong. Section 9.1 covers what that looks like when it happens.</w:t>
      </w:r>
    </w:p>
    <w:p>
      <w:pPr>
        <w:spacing w:after="120" w:line="276"/>
      </w:pPr>
      <w:r>
        <w:rPr>
          <w:color w:val="000000"/>
          <w:sz w:val="21"/>
          <w:szCs w:val="21"/>
        </w:rPr>
        <w:t xml:space="preserve">A section label must be present even when the message carries nothing. An empty </w:t>
      </w:r>
      <w:r>
        <w:rPr>
          <w:rFonts w:ascii="Consolas" w:cs="Consolas" w:eastAsia="Consolas" w:hAnsi="Consolas"/>
          <w:color w:val="1E2761"/>
          <w:sz w:val="19"/>
          <w:szCs w:val="19"/>
        </w:rPr>
        <w:t xml:space="preserve">Request Body</w:t>
      </w:r>
      <w:r>
        <w:rPr>
          <w:color w:val="000000"/>
          <w:sz w:val="21"/>
          <w:szCs w:val="21"/>
        </w:rPr>
        <w:t xml:space="preserve"> publishes no request body and the operation keeps its natural verb; an empty </w:t>
      </w:r>
      <w:r>
        <w:rPr>
          <w:rFonts w:ascii="Consolas" w:cs="Consolas" w:eastAsia="Consolas" w:hAnsi="Consolas"/>
          <w:color w:val="1E2761"/>
          <w:sz w:val="19"/>
          <w:szCs w:val="19"/>
        </w:rPr>
        <w:t xml:space="preserve">Response Body</w:t>
      </w:r>
      <w:r>
        <w:rPr>
          <w:color w:val="000000"/>
          <w:sz w:val="21"/>
          <w:szCs w:val="21"/>
        </w:rPr>
        <w:t xml:space="preserve"> publishes </w:t>
      </w:r>
      <w:r>
        <w:rPr>
          <w:rFonts w:ascii="Consolas" w:cs="Consolas" w:eastAsia="Consolas" w:hAnsi="Consolas"/>
          <w:color w:val="1E2761"/>
          <w:sz w:val="19"/>
          <w:szCs w:val="19"/>
        </w:rPr>
        <w:t xml:space="preserve">204 No Content</w:t>
      </w:r>
      <w:r>
        <w:rPr>
          <w:color w:val="000000"/>
          <w:sz w:val="21"/>
          <w:szCs w:val="21"/>
        </w:rPr>
        <w:t xml:space="preserve">. A missing label is a hard failure.</w:t>
      </w:r>
    </w:p>
    <w:p>
      <w:pPr>
        <w:pStyle w:val="Heading2"/>
        <w:keepNext/>
        <w:spacing w:after="120" w:before="300"/>
      </w:pPr>
      <w:r>
        <w:rPr>
          <w:b/>
          <w:bCs/>
          <w:color w:val="1E2761"/>
          <w:sz w:val="25"/>
          <w:szCs w:val="25"/>
        </w:rPr>
        <w:t xml:space="preserve">3.7  Where the grid ends, and support sheets</w:t>
      </w:r>
    </w:p>
    <w:p>
      <w:pPr>
        <w:spacing w:after="120" w:line="276"/>
      </w:pPr>
      <w:r>
        <w:rPr>
          <w:color w:val="000000"/>
          <w:sz w:val="21"/>
          <w:szCs w:val="21"/>
        </w:rPr>
        <w:t xml:space="preserve">Three or more consecutive blank rows end the mapping grid. Everything below that line is ignored, so pasted payload samples, working notes and earlier drafts may be kept there safely. A worksheet with no Level columns at all is treated as a support sheet and skipped without comment, which is how a sheet of reference material lives in the same workbook.</w:t>
      </w:r>
    </w:p>
    <w:p>
      <w:r>
        <w:br w:type="page"/>
      </w:r>
    </w:p>
    <w:p>
      <w:pPr>
        <w:pStyle w:val="Heading1"/>
        <w:pBdr>
          <w:bottom w:val="single" w:color="C6CBD4" w:sz="8" w:space="6"/>
        </w:pBdr>
        <w:spacing w:after="200" w:before="400"/>
      </w:pPr>
      <w:r>
        <w:rPr>
          <w:b/>
          <w:bCs/>
          <w:color w:val="1E2761"/>
          <w:sz w:val="32"/>
          <w:szCs w:val="32"/>
        </w:rPr>
        <w:t xml:space="preserve">4  How an element earns its place</w:t>
      </w:r>
    </w:p>
    <w:p>
      <w:pPr>
        <w:spacing w:after="120" w:line="276"/>
      </w:pPr>
      <w:r>
        <w:rPr>
          <w:color w:val="000000"/>
          <w:sz w:val="21"/>
          <w:szCs w:val="21"/>
        </w:rPr>
        <w:t xml:space="preserve">Every element the workbook declares is put to the same four questions, in order. The first answer that applies decides the outcome, and the outcome is recorded against the element in the showcase report.</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420"/>
        <w:gridCol w:w="3500"/>
        <w:gridCol w:w="2500"/>
        <w:gridCol w:w="2600"/>
      </w:tblGrid>
      <w:tr>
        <w:trPr>
          <w:tblHeader/>
        </w:trPr>
        <w:tc>
          <w:tcPr>
            <w:tcW w:type="dxa" w:w="420"/>
            <w:shd w:fill="1E2761" w:val="clear"/>
            <w:tcMar>
              <w:top w:type="dxa" w:w="70"/>
              <w:left w:type="dxa" w:w="110"/>
              <w:bottom w:type="dxa" w:w="70"/>
              <w:right w:type="dxa" w:w="110"/>
            </w:tcMar>
            <w:vAlign w:val="top"/>
          </w:tcPr>
          <w:p>
            <w:pPr>
              <w:spacing w:after="0" w:line="250"/>
            </w:pPr>
          </w:p>
        </w:tc>
        <w:tc>
          <w:tcPr>
            <w:tcW w:type="dxa" w:w="3500"/>
            <w:shd w:fill="1E2761" w:val="clear"/>
            <w:tcMar>
              <w:top w:type="dxa" w:w="70"/>
              <w:left w:type="dxa" w:w="110"/>
              <w:bottom w:type="dxa" w:w="70"/>
              <w:right w:type="dxa" w:w="110"/>
            </w:tcMar>
            <w:vAlign w:val="top"/>
          </w:tcPr>
          <w:p>
            <w:pPr>
              <w:spacing w:after="0" w:line="250"/>
            </w:pPr>
            <w:r>
              <w:rPr>
                <w:b/>
                <w:bCs/>
                <w:color w:val="FFFFFF"/>
                <w:sz w:val="18"/>
                <w:szCs w:val="18"/>
              </w:rPr>
              <w:t xml:space="preserve">Question</w:t>
            </w:r>
          </w:p>
        </w:tc>
        <w:tc>
          <w:tcPr>
            <w:tcW w:type="dxa" w:w="2500"/>
            <w:shd w:fill="1E2761" w:val="clear"/>
            <w:tcMar>
              <w:top w:type="dxa" w:w="70"/>
              <w:left w:type="dxa" w:w="110"/>
              <w:bottom w:type="dxa" w:w="70"/>
              <w:right w:type="dxa" w:w="110"/>
            </w:tcMar>
            <w:vAlign w:val="top"/>
          </w:tcPr>
          <w:p>
            <w:pPr>
              <w:spacing w:after="0" w:line="250"/>
            </w:pPr>
            <w:r>
              <w:rPr>
                <w:b/>
                <w:bCs/>
                <w:color w:val="FFFFFF"/>
                <w:sz w:val="18"/>
                <w:szCs w:val="18"/>
              </w:rPr>
              <w:t xml:space="preserve">If no</w:t>
            </w:r>
          </w:p>
        </w:tc>
        <w:tc>
          <w:tcPr>
            <w:tcW w:type="dxa" w:w="2600"/>
            <w:shd w:fill="1E2761" w:val="clear"/>
            <w:tcMar>
              <w:top w:type="dxa" w:w="70"/>
              <w:left w:type="dxa" w:w="110"/>
              <w:bottom w:type="dxa" w:w="70"/>
              <w:right w:type="dxa" w:w="110"/>
            </w:tcMar>
            <w:vAlign w:val="top"/>
          </w:tcPr>
          <w:p>
            <w:pPr>
              <w:spacing w:after="0" w:line="250"/>
            </w:pPr>
            <w:r>
              <w:rPr>
                <w:b/>
                <w:bCs/>
                <w:color w:val="FFFFFF"/>
                <w:sz w:val="18"/>
                <w:szCs w:val="18"/>
              </w:rPr>
              <w:t xml:space="preserve">Disposition</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1</w:t>
            </w:r>
          </w:p>
        </w:tc>
        <w:tc>
          <w:tcPr>
            <w:tcW w:type="dxa" w:w="3500"/>
            <w:tcMar>
              <w:top w:type="dxa" w:w="70"/>
              <w:left w:type="dxa" w:w="110"/>
              <w:bottom w:type="dxa" w:w="70"/>
              <w:right w:type="dxa" w:w="110"/>
            </w:tcMar>
            <w:vAlign w:val="top"/>
          </w:tcPr>
          <w:p>
            <w:pPr>
              <w:spacing w:after="0" w:line="250"/>
            </w:pPr>
            <w:r>
              <w:rPr>
                <w:color w:val="000000"/>
                <w:sz w:val="18"/>
                <w:szCs w:val="18"/>
              </w:rPr>
              <w:t xml:space="preserve">Does this row have children?</w:t>
            </w:r>
          </w:p>
        </w:tc>
        <w:tc>
          <w:tcPr>
            <w:tcW w:type="dxa" w:w="2500"/>
            <w:tcMar>
              <w:top w:type="dxa" w:w="70"/>
              <w:left w:type="dxa" w:w="110"/>
              <w:bottom w:type="dxa" w:w="70"/>
              <w:right w:type="dxa" w:w="110"/>
            </w:tcMar>
            <w:vAlign w:val="top"/>
          </w:tcPr>
          <w:p>
            <w:pPr>
              <w:spacing w:after="0" w:line="250"/>
            </w:pPr>
            <w:r>
              <w:rPr>
                <w:color w:val="000000"/>
                <w:sz w:val="18"/>
                <w:szCs w:val="18"/>
              </w:rPr>
              <w:t xml:space="preserve">Go to question 2</w:t>
            </w:r>
          </w:p>
        </w:tc>
        <w:tc>
          <w:tcPr>
            <w:tcW w:type="dxa" w:w="2600"/>
            <w:tcMar>
              <w:top w:type="dxa" w:w="70"/>
              <w:left w:type="dxa" w:w="110"/>
              <w:bottom w:type="dxa" w:w="70"/>
              <w:right w:type="dxa" w:w="110"/>
            </w:tcMar>
            <w:vAlign w:val="top"/>
          </w:tcPr>
          <w:p>
            <w:pPr>
              <w:spacing w:after="0" w:line="250"/>
            </w:pPr>
            <w:r>
              <w:rPr>
                <w:b/>
                <w:bCs/>
                <w:color w:val="000000"/>
                <w:sz w:val="18"/>
                <w:szCs w:val="18"/>
              </w:rPr>
              <w:t xml:space="preserve">Container</w:t>
            </w:r>
            <w:r>
              <w:rPr>
                <w:color w:val="000000"/>
                <w:sz w:val="18"/>
                <w:szCs w:val="18"/>
              </w:rPr>
              <w:t xml:space="preserve">: published if any descendant is published, otherwise removed with its subtree</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2</w:t>
            </w:r>
          </w:p>
        </w:tc>
        <w:tc>
          <w:tcPr>
            <w:tcW w:type="dxa" w:w="3500"/>
            <w:shd w:fill="F7F8FA" w:val="clear"/>
            <w:tcMar>
              <w:top w:type="dxa" w:w="70"/>
              <w:left w:type="dxa" w:w="110"/>
              <w:bottom w:type="dxa" w:w="70"/>
              <w:right w:type="dxa" w:w="110"/>
            </w:tcMar>
            <w:vAlign w:val="top"/>
          </w:tcPr>
          <w:p>
            <w:pPr>
              <w:spacing w:after="0" w:line="250"/>
            </w:pPr>
            <w:r>
              <w:rPr>
                <w:color w:val="000000"/>
                <w:sz w:val="18"/>
                <w:szCs w:val="18"/>
              </w:rPr>
              <w:t xml:space="preserve">Does the workbook name an SOR field for it, in the column for this variant?</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The element is removed</w:t>
            </w:r>
          </w:p>
        </w:tc>
        <w:tc>
          <w:tcPr>
            <w:tcW w:type="dxa" w:w="2600"/>
            <w:shd w:fill="F7F8FA" w:val="clear"/>
            <w:tcMar>
              <w:top w:type="dxa" w:w="70"/>
              <w:left w:type="dxa" w:w="110"/>
              <w:bottom w:type="dxa" w:w="70"/>
              <w:right w:type="dxa" w:w="110"/>
            </w:tcMar>
            <w:vAlign w:val="top"/>
          </w:tcPr>
          <w:p>
            <w:pPr>
              <w:spacing w:after="0" w:line="250"/>
            </w:pPr>
            <w:r>
              <w:rPr>
                <w:b/>
                <w:bCs/>
                <w:color w:val="000000"/>
                <w:sz w:val="18"/>
                <w:szCs w:val="18"/>
              </w:rPr>
              <w:t xml:space="preserve">No SOR field</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3</w:t>
            </w:r>
          </w:p>
        </w:tc>
        <w:tc>
          <w:tcPr>
            <w:tcW w:type="dxa" w:w="3500"/>
            <w:tcMar>
              <w:top w:type="dxa" w:w="70"/>
              <w:left w:type="dxa" w:w="110"/>
              <w:bottom w:type="dxa" w:w="70"/>
              <w:right w:type="dxa" w:w="110"/>
            </w:tcMar>
            <w:vAlign w:val="top"/>
          </w:tcPr>
          <w:p>
            <w:pPr>
              <w:spacing w:after="0" w:line="250"/>
            </w:pPr>
            <w:r>
              <w:rPr>
                <w:color w:val="000000"/>
                <w:sz w:val="18"/>
                <w:szCs w:val="18"/>
              </w:rPr>
              <w:t xml:space="preserve">If a System of Record specification was supplied, does that field exist in that endpoint's message?</w:t>
            </w:r>
          </w:p>
        </w:tc>
        <w:tc>
          <w:tcPr>
            <w:tcW w:type="dxa" w:w="2500"/>
            <w:tcMar>
              <w:top w:type="dxa" w:w="70"/>
              <w:left w:type="dxa" w:w="110"/>
              <w:bottom w:type="dxa" w:w="70"/>
              <w:right w:type="dxa" w:w="110"/>
            </w:tcMar>
            <w:vAlign w:val="top"/>
          </w:tcPr>
          <w:p>
            <w:pPr>
              <w:spacing w:after="0" w:line="250"/>
            </w:pPr>
            <w:r>
              <w:rPr>
                <w:color w:val="000000"/>
                <w:sz w:val="18"/>
                <w:szCs w:val="18"/>
              </w:rPr>
              <w:t xml:space="preserve">The element is removed</w:t>
            </w:r>
          </w:p>
        </w:tc>
        <w:tc>
          <w:tcPr>
            <w:tcW w:type="dxa" w:w="2600"/>
            <w:tcMar>
              <w:top w:type="dxa" w:w="70"/>
              <w:left w:type="dxa" w:w="110"/>
              <w:bottom w:type="dxa" w:w="70"/>
              <w:right w:type="dxa" w:w="110"/>
            </w:tcMar>
            <w:vAlign w:val="top"/>
          </w:tcPr>
          <w:p>
            <w:pPr>
              <w:spacing w:after="0" w:line="250"/>
            </w:pPr>
            <w:r>
              <w:rPr>
                <w:b/>
                <w:bCs/>
                <w:color w:val="000000"/>
                <w:sz w:val="18"/>
                <w:szCs w:val="18"/>
              </w:rPr>
              <w:t xml:space="preserve">Not in the SOR</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4</w:t>
            </w:r>
          </w:p>
        </w:tc>
        <w:tc>
          <w:tcPr>
            <w:tcW w:type="dxa" w:w="3500"/>
            <w:shd w:fill="F7F8FA" w:val="clear"/>
            <w:tcMar>
              <w:top w:type="dxa" w:w="70"/>
              <w:left w:type="dxa" w:w="110"/>
              <w:bottom w:type="dxa" w:w="70"/>
              <w:right w:type="dxa" w:w="110"/>
            </w:tcMar>
            <w:vAlign w:val="top"/>
          </w:tcPr>
          <w:p>
            <w:pPr>
              <w:spacing w:after="0" w:line="250"/>
            </w:pPr>
            <w:r>
              <w:rPr>
                <w:color w:val="000000"/>
                <w:sz w:val="18"/>
                <w:szCs w:val="18"/>
              </w:rPr>
              <w:t xml:space="preserve">Is it backed on every variant of this operation, or only some?</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It is published on the variants that support it</w:t>
            </w:r>
          </w:p>
        </w:tc>
        <w:tc>
          <w:tcPr>
            <w:tcW w:type="dxa" w:w="2600"/>
            <w:shd w:fill="F7F8FA" w:val="clear"/>
            <w:tcMar>
              <w:top w:type="dxa" w:w="70"/>
              <w:left w:type="dxa" w:w="110"/>
              <w:bottom w:type="dxa" w:w="70"/>
              <w:right w:type="dxa" w:w="110"/>
            </w:tcMar>
            <w:vAlign w:val="top"/>
          </w:tcPr>
          <w:p>
            <w:pPr>
              <w:spacing w:after="0" w:line="250"/>
            </w:pPr>
            <w:r>
              <w:rPr>
                <w:b/>
                <w:bCs/>
                <w:color w:val="000000"/>
                <w:sz w:val="18"/>
                <w:szCs w:val="18"/>
              </w:rPr>
              <w:t xml:space="preserve">Variant only</w:t>
            </w:r>
          </w:p>
        </w:tc>
      </w:tr>
    </w:tbl>
    <w:p>
      <w:pPr>
        <w:spacing w:after="120" w:line="276"/>
      </w:pPr>
      <w:r>
        <w:rPr>
          <w:color w:val="000000"/>
          <w:sz w:val="21"/>
          <w:szCs w:val="21"/>
        </w:rPr>
        <w:t xml:space="preserve">An element that passes all four is </w:t>
      </w:r>
      <w:r>
        <w:rPr>
          <w:b/>
          <w:bCs/>
          <w:color w:val="000000"/>
          <w:sz w:val="21"/>
          <w:szCs w:val="21"/>
        </w:rPr>
        <w:t xml:space="preserve">Published</w:t>
      </w:r>
      <w:r>
        <w:rPr>
          <w:color w:val="000000"/>
          <w:sz w:val="21"/>
          <w:szCs w:val="21"/>
        </w:rPr>
        <w:t xml:space="preserve">. A sixth disposition, </w:t>
      </w:r>
      <w:r>
        <w:rPr>
          <w:b/>
          <w:bCs/>
          <w:color w:val="000000"/>
          <w:sz w:val="21"/>
          <w:szCs w:val="21"/>
        </w:rPr>
        <w:t xml:space="preserve">LOST</w:t>
      </w:r>
      <w:r>
        <w:rPr>
          <w:color w:val="000000"/>
          <w:sz w:val="21"/>
          <w:szCs w:val="21"/>
        </w:rPr>
        <w:t xml:space="preserve">, is reserved for an element that was mapped, verified, and then failed to reach the interface anyway. It should always be zero, and the report is loud when it is not, because a silent loss is the one failure this tool must never have.</w:t>
      </w:r>
    </w:p>
    <w:p>
      <w:pPr>
        <w:pBdr>
          <w:left w:val="single" w:color="8A6D1F" w:sz="18" w:space="8"/>
        </w:pBdr>
        <w:shd w:fill="EEF1F6" w:val="clear"/>
        <w:spacing w:after="180" w:before="120" w:line="276"/>
        <w:ind w:left="120" w:right="120"/>
      </w:pPr>
      <w:r>
        <w:rPr>
          <w:b/>
          <w:bCs/>
          <w:color w:val="1E2761"/>
          <w:sz w:val="20"/>
          <w:szCs w:val="20"/>
        </w:rPr>
        <w:t xml:space="preserve">Read the disposition, not the count  </w:t>
      </w:r>
      <w:r>
        <w:rPr>
          <w:color w:val="000000"/>
          <w:sz w:val="20"/>
          <w:szCs w:val="20"/>
        </w:rPr>
        <w:t xml:space="preserve">A large number under </w:t>
      </w:r>
      <w:r>
        <w:rPr>
          <w:b/>
          <w:bCs/>
          <w:color w:val="000000"/>
          <w:sz w:val="20"/>
          <w:szCs w:val="20"/>
        </w:rPr>
        <w:t xml:space="preserve">No SOR field</w:t>
      </w:r>
      <w:r>
        <w:rPr>
          <w:color w:val="000000"/>
          <w:sz w:val="20"/>
          <w:szCs w:val="20"/>
        </w:rPr>
        <w:t xml:space="preserve"> is not a defect. On the reference workbook 139 of the 141 eliminated elements fall under it, and every one is an attribute the analyst correctly recorded as unsupported. The number to look at is </w:t>
      </w:r>
      <w:r>
        <w:rPr>
          <w:b/>
          <w:bCs/>
          <w:color w:val="000000"/>
          <w:sz w:val="20"/>
          <w:szCs w:val="20"/>
        </w:rPr>
        <w:t xml:space="preserve">Not in the SOR</w:t>
      </w:r>
      <w:r>
        <w:rPr>
          <w:color w:val="000000"/>
          <w:sz w:val="20"/>
          <w:szCs w:val="20"/>
        </w:rPr>
        <w:t xml:space="preserve">, because each of those is a field name the workbook asserts and the System of Record does not have.</w:t>
      </w:r>
    </w:p>
    <w:p>
      <w:pPr>
        <w:pStyle w:val="Heading2"/>
        <w:keepNext/>
        <w:spacing w:after="120" w:before="300"/>
      </w:pPr>
      <w:r>
        <w:rPr>
          <w:b/>
          <w:bCs/>
          <w:color w:val="1E2761"/>
          <w:sz w:val="25"/>
          <w:szCs w:val="25"/>
        </w:rPr>
        <w:t xml:space="preserve">4.1  Variants</w:t>
      </w:r>
    </w:p>
    <w:p>
      <w:pPr>
        <w:spacing w:after="120" w:line="276"/>
      </w:pPr>
      <w:r>
        <w:rPr>
          <w:color w:val="000000"/>
          <w:sz w:val="21"/>
          <w:szCs w:val="21"/>
        </w:rPr>
        <w:t xml:space="preserve">Where one business operation is served by several System of Record endpoints, the sheet carries several SOR columns and the shape of the interface follows the shape of the sheet.</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900"/>
        <w:gridCol w:w="3200"/>
        <w:gridCol w:w="4920"/>
      </w:tblGrid>
      <w:tr>
        <w:trPr>
          <w:tblHeader/>
        </w:trPr>
        <w:tc>
          <w:tcPr>
            <w:tcW w:type="dxa" w:w="900"/>
            <w:shd w:fill="1E2761" w:val="clear"/>
            <w:tcMar>
              <w:top w:type="dxa" w:w="70"/>
              <w:left w:type="dxa" w:w="110"/>
              <w:bottom w:type="dxa" w:w="70"/>
              <w:right w:type="dxa" w:w="110"/>
            </w:tcMar>
            <w:vAlign w:val="top"/>
          </w:tcPr>
          <w:p>
            <w:pPr>
              <w:spacing w:after="0" w:line="250"/>
            </w:pPr>
            <w:r>
              <w:rPr>
                <w:b/>
                <w:bCs/>
                <w:color w:val="FFFFFF"/>
                <w:sz w:val="19"/>
                <w:szCs w:val="19"/>
              </w:rPr>
              <w:t xml:space="preserve">Pattern</w:t>
            </w:r>
          </w:p>
        </w:tc>
        <w:tc>
          <w:tcPr>
            <w:tcW w:type="dxa" w:w="3200"/>
            <w:shd w:fill="1E2761" w:val="clear"/>
            <w:tcMar>
              <w:top w:type="dxa" w:w="70"/>
              <w:left w:type="dxa" w:w="110"/>
              <w:bottom w:type="dxa" w:w="70"/>
              <w:right w:type="dxa" w:w="110"/>
            </w:tcMar>
            <w:vAlign w:val="top"/>
          </w:tcPr>
          <w:p>
            <w:pPr>
              <w:spacing w:after="0" w:line="250"/>
            </w:pPr>
            <w:r>
              <w:rPr>
                <w:b/>
                <w:bCs/>
                <w:color w:val="FFFFFF"/>
                <w:sz w:val="19"/>
                <w:szCs w:val="19"/>
              </w:rPr>
              <w:t xml:space="preserve">The sheet has</w:t>
            </w:r>
          </w:p>
        </w:tc>
        <w:tc>
          <w:tcPr>
            <w:tcW w:type="dxa" w:w="4920"/>
            <w:shd w:fill="1E2761" w:val="clear"/>
            <w:tcMar>
              <w:top w:type="dxa" w:w="70"/>
              <w:left w:type="dxa" w:w="110"/>
              <w:bottom w:type="dxa" w:w="70"/>
              <w:right w:type="dxa" w:w="110"/>
            </w:tcMar>
            <w:vAlign w:val="top"/>
          </w:tcPr>
          <w:p>
            <w:pPr>
              <w:spacing w:after="0" w:line="250"/>
            </w:pPr>
            <w:r>
              <w:rPr>
                <w:b/>
                <w:bCs/>
                <w:color w:val="FFFFFF"/>
                <w:sz w:val="19"/>
                <w:szCs w:val="19"/>
              </w:rPr>
              <w:t xml:space="preserve">What is published</w:t>
            </w:r>
          </w:p>
        </w:tc>
      </w:tr>
      <w:tr>
        <w:trPr>
          <w:tblHeader w:val="false"/>
        </w:trPr>
        <w:tc>
          <w:tcPr>
            <w:tcW w:type="dxa" w:w="900"/>
            <w:tcMar>
              <w:top w:type="dxa" w:w="70"/>
              <w:left w:type="dxa" w:w="110"/>
              <w:bottom w:type="dxa" w:w="70"/>
              <w:right w:type="dxa" w:w="110"/>
            </w:tcMar>
            <w:vAlign w:val="top"/>
          </w:tcPr>
          <w:p>
            <w:pPr>
              <w:spacing w:after="0" w:line="250"/>
            </w:pPr>
            <w:r>
              <w:rPr>
                <w:color w:val="000000"/>
                <w:sz w:val="19"/>
                <w:szCs w:val="19"/>
              </w:rPr>
              <w:t xml:space="preserve">P1</w:t>
            </w:r>
          </w:p>
        </w:tc>
        <w:tc>
          <w:tcPr>
            <w:tcW w:type="dxa" w:w="3200"/>
            <w:tcMar>
              <w:top w:type="dxa" w:w="70"/>
              <w:left w:type="dxa" w:w="110"/>
              <w:bottom w:type="dxa" w:w="70"/>
              <w:right w:type="dxa" w:w="110"/>
            </w:tcMar>
            <w:vAlign w:val="top"/>
          </w:tcPr>
          <w:p>
            <w:pPr>
              <w:spacing w:after="0" w:line="250"/>
            </w:pPr>
            <w:r>
              <w:rPr>
                <w:color w:val="000000"/>
                <w:sz w:val="19"/>
                <w:szCs w:val="19"/>
              </w:rPr>
              <w:t xml:space="preserve">One SOR column</w:t>
            </w:r>
          </w:p>
        </w:tc>
        <w:tc>
          <w:tcPr>
            <w:tcW w:type="dxa" w:w="4920"/>
            <w:tcMar>
              <w:top w:type="dxa" w:w="70"/>
              <w:left w:type="dxa" w:w="110"/>
              <w:bottom w:type="dxa" w:w="70"/>
              <w:right w:type="dxa" w:w="110"/>
            </w:tcMar>
            <w:vAlign w:val="top"/>
          </w:tcPr>
          <w:p>
            <w:pPr>
              <w:spacing w:after="0" w:line="250"/>
            </w:pPr>
            <w:r>
              <w:rPr>
                <w:color w:val="000000"/>
                <w:sz w:val="19"/>
                <w:szCs w:val="19"/>
              </w:rPr>
              <w:t xml:space="preserve">One schema per message, pruned to what the System of Record supplies.</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9"/>
                <w:szCs w:val="19"/>
              </w:rPr>
              <w:t xml:space="preserve">P2</w:t>
            </w:r>
          </w:p>
        </w:tc>
        <w:tc>
          <w:tcPr>
            <w:tcW w:type="dxa" w:w="3200"/>
            <w:shd w:fill="F7F8FA" w:val="clear"/>
            <w:tcMar>
              <w:top w:type="dxa" w:w="70"/>
              <w:left w:type="dxa" w:w="110"/>
              <w:bottom w:type="dxa" w:w="70"/>
              <w:right w:type="dxa" w:w="110"/>
            </w:tcMar>
            <w:vAlign w:val="top"/>
          </w:tcPr>
          <w:p>
            <w:pPr>
              <w:spacing w:after="0" w:line="250"/>
            </w:pPr>
            <w:r>
              <w:rPr>
                <w:color w:val="000000"/>
                <w:sz w:val="19"/>
                <w:szCs w:val="19"/>
              </w:rPr>
              <w:t xml:space="preserve">Several SOR columns and a </w:t>
            </w:r>
            <w:r>
              <w:rPr>
                <w:rFonts w:ascii="Consolas" w:cs="Consolas" w:eastAsia="Consolas" w:hAnsi="Consolas"/>
                <w:color w:val="1E2761"/>
                <w:sz w:val="17"/>
                <w:szCs w:val="17"/>
              </w:rPr>
              <w:t xml:space="preserve">requestVariant</w:t>
            </w:r>
            <w:r>
              <w:rPr>
                <w:color w:val="000000"/>
                <w:sz w:val="19"/>
                <w:szCs w:val="19"/>
              </w:rPr>
              <w:t xml:space="preserve"> attribute whose description lists the variants, one per line</w:t>
            </w:r>
          </w:p>
        </w:tc>
        <w:tc>
          <w:tcPr>
            <w:tcW w:type="dxa" w:w="4920"/>
            <w:shd w:fill="F7F8FA" w:val="clear"/>
            <w:tcMar>
              <w:top w:type="dxa" w:w="70"/>
              <w:left w:type="dxa" w:w="110"/>
              <w:bottom w:type="dxa" w:w="70"/>
              <w:right w:type="dxa" w:w="110"/>
            </w:tcMar>
            <w:vAlign w:val="top"/>
          </w:tcPr>
          <w:p>
            <w:pPr>
              <w:spacing w:after="0" w:line="250"/>
            </w:pPr>
            <w:r>
              <w:rPr>
                <w:color w:val="000000"/>
                <w:sz w:val="19"/>
                <w:szCs w:val="19"/>
              </w:rPr>
              <w:t xml:space="preserve">A base schema holding what every variant shares, one derived schema per variant adding its own, and the request wrapped in </w:t>
            </w:r>
            <w:r>
              <w:rPr>
                <w:rFonts w:ascii="Consolas" w:cs="Consolas" w:eastAsia="Consolas" w:hAnsi="Consolas"/>
                <w:color w:val="1E2761"/>
                <w:sz w:val="17"/>
                <w:szCs w:val="17"/>
              </w:rPr>
              <w:t xml:space="preserve">oneOf</w:t>
            </w:r>
            <w:r>
              <w:rPr>
                <w:color w:val="000000"/>
                <w:sz w:val="19"/>
                <w:szCs w:val="19"/>
              </w:rPr>
              <w:t xml:space="preserve"> with </w:t>
            </w:r>
            <w:r>
              <w:rPr>
                <w:rFonts w:ascii="Consolas" w:cs="Consolas" w:eastAsia="Consolas" w:hAnsi="Consolas"/>
                <w:color w:val="1E2761"/>
                <w:sz w:val="17"/>
                <w:szCs w:val="17"/>
              </w:rPr>
              <w:t xml:space="preserve">discriminator: requestVariant</w:t>
            </w:r>
            <w:r>
              <w:rPr>
                <w:color w:val="000000"/>
                <w:sz w:val="19"/>
                <w:szCs w:val="19"/>
              </w:rPr>
              <w:t xml:space="preserve">.</w:t>
            </w:r>
          </w:p>
        </w:tc>
      </w:tr>
      <w:tr>
        <w:trPr>
          <w:tblHeader w:val="false"/>
        </w:trPr>
        <w:tc>
          <w:tcPr>
            <w:tcW w:type="dxa" w:w="900"/>
            <w:tcMar>
              <w:top w:type="dxa" w:w="70"/>
              <w:left w:type="dxa" w:w="110"/>
              <w:bottom w:type="dxa" w:w="70"/>
              <w:right w:type="dxa" w:w="110"/>
            </w:tcMar>
            <w:vAlign w:val="top"/>
          </w:tcPr>
          <w:p>
            <w:pPr>
              <w:spacing w:after="0" w:line="250"/>
            </w:pPr>
            <w:r>
              <w:rPr>
                <w:color w:val="000000"/>
                <w:sz w:val="19"/>
                <w:szCs w:val="19"/>
              </w:rPr>
              <w:t xml:space="preserve">P3</w:t>
            </w:r>
          </w:p>
        </w:tc>
        <w:tc>
          <w:tcPr>
            <w:tcW w:type="dxa" w:w="3200"/>
            <w:tcMar>
              <w:top w:type="dxa" w:w="70"/>
              <w:left w:type="dxa" w:w="110"/>
              <w:bottom w:type="dxa" w:w="70"/>
              <w:right w:type="dxa" w:w="110"/>
            </w:tcMar>
            <w:vAlign w:val="top"/>
          </w:tcPr>
          <w:p>
            <w:pPr>
              <w:spacing w:after="0" w:line="250"/>
            </w:pPr>
            <w:r>
              <w:rPr>
                <w:color w:val="000000"/>
                <w:sz w:val="19"/>
                <w:szCs w:val="19"/>
              </w:rPr>
              <w:t xml:space="preserve">Several SOR columns and no variant tag</w:t>
            </w:r>
          </w:p>
        </w:tc>
        <w:tc>
          <w:tcPr>
            <w:tcW w:type="dxa" w:w="492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oneOf</w:t>
            </w:r>
            <w:r>
              <w:rPr>
                <w:color w:val="000000"/>
                <w:sz w:val="19"/>
                <w:szCs w:val="19"/>
              </w:rPr>
              <w:t xml:space="preserve"> without a discriminator. This arises where the endpoint is chosen by which identifier the caller supplies rather than by a value the client sets.</w:t>
            </w:r>
          </w:p>
        </w:tc>
      </w:tr>
    </w:tbl>
    <w:p>
      <w:pPr>
        <w:spacing w:after="120" w:line="276"/>
      </w:pPr>
      <w:r>
        <w:rPr>
          <w:color w:val="000000"/>
          <w:sz w:val="21"/>
          <w:szCs w:val="21"/>
        </w:rPr>
        <w:t xml:space="preserve">In P2 the </w:t>
      </w:r>
      <w:r>
        <w:rPr>
          <w:rFonts w:ascii="Consolas" w:cs="Consolas" w:eastAsia="Consolas" w:hAnsi="Consolas"/>
          <w:color w:val="1E2761"/>
          <w:sz w:val="19"/>
          <w:szCs w:val="19"/>
        </w:rPr>
        <w:t xml:space="preserve">requestVariant</w:t>
      </w:r>
      <w:r>
        <w:rPr>
          <w:color w:val="000000"/>
          <w:sz w:val="21"/>
          <w:szCs w:val="21"/>
        </w:rPr>
        <w:t xml:space="preserve"> attribute is published and made mandatory whatever the SOR columns say, because the API layer consumes it rather than the System of Record, and each variant narrows its enumeration to the single code that selects it. The response is a </w:t>
      </w:r>
      <w:r>
        <w:rPr>
          <w:rFonts w:ascii="Consolas" w:cs="Consolas" w:eastAsia="Consolas" w:hAnsi="Consolas"/>
          <w:color w:val="1E2761"/>
          <w:sz w:val="19"/>
          <w:szCs w:val="19"/>
        </w:rPr>
        <w:t xml:space="preserve">oneOf</w:t>
      </w:r>
      <w:r>
        <w:rPr>
          <w:color w:val="000000"/>
          <w:sz w:val="21"/>
          <w:szCs w:val="21"/>
        </w:rPr>
        <w:t xml:space="preserve"> without a discriminator, annotated </w:t>
      </w:r>
      <w:r>
        <w:rPr>
          <w:rFonts w:ascii="Consolas" w:cs="Consolas" w:eastAsia="Consolas" w:hAnsi="Consolas"/>
          <w:color w:val="1E2761"/>
          <w:sz w:val="19"/>
          <w:szCs w:val="19"/>
        </w:rPr>
        <w:t xml:space="preserve">x-selected-by: requestVariant</w:t>
      </w:r>
      <w:r>
        <w:rPr>
          <w:color w:val="000000"/>
          <w:sz w:val="21"/>
          <w:szCs w:val="21"/>
        </w:rPr>
        <w:t xml:space="preserve">, because OpenAPI cannot express a response subtype chosen by a request property and inventing a response tag would misdescribe the payload.</w:t>
      </w:r>
    </w:p>
    <w:p>
      <w:r>
        <w:br w:type="page"/>
      </w:r>
    </w:p>
    <w:p>
      <w:pPr>
        <w:pStyle w:val="Heading1"/>
        <w:pBdr>
          <w:bottom w:val="single" w:color="C6CBD4" w:sz="8" w:space="6"/>
        </w:pBdr>
        <w:spacing w:after="200" w:before="400"/>
      </w:pPr>
      <w:r>
        <w:rPr>
          <w:b/>
          <w:bCs/>
          <w:color w:val="1E2761"/>
          <w:sz w:val="32"/>
          <w:szCs w:val="32"/>
        </w:rPr>
        <w:t xml:space="preserve">5  Verification against the System of Record</w:t>
      </w:r>
    </w:p>
    <w:p>
      <w:pPr>
        <w:pStyle w:val="Heading2"/>
        <w:keepNext/>
        <w:spacing w:after="120" w:before="300"/>
      </w:pPr>
      <w:r>
        <w:rPr>
          <w:b/>
          <w:bCs/>
          <w:color w:val="1E2761"/>
          <w:sz w:val="25"/>
          <w:szCs w:val="25"/>
        </w:rPr>
        <w:t xml:space="preserve">5.1  Why the workbook alone is not evidence</w:t>
      </w:r>
    </w:p>
    <w:p>
      <w:pPr>
        <w:spacing w:after="120" w:line="276"/>
      </w:pPr>
      <w:r>
        <w:rPr>
          <w:color w:val="000000"/>
          <w:sz w:val="21"/>
          <w:szCs w:val="21"/>
        </w:rPr>
        <w:t xml:space="preserve">A field name written in an SOR column is an assertion by the analyst that the System of Record supplies that field. A typo, a name copied from a payload sample, a field renamed between releases and a mapping that was correct two years ago all look exactly like a sound mapping. Each of them publishes an attribute with nothing behind it, which is the defect this tool exists to remove.</w:t>
      </w:r>
    </w:p>
    <w:p>
      <w:pPr>
        <w:spacing w:after="120" w:line="276"/>
      </w:pPr>
      <w:r>
        <w:rPr>
          <w:color w:val="000000"/>
          <w:sz w:val="21"/>
          <w:szCs w:val="21"/>
        </w:rPr>
        <w:t xml:space="preserve">Supplying the System of Record specification turns the assertion into evidence. It is optional, and every report says prominently which of the two situations it describes.</w:t>
      </w:r>
    </w:p>
    <w:p>
      <w:pPr>
        <w:pStyle w:val="Heading2"/>
        <w:keepNext/>
        <w:spacing w:after="120" w:before="300"/>
      </w:pPr>
      <w:r>
        <w:rPr>
          <w:b/>
          <w:bCs/>
          <w:color w:val="1E2761"/>
          <w:sz w:val="25"/>
          <w:szCs w:val="25"/>
        </w:rPr>
        <w:t xml:space="preserve">5.2  Supplying it</w:t>
      </w:r>
    </w:p>
    <w:p>
      <w:pPr>
        <w:shd w:fill="F4F5F7" w:val="clear"/>
        <w:spacing w:after="0" w:before="60" w:line="240"/>
        <w:ind w:left="180" w:right="180"/>
      </w:pPr>
      <w:r>
        <w:rPr>
          <w:rFonts w:ascii="Consolas" w:cs="Consolas" w:eastAsia="Consolas" w:hAnsi="Consolas"/>
          <w:color w:val="22303F"/>
          <w:sz w:val="17"/>
          <w:szCs w:val="17"/>
        </w:rPr>
        <w:t xml:space="preserve">python polymorphize_cli.py generate book.xlsx ./out --sor sor_api.yaml</w:t>
      </w:r>
    </w:p>
    <w:p>
      <w:pPr>
        <w:shd w:fill="F4F5F7" w:val="clear"/>
        <w:spacing w:after="0" w:before="0" w:line="240"/>
        <w:ind w:left="180" w:right="180"/>
      </w:pPr>
      <w:r>
        <w:rPr>
          <w:rFonts w:ascii="Consolas" w:cs="Consolas" w:eastAsia="Consolas" w:hAnsi="Consolas"/>
          <w:color w:val="22303F"/>
          <w:sz w:val="17"/>
          <w:szCs w:val="17"/>
        </w:rPr>
        <w:t xml:space="preserve">python polymorphize_cli.py generate book.xlsx ./out --sor ./sor_specs/</w:t>
      </w:r>
    </w:p>
    <w:p>
      <w:pPr>
        <w:shd w:fill="F4F5F7" w:val="clear"/>
        <w:spacing w:after="160" w:before="0" w:line="240"/>
        <w:ind w:left="180" w:right="180"/>
      </w:pPr>
      <w:r>
        <w:rPr>
          <w:rFonts w:ascii="Consolas" w:cs="Consolas" w:eastAsia="Consolas" w:hAnsi="Consolas"/>
          <w:color w:val="22303F"/>
          <w:sz w:val="17"/>
          <w:szCs w:val="17"/>
        </w:rPr>
        <w:t xml:space="preserve">python polymorphize_cli.py check    book.xlsx --sor a.yaml --sor b.yaml</w:t>
      </w:r>
    </w:p>
    <w:p>
      <w:pPr>
        <w:spacing w:after="120" w:line="276"/>
      </w:pPr>
      <w:r>
        <w:rPr>
          <w:color w:val="000000"/>
          <w:sz w:val="21"/>
          <w:szCs w:val="21"/>
        </w:rPr>
        <w:t xml:space="preserve">The flag takes a file or a folder and may be repeated, because a workbook spanning several System of Record products normally needs several specifications. In the window, the same list is built by dropping files onto the second field, where a drop adds to the list rather than replacing it.</w:t>
      </w:r>
    </w:p>
    <w:p>
      <w:pPr>
        <w:pStyle w:val="Heading2"/>
        <w:keepNext/>
        <w:spacing w:after="120" w:before="300"/>
      </w:pPr>
      <w:r>
        <w:rPr>
          <w:b/>
          <w:bCs/>
          <w:color w:val="1E2761"/>
          <w:sz w:val="25"/>
          <w:szCs w:val="25"/>
        </w:rPr>
        <w:t xml:space="preserve">5.3  The matching rules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000"/>
        <w:gridCol w:w="7020"/>
      </w:tblGrid>
      <w:tr>
        <w:trPr>
          <w:tblHeader/>
        </w:trPr>
        <w:tc>
          <w:tcPr>
            <w:tcW w:type="dxa" w:w="2000"/>
            <w:shd w:fill="1E2761" w:val="clear"/>
            <w:tcMar>
              <w:top w:type="dxa" w:w="70"/>
              <w:left w:type="dxa" w:w="110"/>
              <w:bottom w:type="dxa" w:w="70"/>
              <w:right w:type="dxa" w:w="110"/>
            </w:tcMar>
            <w:vAlign w:val="top"/>
          </w:tcPr>
          <w:p>
            <w:pPr>
              <w:spacing w:after="0" w:line="250"/>
            </w:pPr>
            <w:r>
              <w:rPr>
                <w:b/>
                <w:bCs/>
                <w:color w:val="FFFFFF"/>
                <w:sz w:val="19"/>
                <w:szCs w:val="19"/>
              </w:rPr>
              <w:t xml:space="preserve">Rule</w:t>
            </w:r>
          </w:p>
        </w:tc>
        <w:tc>
          <w:tcPr>
            <w:tcW w:type="dxa" w:w="7020"/>
            <w:shd w:fill="1E2761" w:val="clear"/>
            <w:tcMar>
              <w:top w:type="dxa" w:w="70"/>
              <w:left w:type="dxa" w:w="110"/>
              <w:bottom w:type="dxa" w:w="70"/>
              <w:right w:type="dxa" w:w="110"/>
            </w:tcMar>
            <w:vAlign w:val="top"/>
          </w:tcPr>
          <w:p>
            <w:pPr>
              <w:spacing w:after="0" w:line="250"/>
            </w:pPr>
            <w:r>
              <w:rPr>
                <w:b/>
                <w:bCs/>
                <w:color w:val="FFFFFF"/>
                <w:sz w:val="19"/>
                <w:szCs w:val="19"/>
              </w:rPr>
              <w:t xml:space="preserve">How it works</w:t>
            </w:r>
          </w:p>
        </w:tc>
      </w:tr>
      <w:tr>
        <w:trPr>
          <w:tblHeader w:val="false"/>
        </w:trPr>
        <w:tc>
          <w:tcPr>
            <w:tcW w:type="dxa" w:w="2000"/>
            <w:tcMar>
              <w:top w:type="dxa" w:w="70"/>
              <w:left w:type="dxa" w:w="110"/>
              <w:bottom w:type="dxa" w:w="70"/>
              <w:right w:type="dxa" w:w="110"/>
            </w:tcMar>
            <w:vAlign w:val="top"/>
          </w:tcPr>
          <w:p>
            <w:pPr>
              <w:spacing w:after="0" w:line="250"/>
            </w:pPr>
            <w:r>
              <w:rPr>
                <w:color w:val="000000"/>
                <w:sz w:val="19"/>
                <w:szCs w:val="19"/>
              </w:rPr>
              <w:t xml:space="preserve">Which endpoint</w:t>
            </w:r>
          </w:p>
        </w:tc>
        <w:tc>
          <w:tcPr>
            <w:tcW w:type="dxa" w:w="7020"/>
            <w:tcMar>
              <w:top w:type="dxa" w:w="70"/>
              <w:left w:type="dxa" w:w="110"/>
              <w:bottom w:type="dxa" w:w="70"/>
              <w:right w:type="dxa" w:w="110"/>
            </w:tcMar>
            <w:vAlign w:val="top"/>
          </w:tcPr>
          <w:p>
            <w:pPr>
              <w:spacing w:after="0" w:line="250"/>
            </w:pPr>
            <w:r>
              <w:rPr>
                <w:color w:val="000000"/>
                <w:sz w:val="19"/>
                <w:szCs w:val="19"/>
              </w:rPr>
              <w:t xml:space="preserve">The </w:t>
            </w:r>
            <w:r>
              <w:rPr>
                <w:rFonts w:ascii="Consolas" w:cs="Consolas" w:eastAsia="Consolas" w:hAnsi="Consolas"/>
                <w:color w:val="1E2761"/>
                <w:sz w:val="17"/>
                <w:szCs w:val="17"/>
              </w:rPr>
              <w:t xml:space="preserve">SOR API Endpoint</w:t>
            </w:r>
            <w:r>
              <w:rPr>
                <w:color w:val="000000"/>
                <w:sz w:val="19"/>
                <w:szCs w:val="19"/>
              </w:rPr>
              <w:t xml:space="preserve"> banner cell, and only that cell. Written in any form: with or without a method, with or without a leading slash, with a path parameter of any name. All of it is folded away, so </w:t>
            </w:r>
            <w:r>
              <w:rPr>
                <w:rFonts w:ascii="Consolas" w:cs="Consolas" w:eastAsia="Consolas" w:hAnsi="Consolas"/>
                <w:color w:val="1E2761"/>
                <w:sz w:val="17"/>
                <w:szCs w:val="17"/>
              </w:rPr>
              <w:t xml:space="preserve">{cardNumber}</w:t>
            </w:r>
            <w:r>
              <w:rPr>
                <w:color w:val="000000"/>
                <w:sz w:val="19"/>
                <w:szCs w:val="19"/>
              </w:rPr>
              <w:t xml:space="preserve"> matches whatever the System of Record calls that parameter.</w:t>
            </w:r>
          </w:p>
        </w:tc>
      </w:tr>
      <w:tr>
        <w:trPr>
          <w:tblHeader w:val="false"/>
        </w:trPr>
        <w:tc>
          <w:tcPr>
            <w:tcW w:type="dxa" w:w="2000"/>
            <w:shd w:fill="F7F8FA" w:val="clear"/>
            <w:tcMar>
              <w:top w:type="dxa" w:w="70"/>
              <w:left w:type="dxa" w:w="110"/>
              <w:bottom w:type="dxa" w:w="70"/>
              <w:right w:type="dxa" w:w="110"/>
            </w:tcMar>
            <w:vAlign w:val="top"/>
          </w:tcPr>
          <w:p>
            <w:pPr>
              <w:spacing w:after="0" w:line="250"/>
            </w:pPr>
            <w:r>
              <w:rPr>
                <w:color w:val="000000"/>
                <w:sz w:val="19"/>
                <w:szCs w:val="19"/>
              </w:rPr>
              <w:t xml:space="preserve">Which message</w:t>
            </w:r>
          </w:p>
        </w:tc>
        <w:tc>
          <w:tcPr>
            <w:tcW w:type="dxa" w:w="7020"/>
            <w:shd w:fill="F7F8FA" w:val="clear"/>
            <w:tcMar>
              <w:top w:type="dxa" w:w="70"/>
              <w:left w:type="dxa" w:w="110"/>
              <w:bottom w:type="dxa" w:w="70"/>
              <w:right w:type="dxa" w:w="110"/>
            </w:tcMar>
            <w:vAlign w:val="top"/>
          </w:tcPr>
          <w:p>
            <w:pPr>
              <w:spacing w:after="0" w:line="250"/>
            </w:pPr>
            <w:r>
              <w:rPr>
                <w:color w:val="000000"/>
                <w:sz w:val="19"/>
                <w:szCs w:val="19"/>
              </w:rPr>
              <w:t xml:space="preserve">A </w:t>
            </w:r>
            <w:r>
              <w:rPr>
                <w:rFonts w:ascii="Consolas" w:cs="Consolas" w:eastAsia="Consolas" w:hAnsi="Consolas"/>
                <w:color w:val="1E2761"/>
                <w:sz w:val="17"/>
                <w:szCs w:val="17"/>
              </w:rPr>
              <w:t xml:space="preserve">Request Body</w:t>
            </w:r>
            <w:r>
              <w:rPr>
                <w:color w:val="000000"/>
                <w:sz w:val="19"/>
                <w:szCs w:val="19"/>
              </w:rPr>
              <w:t xml:space="preserve"> row is looked up in the endpoint's request, meaning its body for POST and PUT or its parameters for GET and DELETE. A </w:t>
            </w:r>
            <w:r>
              <w:rPr>
                <w:rFonts w:ascii="Consolas" w:cs="Consolas" w:eastAsia="Consolas" w:hAnsi="Consolas"/>
                <w:color w:val="1E2761"/>
                <w:sz w:val="17"/>
                <w:szCs w:val="17"/>
              </w:rPr>
              <w:t xml:space="preserve">Response Body</w:t>
            </w:r>
            <w:r>
              <w:rPr>
                <w:color w:val="000000"/>
                <w:sz w:val="19"/>
                <w:szCs w:val="19"/>
              </w:rPr>
              <w:t xml:space="preserve"> row is looked up in its response.</w:t>
            </w:r>
          </w:p>
        </w:tc>
      </w:tr>
      <w:tr>
        <w:trPr>
          <w:tblHeader w:val="false"/>
        </w:trPr>
        <w:tc>
          <w:tcPr>
            <w:tcW w:type="dxa" w:w="2000"/>
            <w:tcMar>
              <w:top w:type="dxa" w:w="70"/>
              <w:left w:type="dxa" w:w="110"/>
              <w:bottom w:type="dxa" w:w="70"/>
              <w:right w:type="dxa" w:w="110"/>
            </w:tcMar>
            <w:vAlign w:val="top"/>
          </w:tcPr>
          <w:p>
            <w:pPr>
              <w:spacing w:after="0" w:line="250"/>
            </w:pPr>
            <w:r>
              <w:rPr>
                <w:color w:val="000000"/>
                <w:sz w:val="19"/>
                <w:szCs w:val="19"/>
              </w:rPr>
              <w:t xml:space="preserve">Which field</w:t>
            </w:r>
          </w:p>
        </w:tc>
        <w:tc>
          <w:tcPr>
            <w:tcW w:type="dxa" w:w="7020"/>
            <w:tcMar>
              <w:top w:type="dxa" w:w="70"/>
              <w:left w:type="dxa" w:w="110"/>
              <w:bottom w:type="dxa" w:w="70"/>
              <w:right w:type="dxa" w:w="110"/>
            </w:tcMar>
            <w:vAlign w:val="top"/>
          </w:tcPr>
          <w:p>
            <w:pPr>
              <w:spacing w:after="0" w:line="250"/>
            </w:pPr>
            <w:r>
              <w:rPr>
                <w:color w:val="000000"/>
                <w:sz w:val="19"/>
                <w:szCs w:val="19"/>
              </w:rPr>
              <w:t xml:space="preserve">The </w:t>
            </w:r>
            <w:r>
              <w:rPr>
                <w:b/>
                <w:bCs/>
                <w:color w:val="000000"/>
                <w:sz w:val="19"/>
                <w:szCs w:val="19"/>
              </w:rPr>
              <w:t xml:space="preserve">last segment</w:t>
            </w:r>
            <w:r>
              <w:rPr>
                <w:color w:val="000000"/>
                <w:sz w:val="19"/>
                <w:szCs w:val="19"/>
              </w:rPr>
              <w:t xml:space="preserve"> of the name, so </w:t>
            </w:r>
            <w:r>
              <w:rPr>
                <w:rFonts w:ascii="Consolas" w:cs="Consolas" w:eastAsia="Consolas" w:hAnsi="Consolas"/>
                <w:color w:val="1E2761"/>
                <w:sz w:val="17"/>
                <w:szCs w:val="17"/>
              </w:rPr>
              <w:t xml:space="preserve">accountInfo.currency</w:t>
            </w:r>
            <w:r>
              <w:rPr>
                <w:color w:val="000000"/>
                <w:sz w:val="19"/>
                <w:szCs w:val="19"/>
              </w:rPr>
              <w:t xml:space="preserve"> resolves to any element called </w:t>
            </w:r>
            <w:r>
              <w:rPr>
                <w:rFonts w:ascii="Consolas" w:cs="Consolas" w:eastAsia="Consolas" w:hAnsi="Consolas"/>
                <w:color w:val="1E2761"/>
                <w:sz w:val="17"/>
                <w:szCs w:val="17"/>
              </w:rPr>
              <w:t xml:space="preserve">currency</w:t>
            </w:r>
            <w:r>
              <w:rPr>
                <w:color w:val="000000"/>
                <w:sz w:val="19"/>
                <w:szCs w:val="19"/>
              </w:rPr>
              <w:t xml:space="preserve"> anywhere in the message. This is the most forgiving rule available and it was chosen deliberately, because workbook field names arrive in every shape.</w:t>
            </w:r>
          </w:p>
        </w:tc>
      </w:tr>
      <w:tr>
        <w:trPr>
          <w:tblHeader w:val="false"/>
        </w:trPr>
        <w:tc>
          <w:tcPr>
            <w:tcW w:type="dxa" w:w="2000"/>
            <w:shd w:fill="F7F8FA" w:val="clear"/>
            <w:tcMar>
              <w:top w:type="dxa" w:w="70"/>
              <w:left w:type="dxa" w:w="110"/>
              <w:bottom w:type="dxa" w:w="70"/>
              <w:right w:type="dxa" w:w="110"/>
            </w:tcMar>
            <w:vAlign w:val="top"/>
          </w:tcPr>
          <w:p>
            <w:pPr>
              <w:spacing w:after="0" w:line="250"/>
            </w:pPr>
            <w:r>
              <w:rPr>
                <w:color w:val="000000"/>
                <w:sz w:val="19"/>
                <w:szCs w:val="19"/>
              </w:rPr>
              <w:t xml:space="preserve">Several names in one cell</w:t>
            </w:r>
          </w:p>
        </w:tc>
        <w:tc>
          <w:tcPr>
            <w:tcW w:type="dxa" w:w="7020"/>
            <w:shd w:fill="F7F8FA" w:val="clear"/>
            <w:tcMar>
              <w:top w:type="dxa" w:w="70"/>
              <w:left w:type="dxa" w:w="110"/>
              <w:bottom w:type="dxa" w:w="70"/>
              <w:right w:type="dxa" w:w="110"/>
            </w:tcMar>
            <w:vAlign w:val="top"/>
          </w:tcPr>
          <w:p>
            <w:pPr>
              <w:spacing w:after="0" w:line="250"/>
            </w:pPr>
            <w:r>
              <w:rPr>
                <w:color w:val="000000"/>
                <w:sz w:val="19"/>
                <w:szCs w:val="19"/>
              </w:rPr>
              <w:t xml:space="preserve">Resolves if any one of them does, which suits both the comma form for alternatives and the space form for several fields feeding one element.</w:t>
            </w:r>
          </w:p>
        </w:tc>
      </w:tr>
      <w:tr>
        <w:trPr>
          <w:tblHeader w:val="false"/>
        </w:trPr>
        <w:tc>
          <w:tcPr>
            <w:tcW w:type="dxa" w:w="2000"/>
            <w:tcMar>
              <w:top w:type="dxa" w:w="70"/>
              <w:left w:type="dxa" w:w="110"/>
              <w:bottom w:type="dxa" w:w="70"/>
              <w:right w:type="dxa" w:w="110"/>
            </w:tcMar>
            <w:vAlign w:val="top"/>
          </w:tcPr>
          <w:p>
            <w:pPr>
              <w:spacing w:after="0" w:line="250"/>
            </w:pPr>
            <w:r>
              <w:rPr>
                <w:color w:val="000000"/>
                <w:sz w:val="19"/>
                <w:szCs w:val="19"/>
              </w:rPr>
              <w:t xml:space="preserve">A field that is not there</w:t>
            </w:r>
          </w:p>
        </w:tc>
        <w:tc>
          <w:tcPr>
            <w:tcW w:type="dxa" w:w="7020"/>
            <w:tcMar>
              <w:top w:type="dxa" w:w="70"/>
              <w:left w:type="dxa" w:w="110"/>
              <w:bottom w:type="dxa" w:w="70"/>
              <w:right w:type="dxa" w:w="110"/>
            </w:tcMar>
            <w:vAlign w:val="top"/>
          </w:tcPr>
          <w:p>
            <w:pPr>
              <w:spacing w:after="0" w:line="250"/>
            </w:pPr>
            <w:r>
              <w:rPr>
                <w:color w:val="000000"/>
                <w:sz w:val="19"/>
                <w:szCs w:val="19"/>
              </w:rPr>
              <w:t xml:space="preserve">The element is excluded from the interface and the removal is reported against its cell.</w:t>
            </w:r>
          </w:p>
        </w:tc>
      </w:tr>
      <w:tr>
        <w:trPr>
          <w:tblHeader w:val="false"/>
        </w:trPr>
        <w:tc>
          <w:tcPr>
            <w:tcW w:type="dxa" w:w="2000"/>
            <w:shd w:fill="F7F8FA" w:val="clear"/>
            <w:tcMar>
              <w:top w:type="dxa" w:w="70"/>
              <w:left w:type="dxa" w:w="110"/>
              <w:bottom w:type="dxa" w:w="70"/>
              <w:right w:type="dxa" w:w="110"/>
            </w:tcMar>
            <w:vAlign w:val="top"/>
          </w:tcPr>
          <w:p>
            <w:pPr>
              <w:spacing w:after="0" w:line="250"/>
            </w:pPr>
            <w:r>
              <w:rPr>
                <w:color w:val="000000"/>
                <w:sz w:val="19"/>
                <w:szCs w:val="19"/>
              </w:rPr>
              <w:t xml:space="preserve">Nothing on a sheet resolving</w:t>
            </w:r>
          </w:p>
        </w:tc>
        <w:tc>
          <w:tcPr>
            <w:tcW w:type="dxa" w:w="7020"/>
            <w:shd w:fill="F7F8FA" w:val="clear"/>
            <w:tcMar>
              <w:top w:type="dxa" w:w="70"/>
              <w:left w:type="dxa" w:w="110"/>
              <w:bottom w:type="dxa" w:w="70"/>
              <w:right w:type="dxa" w:w="110"/>
            </w:tcMar>
            <w:vAlign w:val="top"/>
          </w:tcPr>
          <w:p>
            <w:pPr>
              <w:spacing w:after="0" w:line="250"/>
            </w:pPr>
            <w:r>
              <w:rPr>
                <w:color w:val="000000"/>
                <w:sz w:val="19"/>
                <w:szCs w:val="19"/>
              </w:rPr>
              <w:t xml:space="preserve">The operation fails. Verifying every element away would publish an empty interface, and the cause is almost always the wrong endpoint or the wrong specification file.</w:t>
            </w:r>
          </w:p>
        </w:tc>
      </w:tr>
    </w:tbl>
    <w:p>
      <w:pPr>
        <w:pStyle w:val="Heading2"/>
        <w:keepNext/>
        <w:spacing w:after="120" w:before="300"/>
      </w:pPr>
      <w:r>
        <w:rPr>
          <w:b/>
          <w:bCs/>
          <w:color w:val="1E2761"/>
          <w:sz w:val="25"/>
          <w:szCs w:val="25"/>
        </w:rPr>
        <w:t xml:space="preserve">5.4  The cost of leaf name matching</w:t>
      </w:r>
    </w:p>
    <w:p>
      <w:pPr>
        <w:spacing w:after="120" w:line="276"/>
      </w:pPr>
      <w:r>
        <w:rPr>
          <w:color w:val="000000"/>
          <w:sz w:val="21"/>
          <w:szCs w:val="21"/>
        </w:rPr>
        <w:t xml:space="preserve">Matching on the last segment means a name such as </w:t>
      </w:r>
      <w:r>
        <w:rPr>
          <w:rFonts w:ascii="Consolas" w:cs="Consolas" w:eastAsia="Consolas" w:hAnsi="Consolas"/>
          <w:color w:val="1E2761"/>
          <w:sz w:val="19"/>
          <w:szCs w:val="19"/>
        </w:rPr>
        <w:t xml:space="preserve">value</w:t>
      </w:r>
      <w:r>
        <w:rPr>
          <w:color w:val="000000"/>
          <w:sz w:val="21"/>
          <w:szCs w:val="21"/>
        </w:rPr>
        <w:t xml:space="preserve">, </w:t>
      </w:r>
      <w:r>
        <w:rPr>
          <w:rFonts w:ascii="Consolas" w:cs="Consolas" w:eastAsia="Consolas" w:hAnsi="Consolas"/>
          <w:color w:val="1E2761"/>
          <w:sz w:val="19"/>
          <w:szCs w:val="19"/>
        </w:rPr>
        <w:t xml:space="preserve">description</w:t>
      </w:r>
      <w:r>
        <w:rPr>
          <w:color w:val="000000"/>
          <w:sz w:val="21"/>
          <w:szCs w:val="21"/>
        </w:rPr>
        <w:t xml:space="preserve"> or </w:t>
      </w:r>
      <w:r>
        <w:rPr>
          <w:rFonts w:ascii="Consolas" w:cs="Consolas" w:eastAsia="Consolas" w:hAnsi="Consolas"/>
          <w:color w:val="1E2761"/>
          <w:sz w:val="19"/>
          <w:szCs w:val="19"/>
        </w:rPr>
        <w:t xml:space="preserve">currencyCode</w:t>
      </w:r>
      <w:r>
        <w:rPr>
          <w:color w:val="000000"/>
          <w:sz w:val="21"/>
          <w:szCs w:val="21"/>
        </w:rPr>
        <w:t xml:space="preserve"> can be found in three places in one response. Where that happens the element is kept, the tool records which element it matched and lists the alternatives, and it raises a warning. Twelve of these occur in the reference workbook. They are not errors; they are the honest price of a matching rule generous enough to accept the field names analysts actually write.</w:t>
      </w:r>
    </w:p>
    <w:p>
      <w:r>
        <w:br w:type="page"/>
      </w:r>
    </w:p>
    <w:p>
      <w:pPr>
        <w:pStyle w:val="Heading1"/>
        <w:pBdr>
          <w:bottom w:val="single" w:color="C6CBD4" w:sz="8" w:space="6"/>
        </w:pBdr>
        <w:spacing w:after="200" w:before="400"/>
      </w:pPr>
      <w:r>
        <w:rPr>
          <w:b/>
          <w:bCs/>
          <w:color w:val="1E2761"/>
          <w:sz w:val="32"/>
          <w:szCs w:val="32"/>
        </w:rPr>
        <w:t xml:space="preserve">6  Running the tool</w:t>
      </w:r>
    </w:p>
    <w:p>
      <w:pPr>
        <w:pStyle w:val="Heading2"/>
        <w:keepNext/>
        <w:spacing w:after="120" w:before="300"/>
      </w:pPr>
      <w:r>
        <w:rPr>
          <w:b/>
          <w:bCs/>
          <w:color w:val="1E2761"/>
          <w:sz w:val="25"/>
          <w:szCs w:val="25"/>
        </w:rPr>
        <w:t xml:space="preserve">6.1  The desktop window</w:t>
      </w:r>
    </w:p>
    <w:p>
      <w:pPr>
        <w:spacing w:after="120" w:line="276"/>
      </w:pPr>
      <w:r>
        <w:rPr>
          <w:rFonts w:ascii="Consolas" w:cs="Consolas" w:eastAsia="Consolas" w:hAnsi="Consolas"/>
          <w:color w:val="1E2761"/>
          <w:sz w:val="19"/>
          <w:szCs w:val="19"/>
        </w:rPr>
        <w:t xml:space="preserve">python polymorphize_gui.py</w:t>
      </w:r>
      <w:r>
        <w:rPr>
          <w:color w:val="000000"/>
          <w:sz w:val="21"/>
          <w:szCs w:val="21"/>
        </w:rPr>
        <w:t xml:space="preserve"> opens a window with three tabs.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1500"/>
        <w:gridCol w:w="7520"/>
      </w:tblGrid>
      <w:tr>
        <w:trPr>
          <w:tblHeader/>
        </w:trPr>
        <w:tc>
          <w:tcPr>
            <w:tcW w:type="dxa" w:w="1500"/>
            <w:shd w:fill="1E2761" w:val="clear"/>
            <w:tcMar>
              <w:top w:type="dxa" w:w="70"/>
              <w:left w:type="dxa" w:w="110"/>
              <w:bottom w:type="dxa" w:w="70"/>
              <w:right w:type="dxa" w:w="110"/>
            </w:tcMar>
            <w:vAlign w:val="top"/>
          </w:tcPr>
          <w:p>
            <w:pPr>
              <w:spacing w:after="0" w:line="250"/>
            </w:pPr>
            <w:r>
              <w:rPr>
                <w:b/>
                <w:bCs/>
                <w:color w:val="FFFFFF"/>
                <w:sz w:val="19"/>
                <w:szCs w:val="19"/>
              </w:rPr>
              <w:t xml:space="preserve">Tab</w:t>
            </w:r>
          </w:p>
        </w:tc>
        <w:tc>
          <w:tcPr>
            <w:tcW w:type="dxa" w:w="7520"/>
            <w:shd w:fill="1E2761" w:val="clear"/>
            <w:tcMar>
              <w:top w:type="dxa" w:w="70"/>
              <w:left w:type="dxa" w:w="110"/>
              <w:bottom w:type="dxa" w:w="70"/>
              <w:right w:type="dxa" w:w="110"/>
            </w:tcMar>
            <w:vAlign w:val="top"/>
          </w:tcPr>
          <w:p>
            <w:pPr>
              <w:spacing w:after="0" w:line="250"/>
            </w:pPr>
            <w:r>
              <w:rPr>
                <w:b/>
                <w:bCs/>
                <w:color w:val="FFFFFF"/>
                <w:sz w:val="19"/>
                <w:szCs w:val="19"/>
              </w:rPr>
              <w:t xml:space="preserve">What it holds</w:t>
            </w:r>
          </w:p>
        </w:tc>
      </w:tr>
      <w:tr>
        <w:trPr>
          <w:tblHeader w:val="false"/>
        </w:trPr>
        <w:tc>
          <w:tcPr>
            <w:tcW w:type="dxa" w:w="1500"/>
            <w:tcMar>
              <w:top w:type="dxa" w:w="70"/>
              <w:left w:type="dxa" w:w="110"/>
              <w:bottom w:type="dxa" w:w="70"/>
              <w:right w:type="dxa" w:w="110"/>
            </w:tcMar>
            <w:vAlign w:val="top"/>
          </w:tcPr>
          <w:p>
            <w:pPr>
              <w:spacing w:after="0" w:line="250"/>
            </w:pPr>
            <w:r>
              <w:rPr>
                <w:color w:val="000000"/>
                <w:sz w:val="19"/>
                <w:szCs w:val="19"/>
              </w:rPr>
              <w:t xml:space="preserve">Workbook</w:t>
            </w:r>
          </w:p>
        </w:tc>
        <w:tc>
          <w:tcPr>
            <w:tcW w:type="dxa" w:w="7520"/>
            <w:tcMar>
              <w:top w:type="dxa" w:w="70"/>
              <w:left w:type="dxa" w:w="110"/>
              <w:bottom w:type="dxa" w:w="70"/>
              <w:right w:type="dxa" w:w="110"/>
            </w:tcMar>
            <w:vAlign w:val="top"/>
          </w:tcPr>
          <w:p>
            <w:pPr>
              <w:spacing w:after="0" w:line="250"/>
            </w:pPr>
            <w:r>
              <w:rPr>
                <w:color w:val="000000"/>
                <w:sz w:val="19"/>
                <w:szCs w:val="19"/>
              </w:rPr>
              <w:t xml:space="preserve">The three file fields, the checking level, the output mode, the format and the API version, and the table of sheets. A sheet that failed is shown in red.</w:t>
            </w:r>
          </w:p>
        </w:tc>
      </w:tr>
      <w:tr>
        <w:trPr>
          <w:tblHeader w:val="false"/>
        </w:trPr>
        <w:tc>
          <w:tcPr>
            <w:tcW w:type="dxa" w:w="1500"/>
            <w:shd w:fill="F7F8FA" w:val="clear"/>
            <w:tcMar>
              <w:top w:type="dxa" w:w="70"/>
              <w:left w:type="dxa" w:w="110"/>
              <w:bottom w:type="dxa" w:w="70"/>
              <w:right w:type="dxa" w:w="110"/>
            </w:tcMar>
            <w:vAlign w:val="top"/>
          </w:tcPr>
          <w:p>
            <w:pPr>
              <w:spacing w:after="0" w:line="250"/>
            </w:pPr>
            <w:r>
              <w:rPr>
                <w:color w:val="000000"/>
                <w:sz w:val="19"/>
                <w:szCs w:val="19"/>
              </w:rPr>
              <w:t xml:space="preserve">Findings</w:t>
            </w:r>
          </w:p>
        </w:tc>
        <w:tc>
          <w:tcPr>
            <w:tcW w:type="dxa" w:w="7520"/>
            <w:shd w:fill="F7F8FA" w:val="clear"/>
            <w:tcMar>
              <w:top w:type="dxa" w:w="70"/>
              <w:left w:type="dxa" w:w="110"/>
              <w:bottom w:type="dxa" w:w="70"/>
              <w:right w:type="dxa" w:w="110"/>
            </w:tcMar>
            <w:vAlign w:val="top"/>
          </w:tcPr>
          <w:p>
            <w:pPr>
              <w:spacing w:after="0" w:line="250"/>
            </w:pPr>
            <w:r>
              <w:rPr>
                <w:color w:val="000000"/>
                <w:sz w:val="19"/>
                <w:szCs w:val="19"/>
              </w:rPr>
              <w:t xml:space="preserve">Every finding with its sheet and cell, and a detail pane that puts </w:t>
            </w:r>
            <w:r>
              <w:rPr>
                <w:b/>
                <w:bCs/>
                <w:color w:val="000000"/>
                <w:sz w:val="19"/>
                <w:szCs w:val="19"/>
              </w:rPr>
              <w:t xml:space="preserve">Found</w:t>
            </w:r>
            <w:r>
              <w:rPr>
                <w:color w:val="000000"/>
                <w:sz w:val="19"/>
                <w:szCs w:val="19"/>
              </w:rPr>
              <w:t xml:space="preserve"> and </w:t>
            </w:r>
            <w:r>
              <w:rPr>
                <w:b/>
                <w:bCs/>
                <w:color w:val="000000"/>
                <w:sz w:val="19"/>
                <w:szCs w:val="19"/>
              </w:rPr>
              <w:t xml:space="preserve">Fix</w:t>
            </w:r>
            <w:r>
              <w:rPr>
                <w:color w:val="000000"/>
                <w:sz w:val="19"/>
                <w:szCs w:val="19"/>
              </w:rPr>
              <w:t xml:space="preserve"> above the fold, because those are the two lines that lead to a correction.</w:t>
            </w:r>
          </w:p>
        </w:tc>
      </w:tr>
      <w:tr>
        <w:trPr>
          <w:tblHeader w:val="false"/>
        </w:trPr>
        <w:tc>
          <w:tcPr>
            <w:tcW w:type="dxa" w:w="1500"/>
            <w:tcMar>
              <w:top w:type="dxa" w:w="70"/>
              <w:left w:type="dxa" w:w="110"/>
              <w:bottom w:type="dxa" w:w="70"/>
              <w:right w:type="dxa" w:w="110"/>
            </w:tcMar>
            <w:vAlign w:val="top"/>
          </w:tcPr>
          <w:p>
            <w:pPr>
              <w:spacing w:after="0" w:line="250"/>
            </w:pPr>
            <w:r>
              <w:rPr>
                <w:color w:val="000000"/>
                <w:sz w:val="19"/>
                <w:szCs w:val="19"/>
              </w:rPr>
              <w:t xml:space="preserve">Log</w:t>
            </w:r>
          </w:p>
        </w:tc>
        <w:tc>
          <w:tcPr>
            <w:tcW w:type="dxa" w:w="7520"/>
            <w:tcMar>
              <w:top w:type="dxa" w:w="70"/>
              <w:left w:type="dxa" w:w="110"/>
              <w:bottom w:type="dxa" w:w="70"/>
              <w:right w:type="dxa" w:w="110"/>
            </w:tcMar>
            <w:vAlign w:val="top"/>
          </w:tcPr>
          <w:p>
            <w:pPr>
              <w:spacing w:after="0" w:line="250"/>
            </w:pPr>
            <w:r>
              <w:rPr>
                <w:color w:val="000000"/>
                <w:sz w:val="19"/>
                <w:szCs w:val="19"/>
              </w:rPr>
              <w:t xml:space="preserve">The run as it happened, for when a result needs explaining afterwards.</w:t>
            </w:r>
          </w:p>
        </w:tc>
      </w:tr>
    </w:tbl>
    <w:p>
      <w:pPr>
        <w:spacing w:after="120" w:line="276"/>
      </w:pPr>
      <w:r>
        <w:rPr>
          <w:color w:val="000000"/>
          <w:sz w:val="21"/>
          <w:szCs w:val="21"/>
        </w:rPr>
        <w:t xml:space="preserve">All three file fields accept a dropped file or folder where </w:t>
      </w:r>
      <w:r>
        <w:rPr>
          <w:rFonts w:ascii="Consolas" w:cs="Consolas" w:eastAsia="Consolas" w:hAnsi="Consolas"/>
          <w:color w:val="1E2761"/>
          <w:sz w:val="19"/>
          <w:szCs w:val="19"/>
        </w:rPr>
        <w:t xml:space="preserve">tkinterdnd2</w:t>
      </w:r>
      <w:r>
        <w:rPr>
          <w:color w:val="000000"/>
          <w:sz w:val="21"/>
          <w:szCs w:val="21"/>
        </w:rPr>
        <w:t xml:space="preserve"> is installed. A workbook dropped on the output field, or a folder dropped on the workbook field, is corrected rather than refused. Without the library the window still opens and the Browse buttons still work.</w:t>
      </w:r>
    </w:p>
    <w:p>
      <w:pPr>
        <w:pStyle w:val="Heading2"/>
        <w:keepNext/>
        <w:spacing w:after="120" w:before="300"/>
      </w:pPr>
      <w:r>
        <w:rPr>
          <w:b/>
          <w:bCs/>
          <w:color w:val="1E2761"/>
          <w:sz w:val="25"/>
          <w:szCs w:val="25"/>
        </w:rPr>
        <w:t xml:space="preserve">6.2  The command line</w:t>
      </w:r>
    </w:p>
    <w:p>
      <w:pPr>
        <w:shd w:fill="F4F5F7" w:val="clear"/>
        <w:spacing w:after="0" w:before="60" w:line="240"/>
        <w:ind w:left="180" w:right="180"/>
      </w:pPr>
      <w:r>
        <w:rPr>
          <w:rFonts w:ascii="Consolas" w:cs="Consolas" w:eastAsia="Consolas" w:hAnsi="Consolas"/>
          <w:color w:val="22303F"/>
          <w:sz w:val="17"/>
          <w:szCs w:val="17"/>
        </w:rPr>
        <w:t xml:space="preserve">polymorphize check &lt;workbook&gt; [--level lenient|strict] [--sor SPEC]...</w:t>
      </w:r>
    </w:p>
    <w:p>
      <w:pPr>
        <w:shd w:fill="F4F5F7" w:val="clear"/>
        <w:spacing w:after="0" w:before="0" w:line="240"/>
        <w:ind w:left="180" w:right="180"/>
      </w:pPr>
      <w:r>
        <w:rPr>
          <w:rFonts w:ascii="Consolas" w:cs="Consolas" w:eastAsia="Consolas" w:hAnsi="Consolas"/>
          <w:color w:val="22303F"/>
          <w:sz w:val="17"/>
          <w:szCs w:val="17"/>
        </w:rPr>
        <w:t xml:space="preserve">                             [--report PATH] [-v]</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polymorphize generate &lt;workbook&gt; &lt;out_dir&gt; [--sor SPEC]...</w:t>
      </w:r>
    </w:p>
    <w:p>
      <w:pPr>
        <w:shd w:fill="F4F5F7" w:val="clear"/>
        <w:spacing w:after="0" w:before="0" w:line="240"/>
        <w:ind w:left="180" w:right="180"/>
      </w:pPr>
      <w:r>
        <w:rPr>
          <w:rFonts w:ascii="Consolas" w:cs="Consolas" w:eastAsia="Consolas" w:hAnsi="Consolas"/>
          <w:color w:val="22303F"/>
          <w:sz w:val="17"/>
          <w:szCs w:val="17"/>
        </w:rPr>
        <w:t xml:space="preserve">                      [--format yaml|json] [--api-version 1.0.0]</w:t>
      </w:r>
    </w:p>
    <w:p>
      <w:pPr>
        <w:shd w:fill="F4F5F7" w:val="clear"/>
        <w:spacing w:after="0" w:before="0" w:line="240"/>
        <w:ind w:left="180" w:right="180"/>
      </w:pPr>
      <w:r>
        <w:rPr>
          <w:rFonts w:ascii="Consolas" w:cs="Consolas" w:eastAsia="Consolas" w:hAnsi="Consolas"/>
          <w:color w:val="22303F"/>
          <w:sz w:val="17"/>
          <w:szCs w:val="17"/>
        </w:rPr>
        <w:t xml:space="preserve">                      [--name openapi] [--title TITLE]</w:t>
      </w:r>
    </w:p>
    <w:p>
      <w:pPr>
        <w:shd w:fill="F4F5F7" w:val="clear"/>
        <w:spacing w:after="0" w:before="0" w:line="240"/>
        <w:ind w:left="180" w:right="180"/>
      </w:pPr>
      <w:r>
        <w:rPr>
          <w:rFonts w:ascii="Consolas" w:cs="Consolas" w:eastAsia="Consolas" w:hAnsi="Consolas"/>
          <w:color w:val="22303F"/>
          <w:sz w:val="17"/>
          <w:szCs w:val="17"/>
        </w:rPr>
        <w:t xml:space="preserve">                      [--split] [--strict] [--no-showcase]</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160" w:before="0" w:line="240"/>
        <w:ind w:left="180" w:right="180"/>
      </w:pPr>
      <w:r>
        <w:rPr>
          <w:rFonts w:ascii="Consolas" w:cs="Consolas" w:eastAsia="Consolas" w:hAnsi="Consolas"/>
          <w:color w:val="22303F"/>
          <w:sz w:val="17"/>
          <w:szCs w:val="17"/>
        </w:rPr>
        <w:t xml:space="preserve">polymorphize template [path]</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1700"/>
        <w:gridCol w:w="7320"/>
      </w:tblGrid>
      <w:tr>
        <w:trPr>
          <w:tblHeader/>
        </w:trPr>
        <w:tc>
          <w:tcPr>
            <w:tcW w:type="dxa" w:w="1700"/>
            <w:shd w:fill="1E2761" w:val="clear"/>
            <w:tcMar>
              <w:top w:type="dxa" w:w="70"/>
              <w:left w:type="dxa" w:w="110"/>
              <w:bottom w:type="dxa" w:w="70"/>
              <w:right w:type="dxa" w:w="110"/>
            </w:tcMar>
            <w:vAlign w:val="top"/>
          </w:tcPr>
          <w:p>
            <w:pPr>
              <w:spacing w:after="0" w:line="250"/>
            </w:pPr>
            <w:r>
              <w:rPr>
                <w:b/>
                <w:bCs/>
                <w:color w:val="FFFFFF"/>
                <w:sz w:val="19"/>
                <w:szCs w:val="19"/>
              </w:rPr>
              <w:t xml:space="preserve">Flag</w:t>
            </w:r>
          </w:p>
        </w:tc>
        <w:tc>
          <w:tcPr>
            <w:tcW w:type="dxa" w:w="7320"/>
            <w:shd w:fill="1E2761" w:val="clear"/>
            <w:tcMar>
              <w:top w:type="dxa" w:w="70"/>
              <w:left w:type="dxa" w:w="110"/>
              <w:bottom w:type="dxa" w:w="70"/>
              <w:right w:type="dxa" w:w="110"/>
            </w:tcMar>
            <w:vAlign w:val="top"/>
          </w:tcPr>
          <w:p>
            <w:pPr>
              <w:spacing w:after="0" w:line="250"/>
            </w:pPr>
            <w:r>
              <w:rPr>
                <w:b/>
                <w:bCs/>
                <w:color w:val="FFFFFF"/>
                <w:sz w:val="19"/>
                <w:szCs w:val="19"/>
              </w:rPr>
              <w:t xml:space="preserve">Effect</w:t>
            </w:r>
          </w:p>
        </w:tc>
      </w:tr>
      <w:tr>
        <w:trPr>
          <w:tblHeader w:val="false"/>
        </w:trPr>
        <w:tc>
          <w:tcPr>
            <w:tcW w:type="dxa" w:w="17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--sor</w:t>
            </w:r>
          </w:p>
        </w:tc>
        <w:tc>
          <w:tcPr>
            <w:tcW w:type="dxa" w:w="7320"/>
            <w:tcMar>
              <w:top w:type="dxa" w:w="70"/>
              <w:left w:type="dxa" w:w="110"/>
              <w:bottom w:type="dxa" w:w="70"/>
              <w:right w:type="dxa" w:w="110"/>
            </w:tcMar>
            <w:vAlign w:val="top"/>
          </w:tcPr>
          <w:p>
            <w:pPr>
              <w:spacing w:after="0" w:line="250"/>
            </w:pPr>
            <w:r>
              <w:rPr>
                <w:color w:val="000000"/>
                <w:sz w:val="19"/>
                <w:szCs w:val="19"/>
              </w:rPr>
              <w:t xml:space="preserve">A System of Record specification or a folder of them. Repeatable. Without it nothing is verified.</w:t>
            </w:r>
          </w:p>
        </w:tc>
      </w:tr>
      <w:tr>
        <w:trPr>
          <w:tblHeader w:val="false"/>
        </w:trPr>
        <w:tc>
          <w:tcPr>
            <w:tcW w:type="dxa" w:w="1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--split</w:t>
            </w:r>
          </w:p>
        </w:tc>
        <w:tc>
          <w:tcPr>
            <w:tcW w:type="dxa" w:w="7320"/>
            <w:shd w:fill="F7F8FA" w:val="clear"/>
            <w:tcMar>
              <w:top w:type="dxa" w:w="70"/>
              <w:left w:type="dxa" w:w="110"/>
              <w:bottom w:type="dxa" w:w="70"/>
              <w:right w:type="dxa" w:w="110"/>
            </w:tcMar>
            <w:vAlign w:val="top"/>
          </w:tcPr>
          <w:p>
            <w:pPr>
              <w:spacing w:after="0" w:line="250"/>
            </w:pPr>
            <w:r>
              <w:rPr>
                <w:color w:val="000000"/>
                <w:sz w:val="19"/>
                <w:szCs w:val="19"/>
              </w:rPr>
              <w:t xml:space="preserve">One specification per sheet instead of one for the workbook. Intended for debugging a single endpoint. Cross-operation specialisation cannot apply in this mode, because each file has its own namespace.</w:t>
            </w:r>
          </w:p>
        </w:tc>
      </w:tr>
      <w:tr>
        <w:trPr>
          <w:tblHeader w:val="false"/>
        </w:trPr>
        <w:tc>
          <w:tcPr>
            <w:tcW w:type="dxa" w:w="17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--strict</w:t>
            </w:r>
          </w:p>
        </w:tc>
        <w:tc>
          <w:tcPr>
            <w:tcW w:type="dxa" w:w="7320"/>
            <w:tcMar>
              <w:top w:type="dxa" w:w="70"/>
              <w:left w:type="dxa" w:w="110"/>
              <w:bottom w:type="dxa" w:w="70"/>
              <w:right w:type="dxa" w:w="110"/>
            </w:tcMar>
            <w:vAlign w:val="top"/>
          </w:tcPr>
          <w:p>
            <w:pPr>
              <w:spacing w:after="0" w:line="250"/>
            </w:pPr>
            <w:r>
              <w:rPr>
                <w:color w:val="000000"/>
                <w:sz w:val="19"/>
                <w:szCs w:val="19"/>
              </w:rPr>
              <w:t xml:space="preserve">On </w:t>
            </w:r>
            <w:r>
              <w:rPr>
                <w:rFonts w:ascii="Consolas" w:cs="Consolas" w:eastAsia="Consolas" w:hAnsi="Consolas"/>
                <w:color w:val="1E2761"/>
                <w:sz w:val="17"/>
                <w:szCs w:val="17"/>
              </w:rPr>
              <w:t xml:space="preserve">generate</w:t>
            </w:r>
            <w:r>
              <w:rPr>
                <w:color w:val="000000"/>
                <w:sz w:val="19"/>
                <w:szCs w:val="19"/>
              </w:rPr>
              <w:t xml:space="preserve">, treats every warning as a failure. On </w:t>
            </w:r>
            <w:r>
              <w:rPr>
                <w:rFonts w:ascii="Consolas" w:cs="Consolas" w:eastAsia="Consolas" w:hAnsi="Consolas"/>
                <w:color w:val="1E2761"/>
                <w:sz w:val="17"/>
                <w:szCs w:val="17"/>
              </w:rPr>
              <w:t xml:space="preserve">check</w:t>
            </w:r>
            <w:r>
              <w:rPr>
                <w:color w:val="000000"/>
                <w:sz w:val="19"/>
                <w:szCs w:val="19"/>
              </w:rPr>
              <w:t xml:space="preserve"> the equivalent is </w:t>
            </w:r>
            <w:r>
              <w:rPr>
                <w:rFonts w:ascii="Consolas" w:cs="Consolas" w:eastAsia="Consolas" w:hAnsi="Consolas"/>
                <w:color w:val="1E2761"/>
                <w:sz w:val="17"/>
                <w:szCs w:val="17"/>
              </w:rPr>
              <w:t xml:space="preserve">--level strict</w:t>
            </w:r>
            <w:r>
              <w:rPr>
                <w:color w:val="000000"/>
                <w:sz w:val="19"/>
                <w:szCs w:val="19"/>
              </w:rPr>
              <w:t xml:space="preserve">, which adds the house standard rather than changing what generates.</w:t>
            </w:r>
          </w:p>
        </w:tc>
      </w:tr>
      <w:tr>
        <w:trPr>
          <w:tblHeader w:val="false"/>
        </w:trPr>
        <w:tc>
          <w:tcPr>
            <w:tcW w:type="dxa" w:w="1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--name</w:t>
            </w:r>
          </w:p>
        </w:tc>
        <w:tc>
          <w:tcPr>
            <w:tcW w:type="dxa" w:w="7320"/>
            <w:shd w:fill="F7F8FA" w:val="clear"/>
            <w:tcMar>
              <w:top w:type="dxa" w:w="70"/>
              <w:left w:type="dxa" w:w="110"/>
              <w:bottom w:type="dxa" w:w="70"/>
              <w:right w:type="dxa" w:w="110"/>
            </w:tcMar>
            <w:vAlign w:val="top"/>
          </w:tcPr>
          <w:p>
            <w:pPr>
              <w:spacing w:after="0" w:line="250"/>
            </w:pPr>
            <w:r>
              <w:rPr>
                <w:color w:val="000000"/>
                <w:sz w:val="19"/>
                <w:szCs w:val="19"/>
              </w:rPr>
              <w:t xml:space="preserve">Base file name of the merged specification. Defaults to </w:t>
            </w:r>
            <w:r>
              <w:rPr>
                <w:rFonts w:ascii="Consolas" w:cs="Consolas" w:eastAsia="Consolas" w:hAnsi="Consolas"/>
                <w:color w:val="1E2761"/>
                <w:sz w:val="17"/>
                <w:szCs w:val="17"/>
              </w:rPr>
              <w:t xml:space="preserve">openapi</w:t>
            </w:r>
            <w:r>
              <w:rPr>
                <w:color w:val="000000"/>
                <w:sz w:val="19"/>
                <w:szCs w:val="19"/>
              </w:rPr>
              <w:t xml:space="preserve">.</w:t>
            </w:r>
          </w:p>
        </w:tc>
      </w:tr>
      <w:tr>
        <w:trPr>
          <w:tblHeader w:val="false"/>
        </w:trPr>
        <w:tc>
          <w:tcPr>
            <w:tcW w:type="dxa" w:w="17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--no-showcase</w:t>
            </w:r>
          </w:p>
        </w:tc>
        <w:tc>
          <w:tcPr>
            <w:tcW w:type="dxa" w:w="7320"/>
            <w:tcMar>
              <w:top w:type="dxa" w:w="70"/>
              <w:left w:type="dxa" w:w="110"/>
              <w:bottom w:type="dxa" w:w="70"/>
              <w:right w:type="dxa" w:w="110"/>
            </w:tcMar>
            <w:vAlign w:val="top"/>
          </w:tcPr>
          <w:p>
            <w:pPr>
              <w:spacing w:after="0" w:line="250"/>
            </w:pPr>
            <w:r>
              <w:rPr>
                <w:color w:val="000000"/>
                <w:sz w:val="19"/>
                <w:szCs w:val="19"/>
              </w:rPr>
              <w:t xml:space="preserve">Skips the HTML report. Rarely wanted; the report is the reviewable half of the output.</w:t>
            </w:r>
          </w:p>
        </w:tc>
      </w:tr>
    </w:tbl>
    <w:p>
      <w:pPr>
        <w:pStyle w:val="Heading2"/>
        <w:keepNext/>
        <w:spacing w:after="120" w:before="300"/>
      </w:pPr>
      <w:r>
        <w:rPr>
          <w:b/>
          <w:bCs/>
          <w:color w:val="1E2761"/>
          <w:sz w:val="25"/>
          <w:szCs w:val="25"/>
        </w:rPr>
        <w:t xml:space="preserve">6.3  Several workbooks at once</w:t>
      </w:r>
    </w:p>
    <w:p>
      <w:pPr>
        <w:spacing w:after="120" w:line="276"/>
      </w:pPr>
      <w:r>
        <w:rPr>
          <w:rFonts w:ascii="Consolas" w:cs="Consolas" w:eastAsia="Consolas" w:hAnsi="Consolas"/>
          <w:color w:val="1E2761"/>
          <w:sz w:val="19"/>
          <w:szCs w:val="19"/>
        </w:rPr>
        <w:t xml:space="preserve">polymorphize_batch.py</w:t>
      </w:r>
      <w:r>
        <w:rPr>
          <w:color w:val="000000"/>
          <w:sz w:val="21"/>
          <w:szCs w:val="21"/>
        </w:rPr>
        <w:t xml:space="preserve"> takes a manifest with one row per job and columns </w:t>
      </w:r>
      <w:r>
        <w:rPr>
          <w:rFonts w:ascii="Consolas" w:cs="Consolas" w:eastAsia="Consolas" w:hAnsi="Consolas"/>
          <w:color w:val="1E2761"/>
          <w:sz w:val="19"/>
          <w:szCs w:val="19"/>
        </w:rPr>
        <w:t xml:space="preserve">workbook</w:t>
      </w:r>
      <w:r>
        <w:rPr>
          <w:color w:val="000000"/>
          <w:sz w:val="21"/>
          <w:szCs w:val="21"/>
        </w:rPr>
        <w:t xml:space="preserve">, </w:t>
      </w:r>
      <w:r>
        <w:rPr>
          <w:rFonts w:ascii="Consolas" w:cs="Consolas" w:eastAsia="Consolas" w:hAnsi="Consolas"/>
          <w:color w:val="1E2761"/>
          <w:sz w:val="19"/>
          <w:szCs w:val="19"/>
        </w:rPr>
        <w:t xml:space="preserve">out_dir</w:t>
      </w:r>
      <w:r>
        <w:rPr>
          <w:color w:val="000000"/>
          <w:sz w:val="21"/>
          <w:szCs w:val="21"/>
        </w:rPr>
        <w:t xml:space="preserve">, </w:t>
      </w:r>
      <w:r>
        <w:rPr>
          <w:rFonts w:ascii="Consolas" w:cs="Consolas" w:eastAsia="Consolas" w:hAnsi="Consolas"/>
          <w:color w:val="1E2761"/>
          <w:sz w:val="19"/>
          <w:szCs w:val="19"/>
        </w:rPr>
        <w:t xml:space="preserve">name</w:t>
      </w:r>
      <w:r>
        <w:rPr>
          <w:color w:val="000000"/>
          <w:sz w:val="21"/>
          <w:szCs w:val="21"/>
        </w:rPr>
        <w:t xml:space="preserve">, </w:t>
      </w:r>
      <w:r>
        <w:rPr>
          <w:rFonts w:ascii="Consolas" w:cs="Consolas" w:eastAsia="Consolas" w:hAnsi="Consolas"/>
          <w:color w:val="1E2761"/>
          <w:sz w:val="19"/>
          <w:szCs w:val="19"/>
        </w:rPr>
        <w:t xml:space="preserve">level</w:t>
      </w:r>
      <w:r>
        <w:rPr>
          <w:color w:val="000000"/>
          <w:sz w:val="21"/>
          <w:szCs w:val="21"/>
        </w:rPr>
        <w:t xml:space="preserve">, </w:t>
      </w:r>
      <w:r>
        <w:rPr>
          <w:rFonts w:ascii="Consolas" w:cs="Consolas" w:eastAsia="Consolas" w:hAnsi="Consolas"/>
          <w:color w:val="1E2761"/>
          <w:sz w:val="19"/>
          <w:szCs w:val="19"/>
        </w:rPr>
        <w:t xml:space="preserve">format</w:t>
      </w:r>
      <w:r>
        <w:rPr>
          <w:color w:val="000000"/>
          <w:sz w:val="21"/>
          <w:szCs w:val="21"/>
        </w:rPr>
        <w:t xml:space="preserve">, </w:t>
      </w:r>
      <w:r>
        <w:rPr>
          <w:rFonts w:ascii="Consolas" w:cs="Consolas" w:eastAsia="Consolas" w:hAnsi="Consolas"/>
          <w:color w:val="1E2761"/>
          <w:sz w:val="19"/>
          <w:szCs w:val="19"/>
        </w:rPr>
        <w:t xml:space="preserve">api_version</w:t>
      </w:r>
      <w:r>
        <w:rPr>
          <w:color w:val="000000"/>
          <w:sz w:val="21"/>
          <w:szCs w:val="21"/>
        </w:rPr>
        <w:t xml:space="preserve">, </w:t>
      </w:r>
      <w:r>
        <w:rPr>
          <w:rFonts w:ascii="Consolas" w:cs="Consolas" w:eastAsia="Consolas" w:hAnsi="Consolas"/>
          <w:color w:val="1E2761"/>
          <w:sz w:val="19"/>
          <w:szCs w:val="19"/>
        </w:rPr>
        <w:t xml:space="preserve">title</w:t>
      </w:r>
      <w:r>
        <w:rPr>
          <w:color w:val="000000"/>
          <w:sz w:val="21"/>
          <w:szCs w:val="21"/>
        </w:rPr>
        <w:t xml:space="preserve">, </w:t>
      </w:r>
      <w:r>
        <w:rPr>
          <w:rFonts w:ascii="Consolas" w:cs="Consolas" w:eastAsia="Consolas" w:hAnsi="Consolas"/>
          <w:color w:val="1E2761"/>
          <w:sz w:val="19"/>
          <w:szCs w:val="19"/>
        </w:rPr>
        <w:t xml:space="preserve">split</w:t>
      </w:r>
      <w:r>
        <w:rPr>
          <w:color w:val="000000"/>
          <w:sz w:val="21"/>
          <w:szCs w:val="21"/>
        </w:rPr>
        <w:t xml:space="preserve"> and </w:t>
      </w:r>
      <w:r>
        <w:rPr>
          <w:rFonts w:ascii="Consolas" w:cs="Consolas" w:eastAsia="Consolas" w:hAnsi="Consolas"/>
          <w:color w:val="1E2761"/>
          <w:sz w:val="19"/>
          <w:szCs w:val="19"/>
        </w:rPr>
        <w:t xml:space="preserve">sor</w:t>
      </w:r>
      <w:r>
        <w:rPr>
          <w:color w:val="000000"/>
          <w:sz w:val="21"/>
          <w:szCs w:val="21"/>
        </w:rPr>
        <w:t xml:space="preserve">. Every path is resolved against the folder holding the manifest, so a manifest and its inputs move together. The run writes </w:t>
      </w:r>
      <w:r>
        <w:rPr>
          <w:rFonts w:ascii="Consolas" w:cs="Consolas" w:eastAsia="Consolas" w:hAnsi="Consolas"/>
          <w:color w:val="1E2761"/>
          <w:sz w:val="19"/>
          <w:szCs w:val="19"/>
        </w:rPr>
        <w:t xml:space="preserve">batch_summary.csv</w:t>
      </w:r>
      <w:r>
        <w:rPr>
          <w:color w:val="000000"/>
          <w:sz w:val="21"/>
          <w:szCs w:val="21"/>
        </w:rPr>
        <w:t xml:space="preserve"> and </w:t>
      </w:r>
      <w:r>
        <w:rPr>
          <w:rFonts w:ascii="Consolas" w:cs="Consolas" w:eastAsia="Consolas" w:hAnsi="Consolas"/>
          <w:color w:val="1E2761"/>
          <w:sz w:val="19"/>
          <w:szCs w:val="19"/>
        </w:rPr>
        <w:t xml:space="preserve">batch_index.html</w:t>
      </w:r>
      <w:r>
        <w:rPr>
          <w:color w:val="000000"/>
          <w:sz w:val="21"/>
          <w:szCs w:val="21"/>
        </w:rPr>
        <w:t xml:space="preserve">.</w:t>
      </w:r>
    </w:p>
    <w:p>
      <w:pPr>
        <w:pStyle w:val="Heading2"/>
        <w:keepNext/>
        <w:spacing w:after="120" w:before="300"/>
      </w:pPr>
      <w:r>
        <w:rPr>
          <w:b/>
          <w:bCs/>
          <w:color w:val="1E2761"/>
          <w:sz w:val="25"/>
          <w:szCs w:val="25"/>
        </w:rPr>
        <w:t xml:space="preserve">6.4  Exit codes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900"/>
        <w:gridCol w:w="8120"/>
      </w:tblGrid>
      <w:tr>
        <w:trPr>
          <w:tblHeader/>
        </w:trPr>
        <w:tc>
          <w:tcPr>
            <w:tcW w:type="dxa" w:w="900"/>
            <w:shd w:fill="1E2761" w:val="clear"/>
            <w:tcMar>
              <w:top w:type="dxa" w:w="70"/>
              <w:left w:type="dxa" w:w="110"/>
              <w:bottom w:type="dxa" w:w="70"/>
              <w:right w:type="dxa" w:w="110"/>
            </w:tcMar>
            <w:vAlign w:val="top"/>
          </w:tcPr>
          <w:p>
            <w:pPr>
              <w:spacing w:after="0" w:line="250"/>
            </w:pPr>
            <w:r>
              <w:rPr>
                <w:b/>
                <w:bCs/>
                <w:color w:val="FFFFFF"/>
                <w:sz w:val="19"/>
                <w:szCs w:val="19"/>
              </w:rPr>
              <w:t xml:space="preserve">Code</w:t>
            </w:r>
          </w:p>
        </w:tc>
        <w:tc>
          <w:tcPr>
            <w:tcW w:type="dxa" w:w="8120"/>
            <w:shd w:fill="1E2761" w:val="clear"/>
            <w:tcMar>
              <w:top w:type="dxa" w:w="70"/>
              <w:left w:type="dxa" w:w="110"/>
              <w:bottom w:type="dxa" w:w="70"/>
              <w:right w:type="dxa" w:w="110"/>
            </w:tcMar>
            <w:vAlign w:val="top"/>
          </w:tcPr>
          <w:p>
            <w:pPr>
              <w:spacing w:after="0" w:line="250"/>
            </w:pPr>
            <w:r>
              <w:rPr>
                <w:b/>
                <w:bCs/>
                <w:color w:val="FFFFFF"/>
                <w:sz w:val="19"/>
                <w:szCs w:val="19"/>
              </w:rPr>
              <w:t xml:space="preserve">Meaning</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0</w:t>
            </w:r>
          </w:p>
        </w:tc>
        <w:tc>
          <w:tcPr>
            <w:tcW w:type="dxa" w:w="8120"/>
            <w:tcMar>
              <w:top w:type="dxa" w:w="70"/>
              <w:left w:type="dxa" w:w="110"/>
              <w:bottom w:type="dxa" w:w="70"/>
              <w:right w:type="dxa" w:w="110"/>
            </w:tcMar>
            <w:vAlign w:val="top"/>
          </w:tcPr>
          <w:p>
            <w:pPr>
              <w:spacing w:after="0" w:line="250"/>
            </w:pPr>
            <w:r>
              <w:rPr>
                <w:color w:val="000000"/>
                <w:sz w:val="19"/>
                <w:szCs w:val="19"/>
              </w:rPr>
              <w:t xml:space="preserve">Every operation sheet generated.</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2</w:t>
            </w:r>
          </w:p>
        </w:tc>
        <w:tc>
          <w:tcPr>
            <w:tcW w:type="dxa" w:w="8120"/>
            <w:shd w:fill="F7F8FA" w:val="clear"/>
            <w:tcMar>
              <w:top w:type="dxa" w:w="70"/>
              <w:left w:type="dxa" w:w="110"/>
              <w:bottom w:type="dxa" w:w="70"/>
              <w:right w:type="dxa" w:w="110"/>
            </w:tcMar>
            <w:vAlign w:val="top"/>
          </w:tcPr>
          <w:p>
            <w:pPr>
              <w:spacing w:after="0" w:line="250"/>
            </w:pPr>
            <w:r>
              <w:rPr>
                <w:color w:val="000000"/>
                <w:sz w:val="19"/>
                <w:szCs w:val="19"/>
              </w:rPr>
              <w:t xml:space="preserve">The workbook could not be opened at all.</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6</w:t>
            </w:r>
          </w:p>
        </w:tc>
        <w:tc>
          <w:tcPr>
            <w:tcW w:type="dxa" w:w="8120"/>
            <w:tcMar>
              <w:top w:type="dxa" w:w="70"/>
              <w:left w:type="dxa" w:w="110"/>
              <w:bottom w:type="dxa" w:w="70"/>
              <w:right w:type="dxa" w:w="110"/>
            </w:tcMar>
            <w:vAlign w:val="top"/>
          </w:tcPr>
          <w:p>
            <w:pPr>
              <w:spacing w:after="0" w:line="250"/>
            </w:pPr>
            <w:r>
              <w:rPr>
                <w:color w:val="000000"/>
                <w:sz w:val="19"/>
                <w:szCs w:val="19"/>
              </w:rPr>
              <w:t xml:space="preserve">Some sheets generated and some failed.</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7"/>
                <w:szCs w:val="17"/>
              </w:rPr>
              <w:t xml:space="preserve">7</w:t>
            </w:r>
          </w:p>
        </w:tc>
        <w:tc>
          <w:tcPr>
            <w:tcW w:type="dxa" w:w="8120"/>
            <w:shd w:fill="F7F8FA" w:val="clear"/>
            <w:tcMar>
              <w:top w:type="dxa" w:w="70"/>
              <w:left w:type="dxa" w:w="110"/>
              <w:bottom w:type="dxa" w:w="70"/>
              <w:right w:type="dxa" w:w="110"/>
            </w:tcMar>
            <w:vAlign w:val="top"/>
          </w:tcPr>
          <w:p>
            <w:pPr>
              <w:spacing w:after="0" w:line="250"/>
            </w:pPr>
            <w:r>
              <w:rPr>
                <w:color w:val="000000"/>
                <w:sz w:val="19"/>
                <w:szCs w:val="19"/>
              </w:rPr>
              <w:t xml:space="preserve">No sheet generated.</w:t>
            </w:r>
          </w:p>
        </w:tc>
      </w:tr>
    </w:tbl>
    <w:p>
      <w:pPr>
        <w:spacing w:after="120" w:line="276"/>
      </w:pPr>
      <w:r>
        <w:rPr>
          <w:color w:val="000000"/>
          <w:sz w:val="21"/>
          <w:szCs w:val="21"/>
        </w:rPr>
        <w:t xml:space="preserve">Code 6 is deliberately not zero. A partial run must not pass a build step quietly on the grounds that most of the workbook was fine.</w:t>
      </w:r>
    </w:p>
    <w:p>
      <w:r>
        <w:br w:type="page"/>
      </w:r>
    </w:p>
    <w:p>
      <w:pPr>
        <w:pStyle w:val="Heading1"/>
        <w:pBdr>
          <w:bottom w:val="single" w:color="C6CBD4" w:sz="8" w:space="6"/>
        </w:pBdr>
        <w:spacing w:after="200" w:before="400"/>
      </w:pPr>
      <w:r>
        <w:rPr>
          <w:b/>
          <w:bCs/>
          <w:color w:val="1E2761"/>
          <w:sz w:val="32"/>
          <w:szCs w:val="32"/>
        </w:rPr>
        <w:t xml:space="preserve">7  Reading the output</w:t>
      </w:r>
    </w:p>
    <w:p>
      <w:pPr>
        <w:pStyle w:val="Heading2"/>
        <w:keepNext/>
        <w:spacing w:after="120" w:before="300"/>
      </w:pPr>
      <w:r>
        <w:rPr>
          <w:b/>
          <w:bCs/>
          <w:color w:val="1E2761"/>
          <w:sz w:val="25"/>
          <w:szCs w:val="25"/>
        </w:rPr>
        <w:t xml:space="preserve">7.1  The showcase report</w:t>
      </w:r>
    </w:p>
    <w:p>
      <w:pPr>
        <w:spacing w:after="120" w:line="276"/>
      </w:pPr>
      <w:r>
        <w:rPr>
          <w:color w:val="000000"/>
          <w:sz w:val="21"/>
          <w:szCs w:val="21"/>
        </w:rPr>
        <w:t xml:space="preserve">The report is named after the service domain, taking the first one encountered where a workbook spans several, so the reference workbook produces </w:t>
      </w:r>
      <w:r>
        <w:rPr>
          <w:rFonts w:ascii="Consolas" w:cs="Consolas" w:eastAsia="Consolas" w:hAnsi="Consolas"/>
          <w:color w:val="1E2761"/>
          <w:sz w:val="19"/>
          <w:szCs w:val="19"/>
        </w:rPr>
        <w:t xml:space="preserve">credit-card.html</w:t>
      </w:r>
      <w:r>
        <w:rPr>
          <w:color w:val="000000"/>
          <w:sz w:val="21"/>
          <w:szCs w:val="21"/>
        </w:rPr>
        <w:t xml:space="preserve">. It is organised by the integration API a consumer calls, not by the System of Record endpoints behind it: each section is headed with the method and the business path, and the System of Record endpoints appear on a subordinate line for the analyst who needs them.</w:t>
      </w:r>
    </w:p>
    <w:p>
      <w:pPr>
        <w:spacing w:after="120" w:line="276"/>
      </w:pPr>
      <w:r>
        <w:rPr>
          <w:color w:val="000000"/>
          <w:sz w:val="21"/>
          <w:szCs w:val="21"/>
        </w:rPr>
        <w:t xml:space="preserve">It opens with a gate panel stating whether verification took place, which is the first thing to read, because every number beneath it means something different depending on the answer. Then a summary, then an account of how each decision was made, then the section that matters most:</w:t>
      </w:r>
    </w:p>
    <w:p>
      <w:pPr>
        <w:pStyle w:val="Heading3"/>
        <w:keepNext/>
        <w:spacing w:after="100" w:before="220"/>
      </w:pPr>
      <w:r>
        <w:rPr>
          <w:b/>
          <w:bCs/>
          <w:color w:val="8A6D1F"/>
          <w:sz w:val="22"/>
          <w:szCs w:val="22"/>
        </w:rPr>
        <w:t xml:space="preserve">Elements eliminated from the interface</w:t>
      </w:r>
    </w:p>
    <w:p>
      <w:pPr>
        <w:spacing w:after="120" w:line="276"/>
      </w:pPr>
      <w:r>
        <w:rPr>
          <w:color w:val="000000"/>
          <w:sz w:val="21"/>
          <w:szCs w:val="21"/>
        </w:rPr>
        <w:t xml:space="preserve">One table per integration API, listing only the elements that did not reach the interface, with the class they belong to, their path within the message, the reason, the System of Record field the workbook named and the detail. These are the point of the exercise. Every row is a field a consumer would otherwise have seen, and could have populated, with nothing behind it.</w:t>
      </w:r>
    </w:p>
    <w:p>
      <w:pPr>
        <w:spacing w:after="120" w:line="276"/>
      </w:pPr>
      <w:r>
        <w:rPr>
          <w:color w:val="000000"/>
          <w:sz w:val="21"/>
          <w:szCs w:val="21"/>
        </w:rPr>
        <w:t xml:space="preserve">A second part lists the elements </w:t>
      </w:r>
      <w:r>
        <w:rPr>
          <w:b/>
          <w:bCs/>
          <w:color w:val="000000"/>
          <w:sz w:val="21"/>
          <w:szCs w:val="21"/>
        </w:rPr>
        <w:t xml:space="preserve">narrowed</w:t>
      </w:r>
      <w:r>
        <w:rPr>
          <w:color w:val="000000"/>
          <w:sz w:val="21"/>
          <w:szCs w:val="21"/>
        </w:rPr>
        <w:t xml:space="preserve"> rather than removed: backed on some variants of their operation and not others, so that each variant publishes only its own.</w:t>
      </w:r>
    </w:p>
    <w:p>
      <w:pPr>
        <w:pBdr>
          <w:left w:val="single" w:color="8A6D1F" w:sz="18" w:space="8"/>
        </w:pBdr>
        <w:shd w:fill="EEF1F6" w:val="clear"/>
        <w:spacing w:after="180" w:before="120" w:line="276"/>
        <w:ind w:left="120" w:right="120"/>
      </w:pPr>
      <w:r>
        <w:rPr>
          <w:b/>
          <w:bCs/>
          <w:color w:val="1E2761"/>
          <w:sz w:val="20"/>
          <w:szCs w:val="20"/>
        </w:rPr>
        <w:t xml:space="preserve">Why the report can be used as evidence  </w:t>
      </w:r>
      <w:r>
        <w:rPr>
          <w:color w:val="000000"/>
          <w:sz w:val="20"/>
          <w:szCs w:val="20"/>
        </w:rPr>
        <w:t xml:space="preserve">Nothing in it is read back out of the generated specification. Every row is the workbook's own tree annotated with the decision the tool made, so the report is an account of the reasoning rather than a description of the output. A report derived from the output could only ever confirm that the output is what the output is.</w:t>
      </w:r>
    </w:p>
    <w:p>
      <w:pPr>
        <w:pStyle w:val="Heading2"/>
        <w:keepNext/>
        <w:spacing w:after="120" w:before="300"/>
      </w:pPr>
      <w:r>
        <w:rPr>
          <w:b/>
          <w:bCs/>
          <w:color w:val="1E2761"/>
          <w:sz w:val="25"/>
          <w:szCs w:val="25"/>
        </w:rPr>
        <w:t xml:space="preserve">7.2  The generation report</w:t>
      </w:r>
    </w:p>
    <w:p>
      <w:pPr>
        <w:spacing w:after="120" w:line="276"/>
      </w:pPr>
      <w:r>
        <w:rPr>
          <w:rFonts w:ascii="Consolas" w:cs="Consolas" w:eastAsia="Consolas" w:hAnsi="Consolas"/>
          <w:color w:val="1E2761"/>
          <w:sz w:val="19"/>
          <w:szCs w:val="19"/>
        </w:rPr>
        <w:t xml:space="preserve">generation_report.md</w:t>
      </w:r>
      <w:r>
        <w:rPr>
          <w:color w:val="000000"/>
          <w:sz w:val="21"/>
          <w:szCs w:val="21"/>
        </w:rPr>
        <w:t xml:space="preserve"> states how many endpoints generated, names each failure with its finding, tabulates every generated endpoint with its pattern, method and path, and then describes the merged specification: the operation count, the schema count, how many groups were hoisted into components and how many of those had to be specialised because the operations using them do not agree on what they publish.</w:t>
      </w:r>
    </w:p>
    <w:p>
      <w:pPr>
        <w:spacing w:after="120" w:line="276"/>
      </w:pPr>
      <w:r>
        <w:rPr>
          <w:color w:val="000000"/>
          <w:sz w:val="21"/>
          <w:szCs w:val="21"/>
        </w:rPr>
        <w:t xml:space="preserve">The schema count is higher than an equivalent unmerged run, and that is expected. Groups become named components instead of being inlined at each point of use. That is the price of reuse and of traceability.</w:t>
      </w:r>
    </w:p>
    <w:p>
      <w:pPr>
        <w:pStyle w:val="Heading2"/>
        <w:keepNext/>
        <w:spacing w:after="120" w:before="300"/>
      </w:pPr>
      <w:r>
        <w:rPr>
          <w:b/>
          <w:bCs/>
          <w:color w:val="1E2761"/>
          <w:sz w:val="25"/>
          <w:szCs w:val="25"/>
        </w:rPr>
        <w:t xml:space="preserve">7.3  Failure files</w:t>
      </w:r>
    </w:p>
    <w:p>
      <w:pPr>
        <w:spacing w:after="120" w:line="276"/>
      </w:pPr>
      <w:r>
        <w:rPr>
          <w:color w:val="000000"/>
          <w:sz w:val="21"/>
          <w:szCs w:val="21"/>
        </w:rPr>
        <w:t xml:space="preserve">A sheet that cannot be generated fails alone and the rest of the workbook generates. For that sheet the tool writes no specification, removes any specification left by an earlier run, and writes </w:t>
      </w:r>
      <w:r>
        <w:rPr>
          <w:rFonts w:ascii="Consolas" w:cs="Consolas" w:eastAsia="Consolas" w:hAnsi="Consolas"/>
          <w:color w:val="1E2761"/>
          <w:sz w:val="19"/>
          <w:szCs w:val="19"/>
        </w:rPr>
        <w:t xml:space="preserve">&lt;sheet&gt;.FAILED.md</w:t>
      </w:r>
      <w:r>
        <w:rPr>
          <w:color w:val="000000"/>
          <w:sz w:val="21"/>
          <w:szCs w:val="21"/>
        </w:rPr>
        <w:t xml:space="preserve"> naming the cell and the correction. Deleting the stale file is deliberate: a specification that looks current and is not is worse than one that is missing.</w:t>
      </w:r>
    </w:p>
    <w:p>
      <w:pPr>
        <w:pStyle w:val="Heading2"/>
        <w:keepNext/>
        <w:spacing w:after="120" w:before="300"/>
      </w:pPr>
      <w:r>
        <w:rPr>
          <w:b/>
          <w:bCs/>
          <w:color w:val="1E2761"/>
          <w:sz w:val="25"/>
          <w:szCs w:val="25"/>
        </w:rPr>
        <w:t xml:space="preserve">7.4  What the numbers looked like on the reference workbook</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6600"/>
        <w:gridCol w:w="2420"/>
      </w:tblGrid>
      <w:tr>
        <w:trPr>
          <w:tblHeader/>
        </w:trPr>
        <w:tc>
          <w:tcPr>
            <w:tcW w:type="dxa" w:w="6600"/>
            <w:shd w:fill="1E2761" w:val="clear"/>
            <w:tcMar>
              <w:top w:type="dxa" w:w="70"/>
              <w:left w:type="dxa" w:w="110"/>
              <w:bottom w:type="dxa" w:w="70"/>
              <w:right w:type="dxa" w:w="110"/>
            </w:tcMar>
            <w:vAlign w:val="top"/>
          </w:tcPr>
          <w:p>
            <w:pPr>
              <w:spacing w:after="0" w:line="250"/>
            </w:pPr>
          </w:p>
        </w:tc>
        <w:tc>
          <w:tcPr>
            <w:tcW w:type="dxa" w:w="2420"/>
            <w:shd w:fill="1E2761" w:val="clear"/>
            <w:tcMar>
              <w:top w:type="dxa" w:w="70"/>
              <w:left w:type="dxa" w:w="110"/>
              <w:bottom w:type="dxa" w:w="70"/>
              <w:right w:type="dxa" w:w="110"/>
            </w:tcMar>
            <w:vAlign w:val="top"/>
          </w:tcPr>
          <w:p>
            <w:pPr>
              <w:spacing w:after="0" w:line="250"/>
            </w:pPr>
            <w:r>
              <w:rPr>
                <w:b/>
                <w:bCs/>
                <w:color w:val="FFFFFF"/>
                <w:sz w:val="19"/>
                <w:szCs w:val="19"/>
              </w:rPr>
              <w:t xml:space="preserve">Count</w:t>
            </w:r>
          </w:p>
        </w:tc>
      </w:tr>
      <w:tr>
        <w:trPr>
          <w:tblHeader w:val="false"/>
        </w:trPr>
        <w:tc>
          <w:tcPr>
            <w:tcW w:type="dxa" w:w="6600"/>
            <w:tcMar>
              <w:top w:type="dxa" w:w="70"/>
              <w:left w:type="dxa" w:w="110"/>
              <w:bottom w:type="dxa" w:w="70"/>
              <w:right w:type="dxa" w:w="110"/>
            </w:tcMar>
            <w:vAlign w:val="top"/>
          </w:tcPr>
          <w:p>
            <w:pPr>
              <w:spacing w:after="0" w:line="250"/>
            </w:pPr>
            <w:r>
              <w:rPr>
                <w:color w:val="000000"/>
                <w:sz w:val="19"/>
                <w:szCs w:val="19"/>
              </w:rPr>
              <w:t xml:space="preserve">Elements declared in the workbook</w:t>
            </w:r>
          </w:p>
        </w:tc>
        <w:tc>
          <w:tcPr>
            <w:tcW w:type="dxa" w:w="2420"/>
            <w:tcMar>
              <w:top w:type="dxa" w:w="70"/>
              <w:left w:type="dxa" w:w="110"/>
              <w:bottom w:type="dxa" w:w="70"/>
              <w:right w:type="dxa" w:w="110"/>
            </w:tcMar>
            <w:vAlign w:val="top"/>
          </w:tcPr>
          <w:p>
            <w:pPr>
              <w:spacing w:after="0" w:line="250"/>
            </w:pPr>
            <w:r>
              <w:rPr>
                <w:color w:val="000000"/>
                <w:sz w:val="19"/>
                <w:szCs w:val="19"/>
              </w:rPr>
              <w:t xml:space="preserve">296</w:t>
            </w:r>
          </w:p>
        </w:tc>
      </w:tr>
      <w:tr>
        <w:trPr>
          <w:tblHeader w:val="false"/>
        </w:trPr>
        <w:tc>
          <w:tcPr>
            <w:tcW w:type="dxa" w:w="6600"/>
            <w:shd w:fill="F7F8FA" w:val="clear"/>
            <w:tcMar>
              <w:top w:type="dxa" w:w="70"/>
              <w:left w:type="dxa" w:w="110"/>
              <w:bottom w:type="dxa" w:w="70"/>
              <w:right w:type="dxa" w:w="110"/>
            </w:tcMar>
            <w:vAlign w:val="top"/>
          </w:tcPr>
          <w:p>
            <w:pPr>
              <w:spacing w:after="0" w:line="250"/>
            </w:pPr>
            <w:r>
              <w:rPr>
                <w:color w:val="000000"/>
                <w:sz w:val="19"/>
                <w:szCs w:val="19"/>
              </w:rPr>
              <w:t xml:space="preserve">Published in the interface</w:t>
            </w:r>
          </w:p>
        </w:tc>
        <w:tc>
          <w:tcPr>
            <w:tcW w:type="dxa" w:w="2420"/>
            <w:shd w:fill="F7F8FA" w:val="clear"/>
            <w:tcMar>
              <w:top w:type="dxa" w:w="70"/>
              <w:left w:type="dxa" w:w="110"/>
              <w:bottom w:type="dxa" w:w="70"/>
              <w:right w:type="dxa" w:w="110"/>
            </w:tcMar>
            <w:vAlign w:val="top"/>
          </w:tcPr>
          <w:p>
            <w:pPr>
              <w:spacing w:after="0" w:line="250"/>
            </w:pPr>
            <w:r>
              <w:rPr>
                <w:color w:val="000000"/>
                <w:sz w:val="19"/>
                <w:szCs w:val="19"/>
              </w:rPr>
              <w:t xml:space="preserve">155</w:t>
            </w:r>
          </w:p>
        </w:tc>
      </w:tr>
      <w:tr>
        <w:trPr>
          <w:tblHeader w:val="false"/>
        </w:trPr>
        <w:tc>
          <w:tcPr>
            <w:tcW w:type="dxa" w:w="6600"/>
            <w:tcMar>
              <w:top w:type="dxa" w:w="70"/>
              <w:left w:type="dxa" w:w="110"/>
              <w:bottom w:type="dxa" w:w="70"/>
              <w:right w:type="dxa" w:w="110"/>
            </w:tcMar>
            <w:vAlign w:val="top"/>
          </w:tcPr>
          <w:p>
            <w:pPr>
              <w:spacing w:after="0" w:line="250"/>
            </w:pPr>
            <w:r>
              <w:rPr>
                <w:color w:val="000000"/>
                <w:sz w:val="19"/>
                <w:szCs w:val="19"/>
              </w:rPr>
              <w:t xml:space="preserve">Eliminated</w:t>
            </w:r>
          </w:p>
        </w:tc>
        <w:tc>
          <w:tcPr>
            <w:tcW w:type="dxa" w:w="2420"/>
            <w:tcMar>
              <w:top w:type="dxa" w:w="70"/>
              <w:left w:type="dxa" w:w="110"/>
              <w:bottom w:type="dxa" w:w="70"/>
              <w:right w:type="dxa" w:w="110"/>
            </w:tcMar>
            <w:vAlign w:val="top"/>
          </w:tcPr>
          <w:p>
            <w:pPr>
              <w:spacing w:after="0" w:line="250"/>
            </w:pPr>
            <w:r>
              <w:rPr>
                <w:color w:val="000000"/>
                <w:sz w:val="19"/>
                <w:szCs w:val="19"/>
              </w:rPr>
              <w:t xml:space="preserve">141</w:t>
            </w:r>
          </w:p>
        </w:tc>
      </w:tr>
      <w:tr>
        <w:trPr>
          <w:tblHeader w:val="false"/>
        </w:trPr>
        <w:tc>
          <w:tcPr>
            <w:tcW w:type="dxa" w:w="6600"/>
            <w:shd w:fill="F7F8FA" w:val="clear"/>
            <w:tcMar>
              <w:top w:type="dxa" w:w="70"/>
              <w:left w:type="dxa" w:w="110"/>
              <w:bottom w:type="dxa" w:w="70"/>
              <w:right w:type="dxa" w:w="110"/>
            </w:tcMar>
            <w:vAlign w:val="top"/>
          </w:tcPr>
          <w:p>
            <w:pPr>
              <w:spacing w:after="0" w:line="250"/>
            </w:pPr>
            <w:r>
              <w:rPr>
                <w:color w:val="000000"/>
                <w:sz w:val="19"/>
                <w:szCs w:val="19"/>
              </w:rPr>
              <w:t xml:space="preserve">   of which no SOR field was named in the workbook</w:t>
            </w:r>
          </w:p>
        </w:tc>
        <w:tc>
          <w:tcPr>
            <w:tcW w:type="dxa" w:w="2420"/>
            <w:shd w:fill="F7F8FA" w:val="clear"/>
            <w:tcMar>
              <w:top w:type="dxa" w:w="70"/>
              <w:left w:type="dxa" w:w="110"/>
              <w:bottom w:type="dxa" w:w="70"/>
              <w:right w:type="dxa" w:w="110"/>
            </w:tcMar>
            <w:vAlign w:val="top"/>
          </w:tcPr>
          <w:p>
            <w:pPr>
              <w:spacing w:after="0" w:line="250"/>
            </w:pPr>
            <w:r>
              <w:rPr>
                <w:color w:val="000000"/>
                <w:sz w:val="19"/>
                <w:szCs w:val="19"/>
              </w:rPr>
              <w:t xml:space="preserve">139</w:t>
            </w:r>
          </w:p>
        </w:tc>
      </w:tr>
      <w:tr>
        <w:trPr>
          <w:tblHeader w:val="false"/>
        </w:trPr>
        <w:tc>
          <w:tcPr>
            <w:tcW w:type="dxa" w:w="6600"/>
            <w:tcMar>
              <w:top w:type="dxa" w:w="70"/>
              <w:left w:type="dxa" w:w="110"/>
              <w:bottom w:type="dxa" w:w="70"/>
              <w:right w:type="dxa" w:w="110"/>
            </w:tcMar>
            <w:vAlign w:val="top"/>
          </w:tcPr>
          <w:p>
            <w:pPr>
              <w:spacing w:after="0" w:line="250"/>
            </w:pPr>
            <w:r>
              <w:rPr>
                <w:color w:val="000000"/>
                <w:sz w:val="19"/>
                <w:szCs w:val="19"/>
              </w:rPr>
              <w:t xml:space="preserve">   of which the named field is absent from the System of Record</w:t>
            </w:r>
          </w:p>
        </w:tc>
        <w:tc>
          <w:tcPr>
            <w:tcW w:type="dxa" w:w="2420"/>
            <w:tcMar>
              <w:top w:type="dxa" w:w="70"/>
              <w:left w:type="dxa" w:w="110"/>
              <w:bottom w:type="dxa" w:w="70"/>
              <w:right w:type="dxa" w:w="110"/>
            </w:tcMar>
            <w:vAlign w:val="top"/>
          </w:tcPr>
          <w:p>
            <w:pPr>
              <w:spacing w:after="0" w:line="250"/>
            </w:pPr>
            <w:r>
              <w:rPr>
                <w:color w:val="000000"/>
                <w:sz w:val="19"/>
                <w:szCs w:val="19"/>
              </w:rPr>
              <w:t xml:space="preserve">2</w:t>
            </w:r>
          </w:p>
        </w:tc>
      </w:tr>
      <w:tr>
        <w:trPr>
          <w:tblHeader w:val="false"/>
        </w:trPr>
        <w:tc>
          <w:tcPr>
            <w:tcW w:type="dxa" w:w="6600"/>
            <w:shd w:fill="F7F8FA" w:val="clear"/>
            <w:tcMar>
              <w:top w:type="dxa" w:w="70"/>
              <w:left w:type="dxa" w:w="110"/>
              <w:bottom w:type="dxa" w:w="70"/>
              <w:right w:type="dxa" w:w="110"/>
            </w:tcMar>
            <w:vAlign w:val="top"/>
          </w:tcPr>
          <w:p>
            <w:pPr>
              <w:spacing w:after="0" w:line="250"/>
            </w:pPr>
            <w:r>
              <w:rPr>
                <w:color w:val="000000"/>
                <w:sz w:val="19"/>
                <w:szCs w:val="19"/>
              </w:rPr>
              <w:t xml:space="preserve">Narrowed to some variants rather than removed</w:t>
            </w:r>
          </w:p>
        </w:tc>
        <w:tc>
          <w:tcPr>
            <w:tcW w:type="dxa" w:w="2420"/>
            <w:shd w:fill="F7F8FA" w:val="clear"/>
            <w:tcMar>
              <w:top w:type="dxa" w:w="70"/>
              <w:left w:type="dxa" w:w="110"/>
              <w:bottom w:type="dxa" w:w="70"/>
              <w:right w:type="dxa" w:w="110"/>
            </w:tcMar>
            <w:vAlign w:val="top"/>
          </w:tcPr>
          <w:p>
            <w:pPr>
              <w:spacing w:after="0" w:line="250"/>
            </w:pPr>
            <w:r>
              <w:rPr>
                <w:color w:val="000000"/>
                <w:sz w:val="19"/>
                <w:szCs w:val="19"/>
              </w:rPr>
              <w:t xml:space="preserve">60</w:t>
            </w:r>
          </w:p>
        </w:tc>
      </w:tr>
      <w:tr>
        <w:trPr>
          <w:tblHeader w:val="false"/>
        </w:trPr>
        <w:tc>
          <w:tcPr>
            <w:tcW w:type="dxa" w:w="6600"/>
            <w:tcMar>
              <w:top w:type="dxa" w:w="70"/>
              <w:left w:type="dxa" w:w="110"/>
              <w:bottom w:type="dxa" w:w="70"/>
              <w:right w:type="dxa" w:w="110"/>
            </w:tcMar>
            <w:vAlign w:val="top"/>
          </w:tcPr>
          <w:p>
            <w:pPr>
              <w:spacing w:after="0" w:line="250"/>
            </w:pPr>
            <w:r>
              <w:rPr>
                <w:color w:val="000000"/>
                <w:sz w:val="19"/>
                <w:szCs w:val="19"/>
              </w:rPr>
              <w:t xml:space="preserve">LOST</w:t>
            </w:r>
          </w:p>
        </w:tc>
        <w:tc>
          <w:tcPr>
            <w:tcW w:type="dxa" w:w="2420"/>
            <w:tcMar>
              <w:top w:type="dxa" w:w="70"/>
              <w:left w:type="dxa" w:w="110"/>
              <w:bottom w:type="dxa" w:w="70"/>
              <w:right w:type="dxa" w:w="110"/>
            </w:tcMar>
            <w:vAlign w:val="top"/>
          </w:tcPr>
          <w:p>
            <w:pPr>
              <w:spacing w:after="0" w:line="250"/>
            </w:pPr>
            <w:r>
              <w:rPr>
                <w:color w:val="000000"/>
                <w:sz w:val="19"/>
                <w:szCs w:val="19"/>
              </w:rPr>
              <w:t xml:space="preserve">0</w:t>
            </w:r>
          </w:p>
        </w:tc>
      </w:tr>
    </w:tbl>
    <w:p>
      <w:pPr>
        <w:spacing w:after="120" w:line="276"/>
      </w:pPr>
      <w:r>
        <w:rPr>
          <w:color w:val="000000"/>
          <w:sz w:val="21"/>
          <w:szCs w:val="21"/>
        </w:rPr>
        <w:t xml:space="preserve">Structurally the same run produced 11 operations from 12 sheets, 122 schemas, 50 groups hoisted into components and 13 of those specialised across operations. Specialising is what stops merging cost anything: a naive merge holding the union of each group's shapes would show a consumer of one operation 188 attribute occurrences where the specialised merge shows 137.</w:t>
      </w:r>
    </w:p>
    <w:p>
      <w:r>
        <w:br w:type="page"/>
      </w:r>
    </w:p>
    <w:p>
      <w:pPr>
        <w:pStyle w:val="Heading1"/>
        <w:pBdr>
          <w:bottom w:val="single" w:color="C6CBD4" w:sz="8" w:space="6"/>
        </w:pBdr>
        <w:spacing w:after="200" w:before="400"/>
      </w:pPr>
      <w:r>
        <w:rPr>
          <w:b/>
          <w:bCs/>
          <w:color w:val="1E2761"/>
          <w:sz w:val="32"/>
          <w:szCs w:val="32"/>
        </w:rPr>
        <w:t xml:space="preserve">8  Checking levels</w:t>
      </w:r>
    </w:p>
    <w:p>
      <w:pPr>
        <w:spacing w:after="120" w:line="276"/>
      </w:pPr>
      <w:r>
        <w:rPr>
          <w:rFonts w:ascii="Consolas" w:cs="Consolas" w:eastAsia="Consolas" w:hAnsi="Consolas"/>
          <w:color w:val="1E2761"/>
          <w:sz w:val="19"/>
          <w:szCs w:val="19"/>
        </w:rPr>
        <w:t xml:space="preserve">check</w:t>
      </w:r>
      <w:r>
        <w:rPr>
          <w:color w:val="000000"/>
          <w:sz w:val="21"/>
          <w:szCs w:val="21"/>
        </w:rPr>
        <w:t xml:space="preserve"> reports without writing anything, at one of two levels.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1200"/>
        <w:gridCol w:w="5620"/>
        <w:gridCol w:w="2200"/>
      </w:tblGrid>
      <w:tr>
        <w:trPr>
          <w:tblHeader/>
        </w:trPr>
        <w:tc>
          <w:tcPr>
            <w:tcW w:type="dxa" w:w="1200"/>
            <w:shd w:fill="1E2761" w:val="clear"/>
            <w:tcMar>
              <w:top w:type="dxa" w:w="70"/>
              <w:left w:type="dxa" w:w="110"/>
              <w:bottom w:type="dxa" w:w="70"/>
              <w:right w:type="dxa" w:w="110"/>
            </w:tcMar>
            <w:vAlign w:val="top"/>
          </w:tcPr>
          <w:p>
            <w:pPr>
              <w:spacing w:after="0" w:line="250"/>
            </w:pPr>
            <w:r>
              <w:rPr>
                <w:b/>
                <w:bCs/>
                <w:color w:val="FFFFFF"/>
                <w:sz w:val="19"/>
                <w:szCs w:val="19"/>
              </w:rPr>
              <w:t xml:space="preserve">Level</w:t>
            </w:r>
          </w:p>
        </w:tc>
        <w:tc>
          <w:tcPr>
            <w:tcW w:type="dxa" w:w="5620"/>
            <w:shd w:fill="1E2761" w:val="clear"/>
            <w:tcMar>
              <w:top w:type="dxa" w:w="70"/>
              <w:left w:type="dxa" w:w="110"/>
              <w:bottom w:type="dxa" w:w="70"/>
              <w:right w:type="dxa" w:w="110"/>
            </w:tcMar>
            <w:vAlign w:val="top"/>
          </w:tcPr>
          <w:p>
            <w:pPr>
              <w:spacing w:after="0" w:line="250"/>
            </w:pPr>
            <w:r>
              <w:rPr>
                <w:b/>
                <w:bCs/>
                <w:color w:val="FFFFFF"/>
                <w:sz w:val="19"/>
                <w:szCs w:val="19"/>
              </w:rPr>
              <w:t xml:space="preserve">What it reports</w:t>
            </w:r>
          </w:p>
        </w:tc>
        <w:tc>
          <w:tcPr>
            <w:tcW w:type="dxa" w:w="2200"/>
            <w:shd w:fill="1E2761" w:val="clear"/>
            <w:tcMar>
              <w:top w:type="dxa" w:w="70"/>
              <w:left w:type="dxa" w:w="110"/>
              <w:bottom w:type="dxa" w:w="70"/>
              <w:right w:type="dxa" w:w="110"/>
            </w:tcMar>
            <w:vAlign w:val="top"/>
          </w:tcPr>
          <w:p>
            <w:pPr>
              <w:spacing w:after="0" w:line="250"/>
            </w:pPr>
            <w:r>
              <w:rPr>
                <w:b/>
                <w:bCs/>
                <w:color w:val="FFFFFF"/>
                <w:sz w:val="19"/>
                <w:szCs w:val="19"/>
              </w:rPr>
              <w:t xml:space="preserve">Use it</w:t>
            </w:r>
          </w:p>
        </w:tc>
      </w:tr>
      <w:tr>
        <w:trPr>
          <w:tblHeader w:val="false"/>
        </w:trPr>
        <w:tc>
          <w:tcPr>
            <w:tcW w:type="dxa" w:w="1200"/>
            <w:tcMar>
              <w:top w:type="dxa" w:w="70"/>
              <w:left w:type="dxa" w:w="110"/>
              <w:bottom w:type="dxa" w:w="70"/>
              <w:right w:type="dxa" w:w="110"/>
            </w:tcMar>
            <w:vAlign w:val="top"/>
          </w:tcPr>
          <w:p>
            <w:pPr>
              <w:spacing w:after="0" w:line="250"/>
            </w:pPr>
            <w:r>
              <w:rPr>
                <w:color w:val="000000"/>
                <w:sz w:val="19"/>
                <w:szCs w:val="19"/>
              </w:rPr>
              <w:t xml:space="preserve">Lenient</w:t>
            </w:r>
          </w:p>
        </w:tc>
        <w:tc>
          <w:tcPr>
            <w:tcW w:type="dxa" w:w="5620"/>
            <w:tcMar>
              <w:top w:type="dxa" w:w="70"/>
              <w:left w:type="dxa" w:w="110"/>
              <w:bottom w:type="dxa" w:w="70"/>
              <w:right w:type="dxa" w:w="110"/>
            </w:tcMar>
            <w:vAlign w:val="top"/>
          </w:tcPr>
          <w:p>
            <w:pPr>
              <w:spacing w:after="0" w:line="250"/>
            </w:pPr>
            <w:r>
              <w:rPr>
                <w:color w:val="000000"/>
                <w:sz w:val="19"/>
                <w:szCs w:val="19"/>
              </w:rPr>
              <w:t xml:space="preserve">Only what stops an endpoint generating. This is exactly what a run enforces, so a workbook that passes lenient will generate.</w:t>
            </w:r>
          </w:p>
        </w:tc>
        <w:tc>
          <w:tcPr>
            <w:tcW w:type="dxa" w:w="2200"/>
            <w:tcMar>
              <w:top w:type="dxa" w:w="70"/>
              <w:left w:type="dxa" w:w="110"/>
              <w:bottom w:type="dxa" w:w="70"/>
              <w:right w:type="dxa" w:w="110"/>
            </w:tcMar>
            <w:vAlign w:val="top"/>
          </w:tcPr>
          <w:p>
            <w:pPr>
              <w:spacing w:after="0" w:line="250"/>
            </w:pPr>
            <w:r>
              <w:rPr>
                <w:color w:val="000000"/>
                <w:sz w:val="19"/>
                <w:szCs w:val="19"/>
              </w:rPr>
              <w:t xml:space="preserve">Before every run, and as the gate in a build.</w:t>
            </w:r>
          </w:p>
        </w:tc>
      </w:tr>
      <w:tr>
        <w:trPr>
          <w:tblHeader w:val="false"/>
        </w:trPr>
        <w:tc>
          <w:tcPr>
            <w:tcW w:type="dxa" w:w="1200"/>
            <w:shd w:fill="F7F8FA" w:val="clear"/>
            <w:tcMar>
              <w:top w:type="dxa" w:w="70"/>
              <w:left w:type="dxa" w:w="110"/>
              <w:bottom w:type="dxa" w:w="70"/>
              <w:right w:type="dxa" w:w="110"/>
            </w:tcMar>
            <w:vAlign w:val="top"/>
          </w:tcPr>
          <w:p>
            <w:pPr>
              <w:spacing w:after="0" w:line="250"/>
            </w:pPr>
            <w:r>
              <w:rPr>
                <w:color w:val="000000"/>
                <w:sz w:val="19"/>
                <w:szCs w:val="19"/>
              </w:rPr>
              <w:t xml:space="preserve">Strict</w:t>
            </w:r>
          </w:p>
        </w:tc>
        <w:tc>
          <w:tcPr>
            <w:tcW w:type="dxa" w:w="5620"/>
            <w:shd w:fill="F7F8FA" w:val="clear"/>
            <w:tcMar>
              <w:top w:type="dxa" w:w="70"/>
              <w:left w:type="dxa" w:w="110"/>
              <w:bottom w:type="dxa" w:w="70"/>
              <w:right w:type="dxa" w:w="110"/>
            </w:tcMar>
            <w:vAlign w:val="top"/>
          </w:tcPr>
          <w:p>
            <w:pPr>
              <w:spacing w:after="0" w:line="250"/>
            </w:pPr>
            <w:r>
              <w:rPr>
                <w:color w:val="000000"/>
                <w:sz w:val="19"/>
                <w:szCs w:val="19"/>
              </w:rPr>
              <w:t xml:space="preserve">Everything lenient reports, plus the house standard: a use case, a service domain, a behaviour qualifier, a description on every attribute and an example on every mandatory one.</w:t>
            </w:r>
          </w:p>
        </w:tc>
        <w:tc>
          <w:tcPr>
            <w:tcW w:type="dxa" w:w="2200"/>
            <w:shd w:fill="F7F8FA" w:val="clear"/>
            <w:tcMar>
              <w:top w:type="dxa" w:w="70"/>
              <w:left w:type="dxa" w:w="110"/>
              <w:bottom w:type="dxa" w:w="70"/>
              <w:right w:type="dxa" w:w="110"/>
            </w:tcMar>
            <w:vAlign w:val="top"/>
          </w:tcPr>
          <w:p>
            <w:pPr>
              <w:spacing w:after="0" w:line="250"/>
            </w:pPr>
            <w:r>
              <w:rPr>
                <w:color w:val="000000"/>
                <w:sz w:val="19"/>
                <w:szCs w:val="19"/>
              </w:rPr>
              <w:t xml:space="preserve">Before a workbook is handed to a development team or signed off.</w:t>
            </w:r>
          </w:p>
        </w:tc>
      </w:tr>
    </w:tbl>
    <w:p>
      <w:pPr>
        <w:spacing w:after="120" w:line="276"/>
      </w:pPr>
      <w:r>
        <w:rPr>
          <w:color w:val="000000"/>
          <w:sz w:val="21"/>
          <w:szCs w:val="21"/>
        </w:rPr>
        <w:t xml:space="preserve">Every finding names the sheet, the cell, what was found, what was expected and how to correct it. The next chapter explains why each one happens.</w:t>
      </w:r>
    </w:p>
    <w:p>
      <w:r>
        <w:br w:type="page"/>
      </w:r>
    </w:p>
    <w:p>
      <w:pPr>
        <w:pStyle w:val="Heading1"/>
        <w:pBdr>
          <w:bottom w:val="single" w:color="C6CBD4" w:sz="8" w:space="6"/>
        </w:pBdr>
        <w:spacing w:after="200" w:before="400"/>
      </w:pPr>
      <w:r>
        <w:rPr>
          <w:b/>
          <w:bCs/>
          <w:color w:val="1E2761"/>
          <w:sz w:val="32"/>
          <w:szCs w:val="32"/>
        </w:rPr>
        <w:t xml:space="preserve">9  Resolving problems in the workbook</w:t>
      </w:r>
    </w:p>
    <w:p>
      <w:pPr>
        <w:spacing w:after="120" w:line="276"/>
      </w:pPr>
      <w:r>
        <w:rPr>
          <w:color w:val="000000"/>
          <w:sz w:val="21"/>
          <w:szCs w:val="21"/>
        </w:rPr>
        <w:t xml:space="preserve">This chapter is organised by what went wrong in the workbook rather than by finding code, because the message a tool prints describes a symptom and the correction depends on the cause. Two sheets can raise the same code for entirely different reasons and need opposite corrections. Appendix A maps every code to the section that explains it.</w:t>
      </w:r>
    </w:p>
    <w:p>
      <w:pPr>
        <w:spacing w:after="120" w:line="276"/>
      </w:pPr>
      <w:r>
        <w:rPr>
          <w:color w:val="000000"/>
          <w:sz w:val="21"/>
          <w:szCs w:val="21"/>
        </w:rPr>
        <w:t xml:space="preserve">Each section states the underlying cause, how to confirm it in a minute or two, what to change, and what happens if it is left alone.</w:t>
      </w:r>
    </w:p>
    <w:p>
      <w:pPr>
        <w:pStyle w:val="Heading2"/>
        <w:keepNext/>
        <w:spacing w:after="120" w:before="300"/>
      </w:pPr>
      <w:r>
        <w:rPr>
          <w:b/>
          <w:bCs/>
          <w:color w:val="1E2761"/>
          <w:sz w:val="25"/>
          <w:szCs w:val="25"/>
        </w:rPr>
        <w:t xml:space="preserve">9.1  The sheet came from an earlier revision of the template</w:t>
      </w:r>
    </w:p>
    <w:p>
      <w:pPr>
        <w:spacing w:after="120" w:line="276"/>
      </w:pPr>
      <w:r>
        <w:rPr>
          <w:b/>
          <w:bCs/>
          <w:color w:val="000000"/>
          <w:sz w:val="21"/>
          <w:szCs w:val="21"/>
        </w:rPr>
        <w:t xml:space="preserve">Findings you will see:</w:t>
      </w:r>
      <w:r>
        <w:rPr>
          <w:color w:val="000000"/>
          <w:sz w:val="21"/>
          <w:szCs w:val="21"/>
        </w:rPr>
        <w:t xml:space="preserve"> S001, S003, S002, B003, L003, L002</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Mapping sheets circulate. An analyst starting a new operation copies the last sheet somebody sent them rather than taking a fresh template, and revisions of the template have not always used the same words for the same things. Because the reader recognises exactly two section labels and skips everything else on purpose, a label inherited from an older revision does not fail at the point it is typed. It fails much later, when the reader finds a fully populated schema sitting under a heading it is required to ignore.</w:t>
      </w:r>
    </w:p>
    <w:p>
      <w:pPr>
        <w:spacing w:after="120" w:line="276"/>
      </w:pPr>
      <w:r>
        <w:rPr>
          <w:color w:val="000000"/>
          <w:sz w:val="21"/>
          <w:szCs w:val="21"/>
        </w:rPr>
        <w:t xml:space="preserve">S001 distinguishes two situations that look identical in a summary. Where there is no request section at all, it says so. Where the only request section is labelled something like </w:t>
      </w:r>
      <w:r>
        <w:rPr>
          <w:rFonts w:ascii="Consolas" w:cs="Consolas" w:eastAsia="Consolas" w:hAnsi="Consolas"/>
          <w:color w:val="1E2761"/>
          <w:sz w:val="19"/>
          <w:szCs w:val="19"/>
        </w:rPr>
        <w:t xml:space="preserve">Request Header</w:t>
      </w:r>
      <w:r>
        <w:rPr>
          <w:color w:val="000000"/>
          <w:sz w:val="21"/>
          <w:szCs w:val="21"/>
        </w:rPr>
        <w:t xml:space="preserve"> and the rows beneath it carry a schema, it names that row and states that the label is wrong, because that is the diagnosis: a populated request body under the wrong heading. This is the single defect in the reference workbook, at </w:t>
      </w:r>
      <w:r>
        <w:rPr>
          <w:rFonts w:ascii="Consolas" w:cs="Consolas" w:eastAsia="Consolas" w:hAnsi="Consolas"/>
          <w:color w:val="1E2761"/>
          <w:sz w:val="19"/>
          <w:szCs w:val="19"/>
        </w:rPr>
        <w:t xml:space="preserve">Card Issued Device_Retrieve!A7</w:t>
      </w:r>
      <w:r>
        <w:rPr>
          <w:color w:val="000000"/>
          <w:sz w:val="21"/>
          <w:szCs w:val="21"/>
        </w:rPr>
        <w:t xml:space="preserve">.</w:t>
      </w:r>
    </w:p>
    <w:p>
      <w:pPr>
        <w:spacing w:after="120" w:line="276"/>
      </w:pPr>
      <w:r>
        <w:rPr>
          <w:color w:val="000000"/>
          <w:sz w:val="21"/>
          <w:szCs w:val="21"/>
        </w:rPr>
        <w:t xml:space="preserve">S002, a second section of the same kind, is usually two revisions of the same message pasted one below the other during a review with neither deleted. The first is read and the second reported, so the interface reflects whichever happened to end up on top.</w:t>
      </w:r>
    </w:p>
    <w:p>
      <w:pPr>
        <w:spacing w:after="120" w:line="276"/>
      </w:pPr>
      <w:r>
        <w:rPr>
          <w:color w:val="000000"/>
          <w:sz w:val="21"/>
          <w:szCs w:val="21"/>
        </w:rPr>
        <w:t xml:space="preserve">L002 has a narrower cause. Somebody deleted the leading column to tidy the sheet, and that column is where the banner labels and the section labels live. B003 and L003 are the same story at the level of a single heading that was reworded.</w:t>
      </w:r>
    </w:p>
    <w:p>
      <w:pPr>
        <w:pStyle w:val="Heading3"/>
        <w:keepNext/>
        <w:spacing w:after="100" w:before="220"/>
      </w:pPr>
      <w:r>
        <w:rPr>
          <w:b/>
          <w:bCs/>
          <w:color w:val="8A6D1F"/>
          <w:sz w:val="22"/>
          <w:szCs w:val="22"/>
        </w:rPr>
        <w:t xml:space="preserve">Confirming it</w:t>
      </w:r>
    </w:p>
    <w:p>
      <w:pPr>
        <w:spacing w:after="120" w:line="276"/>
      </w:pPr>
      <w:r>
        <w:rPr>
          <w:color w:val="000000"/>
          <w:sz w:val="21"/>
          <w:szCs w:val="21"/>
        </w:rPr>
        <w:t xml:space="preserve">Look at what sits beneath the label rather than at the label. If the rows carry the message body, the label is wrong and no correction further down the sheet will help.</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Change the label to </w:t>
      </w:r>
      <w:r>
        <w:rPr>
          <w:rFonts w:ascii="Consolas" w:cs="Consolas" w:eastAsia="Consolas" w:hAnsi="Consolas"/>
          <w:color w:val="1E2761"/>
          <w:sz w:val="19"/>
          <w:szCs w:val="19"/>
        </w:rPr>
        <w:t xml:space="preserve">Request Body</w:t>
      </w:r>
      <w:r>
        <w:rPr>
          <w:color w:val="000000"/>
          <w:sz w:val="21"/>
          <w:szCs w:val="21"/>
        </w:rPr>
        <w:t xml:space="preserve"> or </w:t>
      </w:r>
      <w:r>
        <w:rPr>
          <w:rFonts w:ascii="Consolas" w:cs="Consolas" w:eastAsia="Consolas" w:hAnsi="Consolas"/>
          <w:color w:val="1E2761"/>
          <w:sz w:val="19"/>
          <w:szCs w:val="19"/>
        </w:rPr>
        <w:t xml:space="preserve">Response Body</w:t>
      </w:r>
      <w:r>
        <w:rPr>
          <w:color w:val="000000"/>
          <w:sz w:val="21"/>
          <w:szCs w:val="21"/>
        </w:rPr>
        <w:t xml:space="preserve">. Where the sheet genuinely documents headers as well as a body, add a separate section for the body rather than renaming the header section.</w:t>
      </w:r>
    </w:p>
    <w:p>
      <w:pPr>
        <w:pStyle w:val="Heading3"/>
        <w:keepNext/>
        <w:spacing w:after="100" w:before="220"/>
      </w:pPr>
      <w:r>
        <w:rPr>
          <w:b/>
          <w:bCs/>
          <w:color w:val="8A6D1F"/>
          <w:sz w:val="22"/>
          <w:szCs w:val="22"/>
        </w:rPr>
        <w:t xml:space="preserve">If it is left alone</w:t>
      </w:r>
    </w:p>
    <w:p>
      <w:pPr>
        <w:spacing w:after="120" w:line="276"/>
      </w:pPr>
      <w:r>
        <w:rPr>
          <w:color w:val="000000"/>
          <w:sz w:val="21"/>
          <w:szCs w:val="21"/>
        </w:rPr>
        <w:t xml:space="preserve">The operation does not generate at all. Every other sheet in the workbook still does, and the merged specification is published without it.</w:t>
      </w:r>
    </w:p>
    <w:p>
      <w:pPr>
        <w:pStyle w:val="Heading2"/>
        <w:keepNext/>
        <w:spacing w:after="120" w:before="300"/>
      </w:pPr>
      <w:r>
        <w:rPr>
          <w:b/>
          <w:bCs/>
          <w:color w:val="1E2761"/>
          <w:sz w:val="25"/>
          <w:szCs w:val="25"/>
        </w:rPr>
        <w:t xml:space="preserve">9.2  The hierarchy was indented by eye</w:t>
      </w:r>
    </w:p>
    <w:p>
      <w:pPr>
        <w:spacing w:after="120" w:line="276"/>
      </w:pPr>
      <w:r>
        <w:rPr>
          <w:b/>
          <w:bCs/>
          <w:color w:val="000000"/>
          <w:sz w:val="21"/>
          <w:szCs w:val="21"/>
        </w:rPr>
        <w:t xml:space="preserve">Findings you will see:</w:t>
      </w:r>
      <w:r>
        <w:rPr>
          <w:color w:val="000000"/>
          <w:sz w:val="21"/>
          <w:szCs w:val="21"/>
        </w:rPr>
        <w:t xml:space="preserve"> A003, A002, A004</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A row was inserted by copying a sibling and then moved to the depth it needed by adding spaces, or by using the indent button, or by dragging the text. On screen the result is indistinguishable from a correctly nested row. In the file the name is still in the Level column it was copied into, so the row's parent has silently changed and an attribute that should sit inside a group has become its sibling.</w:t>
      </w:r>
    </w:p>
    <w:p>
      <w:pPr>
        <w:spacing w:after="120" w:line="276"/>
      </w:pPr>
      <w:r>
        <w:rPr>
          <w:color w:val="000000"/>
          <w:sz w:val="21"/>
          <w:szCs w:val="21"/>
        </w:rPr>
        <w:t xml:space="preserve">A003 is nearly always this. A002, where the first row of a section sits below Level 1, is usually a section pasted from the middle of another sheet, so its schema name row was left behind. A004, two rows at Level 1 in one section, is usually two messages pasted into one section, or a group that belongs at Level 2 left where it landed.</w:t>
      </w:r>
    </w:p>
    <w:p>
      <w:pPr>
        <w:pStyle w:val="Heading3"/>
        <w:keepNext/>
        <w:spacing w:after="100" w:before="220"/>
      </w:pPr>
      <w:r>
        <w:rPr>
          <w:b/>
          <w:bCs/>
          <w:color w:val="8A6D1F"/>
          <w:sz w:val="22"/>
          <w:szCs w:val="22"/>
        </w:rPr>
        <w:t xml:space="preserve">Confirming it</w:t>
      </w:r>
    </w:p>
    <w:p>
      <w:pPr>
        <w:spacing w:after="120" w:line="276"/>
      </w:pPr>
      <w:r>
        <w:rPr>
          <w:color w:val="000000"/>
          <w:sz w:val="21"/>
          <w:szCs w:val="21"/>
        </w:rPr>
        <w:t xml:space="preserve">Select the row named in the finding and look at which Level column holds the text. Widening the Level columns for a moment makes a run of misplaced rows obvious at a glance.</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Move the text from one Level column to another. Never indent within a cell: the Level columns are the only thing that carries structure.</w:t>
      </w:r>
    </w:p>
    <w:p>
      <w:pPr>
        <w:pStyle w:val="Heading3"/>
        <w:keepNext/>
        <w:spacing w:after="100" w:before="220"/>
      </w:pPr>
      <w:r>
        <w:rPr>
          <w:b/>
          <w:bCs/>
          <w:color w:val="8A6D1F"/>
          <w:sz w:val="22"/>
          <w:szCs w:val="22"/>
        </w:rPr>
        <w:t xml:space="preserve">If it is left alone</w:t>
      </w:r>
    </w:p>
    <w:p>
      <w:pPr>
        <w:spacing w:after="120" w:line="276"/>
      </w:pPr>
      <w:r>
        <w:rPr>
          <w:color w:val="000000"/>
          <w:sz w:val="21"/>
          <w:szCs w:val="21"/>
        </w:rPr>
        <w:t xml:space="preserve">A003 and A004 stop the operation generating. A002 is a warning and the schema is published with a name taken from the wrong row.</w:t>
      </w:r>
    </w:p>
    <w:p>
      <w:pPr>
        <w:pStyle w:val="Heading2"/>
        <w:keepNext/>
        <w:spacing w:after="120" w:before="300"/>
      </w:pPr>
      <w:r>
        <w:rPr>
          <w:b/>
          <w:bCs/>
          <w:color w:val="1E2761"/>
          <w:sz w:val="25"/>
          <w:szCs w:val="25"/>
        </w:rPr>
        <w:t xml:space="preserve">9.3  A row was copied and only partly edited</w:t>
      </w:r>
    </w:p>
    <w:p>
      <w:pPr>
        <w:spacing w:after="120" w:line="276"/>
      </w:pPr>
      <w:r>
        <w:rPr>
          <w:b/>
          <w:bCs/>
          <w:color w:val="000000"/>
          <w:sz w:val="21"/>
          <w:szCs w:val="21"/>
        </w:rPr>
        <w:t xml:space="preserve">Findings you will see:</w:t>
      </w:r>
      <w:r>
        <w:rPr>
          <w:color w:val="000000"/>
          <w:sz w:val="21"/>
          <w:szCs w:val="21"/>
        </w:rPr>
        <w:t xml:space="preserve"> A007, A001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A row was duplicated to save retyping its Data Type, Usage and Description, and the name was not changed afterwards. Two attributes with the same name under the same parent cannot both exist in a schema, so one would overwrite the other. This is why A007 is an error rather than a warning.</w:t>
      </w:r>
    </w:p>
    <w:p>
      <w:pPr>
        <w:spacing w:after="120" w:line="276"/>
      </w:pPr>
      <w:r>
        <w:rPr>
          <w:color w:val="000000"/>
          <w:sz w:val="21"/>
          <w:szCs w:val="21"/>
        </w:rPr>
        <w:t xml:space="preserve">A001 is the reverse case: the Level column holds something that is not an attribute name at all, most often a sentence, a working note or a fragment of a pasted payload sample. The row is ignored and a warning is raised, because ignoring notes is intended behaviour and only becomes a problem when the note was meant to be an attribute.</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Rename one of the two rows, or delete the duplicate. For A001, either correct the name or move the content out of the Level columns, which is where notes belong.</w:t>
      </w:r>
    </w:p>
    <w:p>
      <w:pPr>
        <w:pStyle w:val="Heading2"/>
        <w:keepNext/>
        <w:spacing w:after="120" w:before="300"/>
      </w:pPr>
      <w:r>
        <w:rPr>
          <w:b/>
          <w:bCs/>
          <w:color w:val="1E2761"/>
          <w:sz w:val="25"/>
          <w:szCs w:val="25"/>
        </w:rPr>
        <w:t xml:space="preserve">9.4  The type and obligation vocabulary drifted</w:t>
      </w:r>
    </w:p>
    <w:p>
      <w:pPr>
        <w:spacing w:after="120" w:line="276"/>
      </w:pPr>
      <w:r>
        <w:rPr>
          <w:b/>
          <w:bCs/>
          <w:color w:val="000000"/>
          <w:sz w:val="21"/>
          <w:szCs w:val="21"/>
        </w:rPr>
        <w:t xml:space="preserve">Findings you will see:</w:t>
      </w:r>
      <w:r>
        <w:rPr>
          <w:color w:val="000000"/>
          <w:sz w:val="21"/>
          <w:szCs w:val="21"/>
        </w:rPr>
        <w:t xml:space="preserve"> T001, T002, U001, A005, A006</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 template binds the Data Type and Usage columns to dropdown lists, and Excel does not carry data validation across every kind of paste. A sheet that has been copied, split, merged and pasted a few times loses its dropdowns, after which the columns are typed by hand and the vocabulary drifts. </w:t>
      </w:r>
      <w:r>
        <w:rPr>
          <w:rFonts w:ascii="Consolas" w:cs="Consolas" w:eastAsia="Consolas" w:hAnsi="Consolas"/>
          <w:color w:val="1E2761"/>
          <w:sz w:val="19"/>
          <w:szCs w:val="19"/>
        </w:rPr>
        <w:t xml:space="preserve">Str</w:t>
      </w:r>
      <w:r>
        <w:rPr>
          <w:color w:val="000000"/>
          <w:sz w:val="21"/>
          <w:szCs w:val="21"/>
        </w:rPr>
        <w:t xml:space="preserve">, </w:t>
      </w:r>
      <w:r>
        <w:rPr>
          <w:rFonts w:ascii="Consolas" w:cs="Consolas" w:eastAsia="Consolas" w:hAnsi="Consolas"/>
          <w:color w:val="1E2761"/>
          <w:sz w:val="19"/>
          <w:szCs w:val="19"/>
        </w:rPr>
        <w:t xml:space="preserve">varchar</w:t>
      </w:r>
      <w:r>
        <w:rPr>
          <w:color w:val="000000"/>
          <w:sz w:val="21"/>
          <w:szCs w:val="21"/>
        </w:rPr>
        <w:t xml:space="preserve">, </w:t>
      </w:r>
      <w:r>
        <w:rPr>
          <w:rFonts w:ascii="Consolas" w:cs="Consolas" w:eastAsia="Consolas" w:hAnsi="Consolas"/>
          <w:color w:val="1E2761"/>
          <w:sz w:val="19"/>
          <w:szCs w:val="19"/>
        </w:rPr>
        <w:t xml:space="preserve">Text</w:t>
      </w:r>
      <w:r>
        <w:rPr>
          <w:color w:val="000000"/>
          <w:sz w:val="21"/>
          <w:szCs w:val="21"/>
        </w:rPr>
        <w:t xml:space="preserve">, </w:t>
      </w:r>
      <w:r>
        <w:rPr>
          <w:rFonts w:ascii="Consolas" w:cs="Consolas" w:eastAsia="Consolas" w:hAnsi="Consolas"/>
          <w:color w:val="1E2761"/>
          <w:sz w:val="19"/>
          <w:szCs w:val="19"/>
        </w:rPr>
        <w:t xml:space="preserve">Y</w:t>
      </w:r>
      <w:r>
        <w:rPr>
          <w:color w:val="000000"/>
          <w:sz w:val="21"/>
          <w:szCs w:val="21"/>
        </w:rPr>
        <w:t xml:space="preserve">, </w:t>
      </w:r>
      <w:r>
        <w:rPr>
          <w:rFonts w:ascii="Consolas" w:cs="Consolas" w:eastAsia="Consolas" w:hAnsi="Consolas"/>
          <w:color w:val="1E2761"/>
          <w:sz w:val="19"/>
          <w:szCs w:val="19"/>
        </w:rPr>
        <w:t xml:space="preserve">M</w:t>
      </w:r>
      <w:r>
        <w:rPr>
          <w:color w:val="000000"/>
          <w:sz w:val="21"/>
          <w:szCs w:val="21"/>
        </w:rPr>
        <w:t xml:space="preserve"> and </w:t>
      </w:r>
      <w:r>
        <w:rPr>
          <w:rFonts w:ascii="Consolas" w:cs="Consolas" w:eastAsia="Consolas" w:hAnsi="Consolas"/>
          <w:color w:val="1E2761"/>
          <w:sz w:val="19"/>
          <w:szCs w:val="19"/>
        </w:rPr>
        <w:t xml:space="preserve">Optional</w:t>
      </w:r>
      <w:r>
        <w:rPr>
          <w:color w:val="000000"/>
          <w:sz w:val="21"/>
          <w:szCs w:val="21"/>
        </w:rPr>
        <w:t xml:space="preserve"> all appear in workbooks that started from a valid template.</w:t>
      </w:r>
    </w:p>
    <w:p>
      <w:pPr>
        <w:spacing w:after="120" w:line="276"/>
      </w:pPr>
      <w:r>
        <w:rPr>
          <w:color w:val="000000"/>
          <w:sz w:val="21"/>
          <w:szCs w:val="21"/>
        </w:rPr>
        <w:t xml:space="preserve">T002 is different in kind: a row with no Data Type and no children. The type column was never filled, usually because the row was added last. The attribute is published as a string and any length constraint is lost, silently, which is why it is worth correcting even though nothing fails.</w:t>
      </w:r>
    </w:p>
    <w:p>
      <w:pPr>
        <w:spacing w:after="120" w:line="276"/>
      </w:pPr>
      <w:r>
        <w:rPr>
          <w:color w:val="000000"/>
          <w:sz w:val="21"/>
          <w:szCs w:val="21"/>
        </w:rPr>
        <w:t xml:space="preserve">A005 and A006 are about a type that no longer matches the shape. A005 means children were added under a row that was originally a leaf and the type was not revisited. A006 means the opposite: a group declared </w:t>
      </w:r>
      <w:r>
        <w:rPr>
          <w:rFonts w:ascii="Consolas" w:cs="Consolas" w:eastAsia="Consolas" w:hAnsi="Consolas"/>
          <w:color w:val="1E2761"/>
          <w:sz w:val="19"/>
          <w:szCs w:val="19"/>
        </w:rPr>
        <w:t xml:space="preserve">object</w:t>
      </w:r>
      <w:r>
        <w:rPr>
          <w:color w:val="000000"/>
          <w:sz w:val="21"/>
          <w:szCs w:val="21"/>
        </w:rPr>
        <w:t xml:space="preserve"> or </w:t>
      </w:r>
      <w:r>
        <w:rPr>
          <w:rFonts w:ascii="Consolas" w:cs="Consolas" w:eastAsia="Consolas" w:hAnsi="Consolas"/>
          <w:color w:val="1E2761"/>
          <w:sz w:val="19"/>
          <w:szCs w:val="19"/>
        </w:rPr>
        <w:t xml:space="preserve">Array</w:t>
      </w:r>
      <w:r>
        <w:rPr>
          <w:color w:val="000000"/>
          <w:sz w:val="21"/>
          <w:szCs w:val="21"/>
        </w:rPr>
        <w:t xml:space="preserve"> with nothing beneath it, because the children were removed during a trim or the group is a placeholder for a mapping that was never done.</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Retype the value from the vocabulary sheet, or copy a good cell over the bad one to restore the dropdown. For A006, either add the attributes one Level deeper or change the type to a scalar.</w:t>
      </w:r>
    </w:p>
    <w:p>
      <w:pPr>
        <w:pBdr>
          <w:left w:val="single" w:color="8A6D1F" w:sz="18" w:space="8"/>
        </w:pBdr>
        <w:shd w:fill="EEF1F6" w:val="clear"/>
        <w:spacing w:after="180" w:before="120" w:line="276"/>
        <w:ind w:left="120" w:right="120"/>
      </w:pPr>
      <w:r>
        <w:rPr>
          <w:b/>
          <w:bCs/>
          <w:color w:val="1E2761"/>
          <w:sz w:val="20"/>
          <w:szCs w:val="20"/>
        </w:rPr>
        <w:t xml:space="preserve">Why A006 is worth attention  </w:t>
      </w:r>
      <w:r>
        <w:rPr>
          <w:color w:val="000000"/>
          <w:sz w:val="20"/>
          <w:szCs w:val="20"/>
        </w:rPr>
        <w:t xml:space="preserve">An </w:t>
      </w:r>
      <w:r>
        <w:rPr>
          <w:rFonts w:ascii="Consolas" w:cs="Consolas" w:eastAsia="Consolas" w:hAnsi="Consolas"/>
          <w:color w:val="1E2761"/>
          <w:sz w:val="18"/>
          <w:szCs w:val="18"/>
        </w:rPr>
        <w:t xml:space="preserve">object</w:t>
      </w:r>
      <w:r>
        <w:rPr>
          <w:color w:val="000000"/>
          <w:sz w:val="20"/>
          <w:szCs w:val="20"/>
        </w:rPr>
        <w:t xml:space="preserve"> with nothing inside it publishes as </w:t>
      </w:r>
      <w:r>
        <w:rPr>
          <w:rFonts w:ascii="Consolas" w:cs="Consolas" w:eastAsia="Consolas" w:hAnsi="Consolas"/>
          <w:color w:val="1E2761"/>
          <w:sz w:val="18"/>
          <w:szCs w:val="18"/>
        </w:rPr>
        <w:t xml:space="preserve">properties: {}</w:t>
      </w:r>
      <w:r>
        <w:rPr>
          <w:color w:val="000000"/>
          <w:sz w:val="20"/>
          <w:szCs w:val="20"/>
        </w:rPr>
        <w:t xml:space="preserve">, an interface element that accepts anything and means nothing. That is precisely the defect this tool was built to eliminate, so the generator refuses to emit one and reports it as a fault if one ever reaches the output.</w:t>
      </w:r>
    </w:p>
    <w:p>
      <w:pPr>
        <w:pStyle w:val="Heading2"/>
        <w:keepNext/>
        <w:spacing w:after="120" w:before="300"/>
      </w:pPr>
      <w:r>
        <w:rPr>
          <w:b/>
          <w:bCs/>
          <w:color w:val="1E2761"/>
          <w:sz w:val="25"/>
          <w:szCs w:val="25"/>
        </w:rPr>
        <w:t xml:space="preserve">9.5  The banner was left until later</w:t>
      </w:r>
    </w:p>
    <w:p>
      <w:pPr>
        <w:spacing w:after="120" w:line="276"/>
      </w:pPr>
      <w:r>
        <w:rPr>
          <w:b/>
          <w:bCs/>
          <w:color w:val="000000"/>
          <w:sz w:val="21"/>
          <w:szCs w:val="21"/>
        </w:rPr>
        <w:t xml:space="preserve">Findings you will see:</w:t>
      </w:r>
      <w:r>
        <w:rPr>
          <w:color w:val="000000"/>
          <w:sz w:val="21"/>
          <w:szCs w:val="21"/>
        </w:rPr>
        <w:t xml:space="preserve"> R003, R002, B001, B002</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 </w:t>
      </w:r>
      <w:r>
        <w:rPr>
          <w:rFonts w:ascii="Consolas" w:cs="Consolas" w:eastAsia="Consolas" w:hAnsi="Consolas"/>
          <w:color w:val="1E2761"/>
          <w:sz w:val="19"/>
          <w:szCs w:val="19"/>
        </w:rPr>
        <w:t xml:space="preserve">SOR API Endpoint</w:t>
      </w:r>
      <w:r>
        <w:rPr>
          <w:color w:val="000000"/>
          <w:sz w:val="21"/>
          <w:szCs w:val="21"/>
        </w:rPr>
        <w:t xml:space="preserve"> cell is usually the last cell an analyst fills, because the value arrives from a different team on a different schedule. The sheet is otherwise complete and looks finished. R003 says that cell is empty, and it is worth being clear about why a column header naming an endpoint does not rescue the situation: the header is documentation for a human reader of the workbook and has never been read as the source of the endpoint.</w:t>
      </w:r>
    </w:p>
    <w:p>
      <w:pPr>
        <w:spacing w:after="120" w:line="276"/>
      </w:pPr>
      <w:r>
        <w:rPr>
          <w:color w:val="000000"/>
          <w:sz w:val="21"/>
          <w:szCs w:val="21"/>
        </w:rPr>
        <w:t xml:space="preserve">R002 has a more specific cause. The sheet grew from one System of Record endpoint to several, columns were added for the new ones, and the banner was not extended. Pairing is positional, left to right, the same convention the </w:t>
      </w:r>
      <w:r>
        <w:rPr>
          <w:rFonts w:ascii="Consolas" w:cs="Consolas" w:eastAsia="Consolas" w:hAnsi="Consolas"/>
          <w:color w:val="1E2761"/>
          <w:sz w:val="19"/>
          <w:szCs w:val="19"/>
        </w:rPr>
        <w:t xml:space="preserve">requestVariant</w:t>
      </w:r>
      <w:r>
        <w:rPr>
          <w:color w:val="000000"/>
          <w:sz w:val="21"/>
          <w:szCs w:val="21"/>
        </w:rPr>
        <w:t xml:space="preserve"> values already follow, so a banner naming two endpoints against three columns cannot be paired at all. The tool refuses rather than guessing, because a wrong pairing would verify each element against the wrong endpoint and produce a plausible interface that is wrong.</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Fill the banner cell. Where the sheet calls several endpoints, list them in the same left to right order as the SOR columns.</w:t>
      </w:r>
    </w:p>
    <w:p>
      <w:pPr>
        <w:pStyle w:val="Heading2"/>
        <w:keepNext/>
        <w:spacing w:after="120" w:before="300"/>
      </w:pPr>
      <w:r>
        <w:rPr>
          <w:b/>
          <w:bCs/>
          <w:color w:val="1E2761"/>
          <w:sz w:val="25"/>
          <w:szCs w:val="25"/>
        </w:rPr>
        <w:t xml:space="preserve">9.6  The endpoint is recorded twice and the two records drifted</w:t>
      </w:r>
    </w:p>
    <w:p>
      <w:pPr>
        <w:spacing w:after="120" w:line="276"/>
      </w:pPr>
      <w:r>
        <w:rPr>
          <w:b/>
          <w:bCs/>
          <w:color w:val="000000"/>
          <w:sz w:val="21"/>
          <w:szCs w:val="21"/>
        </w:rPr>
        <w:t xml:space="preserve">Findings you will see:</w:t>
      </w:r>
      <w:r>
        <w:rPr>
          <w:color w:val="000000"/>
          <w:sz w:val="21"/>
          <w:szCs w:val="21"/>
        </w:rPr>
        <w:t xml:space="preserve"> R001, M002, M003, M001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 endpoint appears in the banner and again on each SOR column header. Two records of the same fact, updated by different edits at different times, drift apart. In the reference workbook the </w:t>
      </w:r>
      <w:r>
        <w:rPr>
          <w:rFonts w:ascii="Consolas" w:cs="Consolas" w:eastAsia="Consolas" w:hAnsi="Consolas"/>
          <w:color w:val="1E2761"/>
          <w:sz w:val="19"/>
          <w:szCs w:val="19"/>
        </w:rPr>
        <w:t xml:space="preserve">Card RSAEncrypted</w:t>
      </w:r>
      <w:r>
        <w:rPr>
          <w:color w:val="000000"/>
          <w:sz w:val="21"/>
          <w:szCs w:val="21"/>
        </w:rPr>
        <w:t xml:space="preserve"> sheet has a banner naming the RSA encryption endpoint and a column header naming the cancellation endpoint. One of them is simply wrong.</w:t>
      </w:r>
    </w:p>
    <w:p>
      <w:pPr>
        <w:spacing w:after="120" w:line="276"/>
      </w:pPr>
      <w:r>
        <w:rPr>
          <w:color w:val="000000"/>
          <w:sz w:val="21"/>
          <w:szCs w:val="21"/>
        </w:rPr>
        <w:t xml:space="preserve">The banner is definitive, so the interface is unaffected: the banner endpoint is used and R001 is raised as a warning. The finding exists because a person reading the workbook has no way of knowing which record the tool followed, and the workbook is read by many more people than the tool.</w:t>
      </w:r>
    </w:p>
    <w:p>
      <w:pPr>
        <w:spacing w:after="120" w:line="276"/>
      </w:pPr>
      <w:r>
        <w:rPr>
          <w:color w:val="000000"/>
          <w:sz w:val="21"/>
          <w:szCs w:val="21"/>
        </w:rPr>
        <w:t xml:space="preserve">M002, two SOR columns naming the same endpoint, is a column duplicated to hold a second variant with the header left unchanged. M003 is a header such as </w:t>
      </w:r>
      <w:r>
        <w:rPr>
          <w:rFonts w:ascii="Consolas" w:cs="Consolas" w:eastAsia="Consolas" w:hAnsi="Consolas"/>
          <w:color w:val="1E2761"/>
          <w:sz w:val="19"/>
          <w:szCs w:val="19"/>
        </w:rPr>
        <w:t xml:space="preserve">SOR</w:t>
      </w:r>
      <w:r>
        <w:rPr>
          <w:color w:val="000000"/>
          <w:sz w:val="21"/>
          <w:szCs w:val="21"/>
        </w:rPr>
        <w:t xml:space="preserve"> or </w:t>
      </w:r>
      <w:r>
        <w:rPr>
          <w:rFonts w:ascii="Consolas" w:cs="Consolas" w:eastAsia="Consolas" w:hAnsi="Consolas"/>
          <w:color w:val="1E2761"/>
          <w:sz w:val="19"/>
          <w:szCs w:val="19"/>
        </w:rPr>
        <w:t xml:space="preserve">SOR field</w:t>
      </w:r>
      <w:r>
        <w:rPr>
          <w:color w:val="000000"/>
          <w:sz w:val="21"/>
          <w:szCs w:val="21"/>
        </w:rPr>
        <w:t xml:space="preserve"> left over from a single endpoint sheet that later grew, which is harmless while there is one column and ambiguous the moment there are two. M001, no SOR column found at all, means the header was reworded past recognition, so the sheet maps to nothing.</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Correct whichever of the two records is wrong. Deciding which one requires the System of Record specification rather than the workbook.</w:t>
      </w:r>
    </w:p>
    <w:p>
      <w:pPr>
        <w:pStyle w:val="Heading2"/>
        <w:keepNext/>
        <w:spacing w:after="120" w:before="300"/>
      </w:pPr>
      <w:r>
        <w:rPr>
          <w:b/>
          <w:bCs/>
          <w:color w:val="1E2761"/>
          <w:sz w:val="25"/>
          <w:szCs w:val="25"/>
        </w:rPr>
        <w:t xml:space="preserve">9.7  The workbook and the System of Record are at different releases</w:t>
      </w:r>
    </w:p>
    <w:p>
      <w:pPr>
        <w:spacing w:after="120" w:line="276"/>
      </w:pPr>
      <w:r>
        <w:rPr>
          <w:b/>
          <w:bCs/>
          <w:color w:val="000000"/>
          <w:sz w:val="21"/>
          <w:szCs w:val="21"/>
        </w:rPr>
        <w:t xml:space="preserve">Findings you will see:</w:t>
      </w:r>
      <w:r>
        <w:rPr>
          <w:color w:val="000000"/>
          <w:sz w:val="21"/>
          <w:szCs w:val="21"/>
        </w:rPr>
        <w:t xml:space="preserve"> R010, R021, R004, R005</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R010 says a named field does not exist in the endpoint. The name is usually real, and historical. The mapping was made against one release of the System of Record and verified against another, or the vendor renamed the field between releases, or the analyst copied the name from a payload sample where a wrapper had already been stripped.</w:t>
      </w:r>
    </w:p>
    <w:p>
      <w:pPr>
        <w:spacing w:after="120" w:line="276"/>
      </w:pPr>
      <w:r>
        <w:rPr>
          <w:color w:val="000000"/>
          <w:sz w:val="21"/>
          <w:szCs w:val="21"/>
        </w:rPr>
        <w:t xml:space="preserve">This is the finding that most repays investigation, because two very different situations produce identical output. If the field still exists under another name, the workbook is stale and the correction is a workbook edit. If nothing resembling it exists any more, the System of Record genuinely no longer supplies the attribute, the removal is correct, and what needs deciding is whether the interface should still promise it.</w:t>
      </w:r>
    </w:p>
    <w:p>
      <w:pPr>
        <w:spacing w:after="120" w:line="276"/>
      </w:pPr>
      <w:r>
        <w:rPr>
          <w:color w:val="000000"/>
          <w:sz w:val="21"/>
          <w:szCs w:val="21"/>
        </w:rPr>
        <w:t xml:space="preserve">R021 is the per-sheet total and is best treated as an index into the individual R010 findings rather than as a finding in its own right.</w:t>
      </w:r>
    </w:p>
    <w:p>
      <w:pPr>
        <w:spacing w:after="120" w:line="276"/>
      </w:pPr>
      <w:r>
        <w:rPr>
          <w:color w:val="000000"/>
          <w:sz w:val="21"/>
          <w:szCs w:val="21"/>
        </w:rPr>
        <w:t xml:space="preserve">R004 usually is not a workbook problem at all. The endpoint is not in any specification that was supplied, which far more often means the specification for that product was not passed to the tool than that the endpoint does not exist. Check what was given to </w:t>
      </w:r>
      <w:r>
        <w:rPr>
          <w:rFonts w:ascii="Consolas" w:cs="Consolas" w:eastAsia="Consolas" w:hAnsi="Consolas"/>
          <w:color w:val="1E2761"/>
          <w:sz w:val="19"/>
          <w:szCs w:val="19"/>
        </w:rPr>
        <w:t xml:space="preserve">--sor</w:t>
      </w:r>
      <w:r>
        <w:rPr>
          <w:color w:val="000000"/>
          <w:sz w:val="21"/>
          <w:szCs w:val="21"/>
        </w:rPr>
        <w:t xml:space="preserve"> before touching the workbook.</w:t>
      </w:r>
    </w:p>
    <w:p>
      <w:pPr>
        <w:spacing w:after="120" w:line="276"/>
      </w:pPr>
      <w:r>
        <w:rPr>
          <w:color w:val="000000"/>
          <w:sz w:val="21"/>
          <w:szCs w:val="21"/>
        </w:rPr>
        <w:t xml:space="preserve">R005 means the banner states a method the specification does not define for that path, normally because the verb was written from memory. The method defined by the specification is used.</w:t>
      </w:r>
    </w:p>
    <w:p>
      <w:pPr>
        <w:pStyle w:val="Heading3"/>
        <w:keepNext/>
        <w:spacing w:after="100" w:before="220"/>
      </w:pPr>
      <w:r>
        <w:rPr>
          <w:b/>
          <w:bCs/>
          <w:color w:val="8A6D1F"/>
          <w:sz w:val="22"/>
          <w:szCs w:val="22"/>
        </w:rPr>
        <w:t xml:space="preserve">Confirming it</w:t>
      </w:r>
    </w:p>
    <w:p>
      <w:pPr>
        <w:spacing w:after="120" w:line="276"/>
      </w:pPr>
      <w:r>
        <w:rPr>
          <w:color w:val="000000"/>
          <w:sz w:val="21"/>
          <w:szCs w:val="21"/>
        </w:rPr>
        <w:t xml:space="preserve">Search the System of Record specification for the attribute the workbook is describing rather than for the name it wrote. The distinction between a renamed field and a withdrawn one is the whole question, and only the specification answers it.</w:t>
      </w:r>
    </w:p>
    <w:p>
      <w:pPr>
        <w:pStyle w:val="Heading2"/>
        <w:keepNext/>
        <w:spacing w:after="120" w:before="300"/>
      </w:pPr>
      <w:r>
        <w:rPr>
          <w:b/>
          <w:bCs/>
          <w:color w:val="1E2761"/>
          <w:sz w:val="25"/>
          <w:szCs w:val="25"/>
        </w:rPr>
        <w:t xml:space="preserve">9.8  The System of Record uses the same leaf name in several places</w:t>
      </w:r>
    </w:p>
    <w:p>
      <w:pPr>
        <w:spacing w:after="120" w:line="276"/>
      </w:pPr>
      <w:r>
        <w:rPr>
          <w:b/>
          <w:bCs/>
          <w:color w:val="000000"/>
          <w:sz w:val="21"/>
          <w:szCs w:val="21"/>
        </w:rPr>
        <w:t xml:space="preserve">Findings you will see:</w:t>
      </w:r>
      <w:r>
        <w:rPr>
          <w:color w:val="000000"/>
          <w:sz w:val="21"/>
          <w:szCs w:val="21"/>
        </w:rPr>
        <w:t xml:space="preserve"> R011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Nothing went wrong. Field names in workbooks arrive as bare names, as two, three and four segment paths, and sometimes several to a cell, so matching is done on the last segment alone. The cost of a rule that generous is that a name such as </w:t>
      </w:r>
      <w:r>
        <w:rPr>
          <w:rFonts w:ascii="Consolas" w:cs="Consolas" w:eastAsia="Consolas" w:hAnsi="Consolas"/>
          <w:color w:val="1E2761"/>
          <w:sz w:val="19"/>
          <w:szCs w:val="19"/>
        </w:rPr>
        <w:t xml:space="preserve">value</w:t>
      </w:r>
      <w:r>
        <w:rPr>
          <w:color w:val="000000"/>
          <w:sz w:val="21"/>
          <w:szCs w:val="21"/>
        </w:rPr>
        <w:t xml:space="preserve">, </w:t>
      </w:r>
      <w:r>
        <w:rPr>
          <w:rFonts w:ascii="Consolas" w:cs="Consolas" w:eastAsia="Consolas" w:hAnsi="Consolas"/>
          <w:color w:val="1E2761"/>
          <w:sz w:val="19"/>
          <w:szCs w:val="19"/>
        </w:rPr>
        <w:t xml:space="preserve">description</w:t>
      </w:r>
      <w:r>
        <w:rPr>
          <w:color w:val="000000"/>
          <w:sz w:val="21"/>
          <w:szCs w:val="21"/>
        </w:rPr>
        <w:t xml:space="preserve"> or </w:t>
      </w:r>
      <w:r>
        <w:rPr>
          <w:rFonts w:ascii="Consolas" w:cs="Consolas" w:eastAsia="Consolas" w:hAnsi="Consolas"/>
          <w:color w:val="1E2761"/>
          <w:sz w:val="19"/>
          <w:szCs w:val="19"/>
        </w:rPr>
        <w:t xml:space="preserve">currencyCode</w:t>
      </w:r>
      <w:r>
        <w:rPr>
          <w:color w:val="000000"/>
          <w:sz w:val="21"/>
          <w:szCs w:val="21"/>
        </w:rPr>
        <w:t xml:space="preserve"> may occur in three places in one response. The element is kept, the tool records which occurrence it matched and lists the alternatives, and it raises a warning so that nobody reading the workbook has to guess.</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Write the fuller path in the cell. Matching still uses the last segment, so this changes nothing about the interface. It changes what a reviewer can tell from the workbook, which is the point.</w:t>
      </w:r>
    </w:p>
    <w:p>
      <w:pPr>
        <w:pStyle w:val="Heading2"/>
        <w:keepNext/>
        <w:spacing w:after="120" w:before="300"/>
      </w:pPr>
      <w:r>
        <w:rPr>
          <w:b/>
          <w:bCs/>
          <w:color w:val="1E2761"/>
          <w:sz w:val="25"/>
          <w:szCs w:val="25"/>
        </w:rPr>
        <w:t xml:space="preserve">9.9  The sheet points at the wrong endpoint entirely</w:t>
      </w:r>
    </w:p>
    <w:p>
      <w:pPr>
        <w:spacing w:after="120" w:line="276"/>
      </w:pPr>
      <w:r>
        <w:rPr>
          <w:b/>
          <w:bCs/>
          <w:color w:val="000000"/>
          <w:sz w:val="21"/>
          <w:szCs w:val="21"/>
        </w:rPr>
        <w:t xml:space="preserve">Findings you will see:</w:t>
      </w:r>
      <w:r>
        <w:rPr>
          <w:color w:val="000000"/>
          <w:sz w:val="21"/>
          <w:szCs w:val="21"/>
        </w:rPr>
        <w:t xml:space="preserve"> R020</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Not one field name on the sheet was found in the endpoint it names. The arithmetic settles the diagnosis: where a sheet names thirty fields and none of the thirty exists, the chance that the System of Record withdrew all thirty is negligible. Either the banner names the wrong endpoint, or the wrong specification was supplied for that product.</w:t>
      </w:r>
    </w:p>
    <w:p>
      <w:pPr>
        <w:spacing w:after="120" w:line="276"/>
      </w:pPr>
      <w:r>
        <w:rPr>
          <w:color w:val="000000"/>
          <w:sz w:val="21"/>
          <w:szCs w:val="21"/>
        </w:rPr>
        <w:t xml:space="preserve">The operation fails rather than publishing, because verifying every element away would produce an interface with nothing in it. An empty interface that looks generated is worse than an operation that is visibly missing.</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Check the banner and the </w:t>
      </w:r>
      <w:r>
        <w:rPr>
          <w:rFonts w:ascii="Consolas" w:cs="Consolas" w:eastAsia="Consolas" w:hAnsi="Consolas"/>
          <w:color w:val="1E2761"/>
          <w:sz w:val="19"/>
          <w:szCs w:val="19"/>
        </w:rPr>
        <w:t xml:space="preserve">--sor</w:t>
      </w:r>
      <w:r>
        <w:rPr>
          <w:color w:val="000000"/>
          <w:sz w:val="21"/>
          <w:szCs w:val="21"/>
        </w:rPr>
        <w:t xml:space="preserve"> list, in that order, against the specification. Both are quicker to check than the workbook.</w:t>
      </w:r>
    </w:p>
    <w:p>
      <w:pPr>
        <w:pStyle w:val="Heading2"/>
        <w:keepNext/>
        <w:spacing w:after="120" w:before="300"/>
      </w:pPr>
      <w:r>
        <w:rPr>
          <w:b/>
          <w:bCs/>
          <w:color w:val="1E2761"/>
          <w:sz w:val="25"/>
          <w:szCs w:val="25"/>
        </w:rPr>
        <w:t xml:space="preserve">9.10  Adjacent sheets were filled in by different people</w:t>
      </w:r>
    </w:p>
    <w:p>
      <w:pPr>
        <w:spacing w:after="120" w:line="276"/>
      </w:pPr>
      <w:r>
        <w:rPr>
          <w:b/>
          <w:bCs/>
          <w:color w:val="000000"/>
          <w:sz w:val="21"/>
          <w:szCs w:val="21"/>
        </w:rPr>
        <w:t xml:space="preserve">Findings you will see:</w:t>
      </w:r>
      <w:r>
        <w:rPr>
          <w:color w:val="000000"/>
          <w:sz w:val="21"/>
          <w:szCs w:val="21"/>
        </w:rPr>
        <w:t xml:space="preserve"> N001, N002, P002, P001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These findings can only exist once the sheets are merged, because while each sheet has its own namespace nothing collides. Merging is what makes the divergence visible, and the divergence was always there.</w:t>
      </w:r>
    </w:p>
    <w:p>
      <w:pPr>
        <w:spacing w:after="120" w:line="276"/>
      </w:pPr>
      <w:r>
        <w:rPr>
          <w:color w:val="000000"/>
          <w:sz w:val="21"/>
          <w:szCs w:val="21"/>
        </w:rPr>
        <w:t xml:space="preserve">N001 is two analysts filling adjacent sheets with neither owning the naming, so one wrote </w:t>
      </w:r>
      <w:r>
        <w:rPr>
          <w:rFonts w:ascii="Consolas" w:cs="Consolas" w:eastAsia="Consolas" w:hAnsi="Consolas"/>
          <w:color w:val="1E2761"/>
          <w:sz w:val="19"/>
          <w:szCs w:val="19"/>
        </w:rPr>
        <w:t xml:space="preserve">AccountIdentifier</w:t>
      </w:r>
      <w:r>
        <w:rPr>
          <w:color w:val="000000"/>
          <w:sz w:val="21"/>
          <w:szCs w:val="21"/>
        </w:rPr>
        <w:t xml:space="preserve"> and the other </w:t>
      </w:r>
      <w:r>
        <w:rPr>
          <w:rFonts w:ascii="Consolas" w:cs="Consolas" w:eastAsia="Consolas" w:hAnsi="Consolas"/>
          <w:color w:val="1E2761"/>
          <w:sz w:val="19"/>
          <w:szCs w:val="19"/>
        </w:rPr>
        <w:t xml:space="preserve">Accountidentifier</w:t>
      </w:r>
      <w:r>
        <w:rPr>
          <w:color w:val="000000"/>
          <w:sz w:val="21"/>
          <w:szCs w:val="21"/>
        </w:rPr>
        <w:t xml:space="preserve">. In one specification those become two schemas one keystroke apart. The tool reports and never renames, because renaming would change a published field name without anybody seeing it happen. N002 is the same story for the service domain, and there the tag is folded to the most used spelling, because a tag is not part of the payload.</w:t>
      </w:r>
    </w:p>
    <w:p>
      <w:pPr>
        <w:spacing w:after="120" w:line="276"/>
      </w:pPr>
      <w:r>
        <w:rPr>
          <w:color w:val="000000"/>
          <w:sz w:val="21"/>
          <w:szCs w:val="21"/>
        </w:rPr>
        <w:t xml:space="preserve">P002 is the substantive one: the same business attribute mapped twice by different people against different System of Record calls, so its length or its obligation disagree between sheets. The tool can publish both, and does, as separate schemas. Each P002 resolved buys back a shared component.</w:t>
      </w:r>
    </w:p>
    <w:p>
      <w:pPr>
        <w:spacing w:after="120" w:line="276"/>
      </w:pPr>
      <w:r>
        <w:rPr>
          <w:color w:val="000000"/>
          <w:sz w:val="21"/>
          <w:szCs w:val="21"/>
        </w:rPr>
        <w:t xml:space="preserve">P001 says a group used in several places could not be given a shared base, and it distinguishes two situations. Either the uses have no attribute in common, which is legitimate and means one name is doing duty for two different concepts, or they share attributes declared inconsistently, in which case the accompanying P002 findings name the differences exactly.</w:t>
      </w:r>
    </w:p>
    <w:p>
      <w:pPr>
        <w:pStyle w:val="Heading3"/>
        <w:keepNext/>
        <w:spacing w:after="100" w:before="220"/>
      </w:pPr>
      <w:r>
        <w:rPr>
          <w:b/>
          <w:bCs/>
          <w:color w:val="8A6D1F"/>
          <w:sz w:val="22"/>
          <w:szCs w:val="22"/>
        </w:rPr>
        <w:t xml:space="preserve">The order to work in</w:t>
      </w:r>
    </w:p>
    <w:p>
      <w:pPr>
        <w:spacing w:after="120" w:line="276"/>
      </w:pPr>
      <w:r>
        <w:rPr>
          <w:color w:val="000000"/>
          <w:sz w:val="21"/>
          <w:szCs w:val="21"/>
        </w:rPr>
        <w:t xml:space="preserve">Resolve the P002 findings first and re-run. Several P001 findings normally disappear with them. On the reference workbook the single N001 correction collapses the largest family in the specification.</w:t>
      </w:r>
    </w:p>
    <w:p>
      <w:pPr>
        <w:pStyle w:val="Heading2"/>
        <w:keepNext/>
        <w:spacing w:after="120" w:before="300"/>
      </w:pPr>
      <w:r>
        <w:rPr>
          <w:b/>
          <w:bCs/>
          <w:color w:val="1E2761"/>
          <w:sz w:val="25"/>
          <w:szCs w:val="25"/>
        </w:rPr>
        <w:t xml:space="preserve">9.11  Two sheets claim the same identity</w:t>
      </w:r>
    </w:p>
    <w:p>
      <w:pPr>
        <w:spacing w:after="120" w:line="276"/>
      </w:pPr>
      <w:r>
        <w:rPr>
          <w:b/>
          <w:bCs/>
          <w:color w:val="000000"/>
          <w:sz w:val="21"/>
          <w:szCs w:val="21"/>
        </w:rPr>
        <w:t xml:space="preserve">Findings you will see:</w:t>
      </w:r>
      <w:r>
        <w:rPr>
          <w:color w:val="000000"/>
          <w:sz w:val="21"/>
          <w:szCs w:val="21"/>
        </w:rPr>
        <w:t xml:space="preserve"> Z002, Z003</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A sheet was copied to start a new operation and one of the two things that identify it was not changed. Z002 is the Level 1 schema name; Z003 is the </w:t>
      </w:r>
      <w:r>
        <w:rPr>
          <w:rFonts w:ascii="Consolas" w:cs="Consolas" w:eastAsia="Consolas" w:hAnsi="Consolas"/>
          <w:color w:val="1E2761"/>
          <w:sz w:val="19"/>
          <w:szCs w:val="19"/>
        </w:rPr>
        <w:t xml:space="preserve">Proposed Business API Endpoint</w:t>
      </w:r>
      <w:r>
        <w:rPr>
          <w:color w:val="000000"/>
          <w:sz w:val="21"/>
          <w:szCs w:val="21"/>
        </w:rPr>
        <w:t xml:space="preserve">, so two operations claim the same path and method.</w:t>
      </w:r>
    </w:p>
    <w:p>
      <w:pPr>
        <w:spacing w:after="120" w:line="276"/>
      </w:pPr>
      <w:r>
        <w:rPr>
          <w:color w:val="000000"/>
          <w:sz w:val="21"/>
          <w:szCs w:val="21"/>
        </w:rPr>
        <w:t xml:space="preserve">Both stop the merged specification rather than the individual sheet, which is deliberate. A collision is not a property of either sheet on its own, and the alternative would be one operation silently overwriting another.</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Give one of the two its own name or its own path. Where the two really are the same operation, one of the sheets should be deleted rather than renamed.</w:t>
      </w:r>
    </w:p>
    <w:p>
      <w:pPr>
        <w:pStyle w:val="Heading2"/>
        <w:keepNext/>
        <w:spacing w:after="120" w:before="300"/>
      </w:pPr>
      <w:r>
        <w:rPr>
          <w:b/>
          <w:bCs/>
          <w:color w:val="1E2761"/>
          <w:sz w:val="25"/>
          <w:szCs w:val="25"/>
        </w:rPr>
        <w:t xml:space="preserve">9.12  The mapping was never finished</w:t>
      </w:r>
    </w:p>
    <w:p>
      <w:pPr>
        <w:spacing w:after="120" w:line="276"/>
      </w:pPr>
      <w:r>
        <w:rPr>
          <w:b/>
          <w:bCs/>
          <w:color w:val="000000"/>
          <w:sz w:val="21"/>
          <w:szCs w:val="21"/>
        </w:rPr>
        <w:t xml:space="preserve">Findings you will see:</w:t>
      </w:r>
      <w:r>
        <w:rPr>
          <w:color w:val="000000"/>
          <w:sz w:val="21"/>
          <w:szCs w:val="21"/>
        </w:rPr>
        <w:t xml:space="preserve"> E001, S004, V001, V002, V003</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E001 says a section declares attributes and not one of them names a System of Record field. Almost always the rows were pasted from a design document and the mapping columns were never filled. The operation still generates, with no payload for that message, which is why this is a warning rather than an error. It is also why it deserves a look: the published interface is not what the sheet appears to describe.</w:t>
      </w:r>
    </w:p>
    <w:p>
      <w:pPr>
        <w:spacing w:after="120" w:line="276"/>
      </w:pPr>
      <w:r>
        <w:rPr>
          <w:color w:val="000000"/>
          <w:sz w:val="21"/>
          <w:szCs w:val="21"/>
        </w:rPr>
        <w:t xml:space="preserve">S004, a section label with nothing beneath it, is permitted, because it is how an operation with genuinely no payload is declared. The warning exists so that an unfinished sheet does not pass as a deliberate one.</w:t>
      </w:r>
    </w:p>
    <w:p>
      <w:pPr>
        <w:spacing w:after="120" w:line="276"/>
      </w:pPr>
      <w:r>
        <w:rPr>
          <w:color w:val="000000"/>
          <w:sz w:val="21"/>
          <w:szCs w:val="21"/>
        </w:rPr>
        <w:t xml:space="preserve">V001 has two possible causes needing opposite answers. Either the variant tag was never documented, or the System of Record endpoint is chosen by which identifier the caller supplies rather than by a value the client sets. The first is an omission. The second is pattern P3 and is correct as it stands. The tool asks rather than assuming.</w:t>
      </w:r>
    </w:p>
    <w:p>
      <w:pPr>
        <w:spacing w:after="120" w:line="276"/>
      </w:pPr>
      <w:r>
        <w:rPr>
          <w:color w:val="000000"/>
          <w:sz w:val="21"/>
          <w:szCs w:val="21"/>
        </w:rPr>
        <w:t xml:space="preserve">V002 is a count mismatch between the declared variants and the SOR columns, normally a variant added to the description list without its column, or a column added without its variant. V003 says the positional pairing produced a variant whose name has nothing in common with the column it was paired with, which usually means the columns were reordered after the variant list was written.</w:t>
      </w:r>
    </w:p>
    <w:p>
      <w:pPr>
        <w:pStyle w:val="Heading2"/>
        <w:keepNext/>
        <w:spacing w:after="120" w:before="300"/>
      </w:pPr>
      <w:r>
        <w:rPr>
          <w:b/>
          <w:bCs/>
          <w:color w:val="1E2761"/>
          <w:sz w:val="25"/>
          <w:szCs w:val="25"/>
        </w:rPr>
        <w:t xml:space="preserve">9.13  The action term implies a method that cannot carry a body</w:t>
      </w:r>
    </w:p>
    <w:p>
      <w:pPr>
        <w:spacing w:after="120" w:line="276"/>
      </w:pPr>
      <w:r>
        <w:rPr>
          <w:b/>
          <w:bCs/>
          <w:color w:val="000000"/>
          <w:sz w:val="21"/>
          <w:szCs w:val="21"/>
        </w:rPr>
        <w:t xml:space="preserve">Findings you will see:</w:t>
      </w:r>
      <w:r>
        <w:rPr>
          <w:color w:val="000000"/>
          <w:sz w:val="21"/>
          <w:szCs w:val="21"/>
        </w:rPr>
        <w:t xml:space="preserve"> G001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 HTTP method is taken from the BIAN action term, so a </w:t>
      </w:r>
      <w:r>
        <w:rPr>
          <w:rFonts w:ascii="Consolas" w:cs="Consolas" w:eastAsia="Consolas" w:hAnsi="Consolas"/>
          <w:color w:val="1E2761"/>
          <w:sz w:val="19"/>
          <w:szCs w:val="19"/>
        </w:rPr>
        <w:t xml:space="preserve">Retrieve</w:t>
      </w:r>
      <w:r>
        <w:rPr>
          <w:color w:val="000000"/>
          <w:sz w:val="21"/>
          <w:szCs w:val="21"/>
        </w:rPr>
        <w:t xml:space="preserve"> becomes a GET. Many retrievals in practice take a filter object that is too large, too structured or too sensitive for a query string. The tool emits POST, publishes the request body, and raises the warning so that the departure from the action term is recorded rather than assumed.</w:t>
      </w:r>
    </w:p>
    <w:p>
      <w:pPr>
        <w:pStyle w:val="Heading3"/>
        <w:keepNext/>
        <w:spacing w:after="100" w:before="220"/>
      </w:pPr>
      <w:r>
        <w:rPr>
          <w:b/>
          <w:bCs/>
          <w:color w:val="8A6D1F"/>
          <w:sz w:val="22"/>
          <w:szCs w:val="22"/>
        </w:rPr>
        <w:t xml:space="preserve">The correction</w:t>
      </w:r>
    </w:p>
    <w:p>
      <w:pPr>
        <w:spacing w:after="120" w:line="276"/>
      </w:pPr>
      <w:r>
        <w:rPr>
          <w:color w:val="000000"/>
          <w:sz w:val="21"/>
          <w:szCs w:val="21"/>
        </w:rPr>
        <w:t xml:space="preserve">State </w:t>
      </w:r>
      <w:r>
        <w:rPr>
          <w:rFonts w:ascii="Consolas" w:cs="Consolas" w:eastAsia="Consolas" w:hAnsi="Consolas"/>
          <w:color w:val="1E2761"/>
          <w:sz w:val="19"/>
          <w:szCs w:val="19"/>
        </w:rPr>
        <w:t xml:space="preserve">POST</w:t>
      </w:r>
      <w:r>
        <w:rPr>
          <w:color w:val="000000"/>
          <w:sz w:val="21"/>
          <w:szCs w:val="21"/>
        </w:rPr>
        <w:t xml:space="preserve"> in the </w:t>
      </w:r>
      <w:r>
        <w:rPr>
          <w:rFonts w:ascii="Consolas" w:cs="Consolas" w:eastAsia="Consolas" w:hAnsi="Consolas"/>
          <w:color w:val="1E2761"/>
          <w:sz w:val="19"/>
          <w:szCs w:val="19"/>
        </w:rPr>
        <w:t xml:space="preserve">Method:</w:t>
      </w:r>
      <w:r>
        <w:rPr>
          <w:color w:val="000000"/>
          <w:sz w:val="21"/>
          <w:szCs w:val="21"/>
        </w:rPr>
        <w:t xml:space="preserve"> banner cell. That makes the decision explicit in the workbook, and the warning stops. The alternative, moving the request attributes into a parameter section so they become query parameters, is a design decision rather than a correction.</w:t>
      </w:r>
    </w:p>
    <w:p>
      <w:pPr>
        <w:pStyle w:val="Heading2"/>
        <w:keepNext/>
        <w:spacing w:after="120" w:before="300"/>
      </w:pPr>
      <w:r>
        <w:rPr>
          <w:b/>
          <w:bCs/>
          <w:color w:val="1E2761"/>
          <w:sz w:val="25"/>
          <w:szCs w:val="25"/>
        </w:rPr>
        <w:t xml:space="preserve">9.14  Descriptions and examples were deferred</w:t>
      </w:r>
    </w:p>
    <w:p>
      <w:pPr>
        <w:spacing w:after="120" w:line="276"/>
      </w:pPr>
      <w:r>
        <w:rPr>
          <w:b/>
          <w:bCs/>
          <w:color w:val="000000"/>
          <w:sz w:val="21"/>
          <w:szCs w:val="21"/>
        </w:rPr>
        <w:t xml:space="preserve">Findings you will see:</w:t>
      </w:r>
      <w:r>
        <w:rPr>
          <w:color w:val="000000"/>
          <w:sz w:val="21"/>
          <w:szCs w:val="21"/>
        </w:rPr>
        <w:t xml:space="preserve"> D001, D002, and at strict level B001 and B002</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Descriptions are written last, and mandatory attributes are marked long before their example values are known. Neither stops anything generating, which is why these appear only at strict checking level: they are the house standard rather than the machine's requirement.</w:t>
      </w:r>
    </w:p>
    <w:p>
      <w:pPr>
        <w:spacing w:after="120" w:line="276"/>
      </w:pPr>
      <w:r>
        <w:rPr>
          <w:color w:val="000000"/>
          <w:sz w:val="21"/>
          <w:szCs w:val="21"/>
        </w:rPr>
        <w:t xml:space="preserve">One point is worth knowing while writing them. A description is the only part of the workbook that reaches a consumer as prose, and descriptions are excluded from the comparison that decides whether two shapes are the same. Writing them freely and differently on every sheet costs nothing in component reuse.</w:t>
      </w:r>
    </w:p>
    <w:p>
      <w:pPr>
        <w:pStyle w:val="Heading2"/>
        <w:keepNext/>
        <w:spacing w:after="120" w:before="300"/>
      </w:pPr>
      <w:r>
        <w:rPr>
          <w:b/>
          <w:bCs/>
          <w:color w:val="1E2761"/>
          <w:sz w:val="25"/>
          <w:szCs w:val="25"/>
        </w:rPr>
        <w:t xml:space="preserve">9.15  The tool itself failed</w:t>
      </w:r>
    </w:p>
    <w:p>
      <w:pPr>
        <w:spacing w:after="120" w:line="276"/>
      </w:pPr>
      <w:r>
        <w:rPr>
          <w:b/>
          <w:bCs/>
          <w:color w:val="000000"/>
          <w:sz w:val="21"/>
          <w:szCs w:val="21"/>
        </w:rPr>
        <w:t xml:space="preserve">Findings you will see:</w:t>
      </w:r>
      <w:r>
        <w:rPr>
          <w:color w:val="000000"/>
          <w:sz w:val="21"/>
          <w:szCs w:val="21"/>
        </w:rPr>
        <w:t xml:space="preserve"> X001, X002, X003, X004, Z001, L001</w:t>
      </w:r>
    </w:p>
    <w:p>
      <w:pPr>
        <w:pStyle w:val="Heading3"/>
        <w:keepNext/>
        <w:spacing w:after="100" w:before="220"/>
      </w:pPr>
      <w:r>
        <w:rPr>
          <w:b/>
          <w:bCs/>
          <w:color w:val="8A6D1F"/>
          <w:sz w:val="22"/>
          <w:szCs w:val="22"/>
        </w:rPr>
        <w:t xml:space="preserve">What actually happened</w:t>
      </w:r>
    </w:p>
    <w:p>
      <w:pPr>
        <w:spacing w:after="120" w:line="276"/>
      </w:pPr>
      <w:r>
        <w:rPr>
          <w:color w:val="000000"/>
          <w:sz w:val="21"/>
          <w:szCs w:val="21"/>
        </w:rPr>
        <w:t xml:space="preserve">The X family reports faults in the application rather than in the workbook. X001 means the reader stopped on a sheet and the rest of the workbook was processed without it. X002 and X003 mean a schema with nothing inside it reached the output and was caught by the guard that exists precisely to prevent the defect described in section 9.4. X004 means a reference points at a schema that is not in the document.</w:t>
      </w:r>
    </w:p>
    <w:p>
      <w:pPr>
        <w:spacing w:after="120" w:line="276"/>
      </w:pPr>
      <w:r>
        <w:rPr>
          <w:color w:val="000000"/>
          <w:sz w:val="21"/>
          <w:szCs w:val="21"/>
        </w:rPr>
        <w:t xml:space="preserve">None of these should occur. Send the workbook to the maintainer, who has a guide of their own for exactly this.</w:t>
      </w:r>
    </w:p>
    <w:p>
      <w:pPr>
        <w:spacing w:after="120" w:line="276"/>
      </w:pPr>
      <w:r>
        <w:rPr>
          <w:color w:val="000000"/>
          <w:sz w:val="21"/>
          <w:szCs w:val="21"/>
        </w:rPr>
        <w:t xml:space="preserve">Z001 is not a fault: it means no sheet generated, so there was nothing to merge. Work through the individual sheet failures first. L001, Level columns numbered with a gap or a repeat, comes from a Level column inserted or deleted without the headers being renumbered.</w:t>
      </w:r>
    </w:p>
    <w:p>
      <w:r>
        <w:br w:type="page"/>
      </w:r>
    </w:p>
    <w:p>
      <w:pPr>
        <w:pStyle w:val="Heading1"/>
        <w:pBdr>
          <w:bottom w:val="single" w:color="C6CBD4" w:sz="8" w:space="6"/>
        </w:pBdr>
        <w:spacing w:after="200" w:before="400"/>
      </w:pPr>
      <w:r>
        <w:rPr>
          <w:b/>
          <w:bCs/>
          <w:color w:val="1E2761"/>
          <w:sz w:val="32"/>
          <w:szCs w:val="32"/>
        </w:rPr>
        <w:t xml:space="preserve">Appendix A  Finding index</w:t>
      </w:r>
    </w:p>
    <w:p>
      <w:pPr>
        <w:spacing w:after="120" w:line="276"/>
      </w:pPr>
      <w:r>
        <w:rPr>
          <w:color w:val="000000"/>
          <w:sz w:val="21"/>
          <w:szCs w:val="21"/>
        </w:rPr>
        <w:t xml:space="preserve">Every finding names the sheet, the cell, what was found, what was expected and how to correct it. This index maps the code to the section that explains why it happens.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900"/>
        <w:gridCol w:w="1100"/>
        <w:gridCol w:w="5820"/>
        <w:gridCol w:w="1200"/>
      </w:tblGrid>
      <w:tr>
        <w:trPr>
          <w:tblHeader/>
        </w:trPr>
        <w:tc>
          <w:tcPr>
            <w:tcW w:type="dxa" w:w="900"/>
            <w:shd w:fill="1E2761" w:val="clear"/>
            <w:tcMar>
              <w:top w:type="dxa" w:w="70"/>
              <w:left w:type="dxa" w:w="110"/>
              <w:bottom w:type="dxa" w:w="70"/>
              <w:right w:type="dxa" w:w="110"/>
            </w:tcMar>
            <w:vAlign w:val="top"/>
          </w:tcPr>
          <w:p>
            <w:pPr>
              <w:spacing w:after="0" w:line="250"/>
            </w:pPr>
            <w:r>
              <w:rPr>
                <w:b/>
                <w:bCs/>
                <w:color w:val="FFFFFF"/>
                <w:sz w:val="18"/>
                <w:szCs w:val="18"/>
              </w:rPr>
              <w:t xml:space="preserve">Code</w:t>
            </w:r>
          </w:p>
        </w:tc>
        <w:tc>
          <w:tcPr>
            <w:tcW w:type="dxa" w:w="1100"/>
            <w:shd w:fill="1E2761" w:val="clear"/>
            <w:tcMar>
              <w:top w:type="dxa" w:w="70"/>
              <w:left w:type="dxa" w:w="110"/>
              <w:bottom w:type="dxa" w:w="70"/>
              <w:right w:type="dxa" w:w="110"/>
            </w:tcMar>
            <w:vAlign w:val="top"/>
          </w:tcPr>
          <w:p>
            <w:pPr>
              <w:spacing w:after="0" w:line="250"/>
            </w:pPr>
            <w:r>
              <w:rPr>
                <w:b/>
                <w:bCs/>
                <w:color w:val="FFFFFF"/>
                <w:sz w:val="18"/>
                <w:szCs w:val="18"/>
              </w:rPr>
              <w:t xml:space="preserve">Severity</w:t>
            </w:r>
          </w:p>
        </w:tc>
        <w:tc>
          <w:tcPr>
            <w:tcW w:type="dxa" w:w="5820"/>
            <w:shd w:fill="1E2761" w:val="clear"/>
            <w:tcMar>
              <w:top w:type="dxa" w:w="70"/>
              <w:left w:type="dxa" w:w="110"/>
              <w:bottom w:type="dxa" w:w="70"/>
              <w:right w:type="dxa" w:w="110"/>
            </w:tcMar>
            <w:vAlign w:val="top"/>
          </w:tcPr>
          <w:p>
            <w:pPr>
              <w:spacing w:after="0" w:line="250"/>
            </w:pPr>
            <w:r>
              <w:rPr>
                <w:b/>
                <w:bCs/>
                <w:color w:val="FFFFFF"/>
                <w:sz w:val="18"/>
                <w:szCs w:val="18"/>
              </w:rPr>
              <w:t xml:space="preserve">In short</w:t>
            </w:r>
          </w:p>
        </w:tc>
        <w:tc>
          <w:tcPr>
            <w:tcW w:type="dxa" w:w="1200"/>
            <w:shd w:fill="1E2761" w:val="clear"/>
            <w:tcMar>
              <w:top w:type="dxa" w:w="70"/>
              <w:left w:type="dxa" w:w="110"/>
              <w:bottom w:type="dxa" w:w="70"/>
              <w:right w:type="dxa" w:w="110"/>
            </w:tcMar>
            <w:vAlign w:val="top"/>
          </w:tcPr>
          <w:p>
            <w:pPr>
              <w:spacing w:after="0" w:line="250"/>
            </w:pPr>
            <w:r>
              <w:rPr>
                <w:b/>
                <w:bCs/>
                <w:color w:val="FFFFFF"/>
                <w:sz w:val="18"/>
                <w:szCs w:val="18"/>
              </w:rPr>
              <w:t xml:space="preserve">Section</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A001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Level cell holds something that is not an attribute name</w:t>
            </w:r>
          </w:p>
        </w:tc>
        <w:tc>
          <w:tcPr>
            <w:tcW w:type="dxa" w:w="1200"/>
            <w:tcMar>
              <w:top w:type="dxa" w:w="70"/>
              <w:left w:type="dxa" w:w="110"/>
              <w:bottom w:type="dxa" w:w="70"/>
              <w:right w:type="dxa" w:w="110"/>
            </w:tcMar>
            <w:vAlign w:val="top"/>
          </w:tcPr>
          <w:p>
            <w:pPr>
              <w:spacing w:after="0" w:line="250"/>
            </w:pPr>
            <w:r>
              <w:rPr>
                <w:color w:val="000000"/>
                <w:sz w:val="18"/>
                <w:szCs w:val="18"/>
              </w:rPr>
              <w:t xml:space="preserve">9.3</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A002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first row of a section is deeper than Level 1</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9.2</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A003</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A row skips one or more Levels below the row above it</w:t>
            </w:r>
          </w:p>
        </w:tc>
        <w:tc>
          <w:tcPr>
            <w:tcW w:type="dxa" w:w="1200"/>
            <w:tcMar>
              <w:top w:type="dxa" w:w="70"/>
              <w:left w:type="dxa" w:w="110"/>
              <w:bottom w:type="dxa" w:w="70"/>
              <w:right w:type="dxa" w:w="110"/>
            </w:tcMar>
            <w:vAlign w:val="top"/>
          </w:tcPr>
          <w:p>
            <w:pPr>
              <w:spacing w:after="0" w:line="250"/>
            </w:pPr>
            <w:r>
              <w:rPr>
                <w:color w:val="000000"/>
                <w:sz w:val="18"/>
                <w:szCs w:val="18"/>
              </w:rPr>
              <w:t xml:space="preserve">9.2</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A004</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 second row at Level 1 in one section</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9.2</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A005</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row has children but a scalar Data Type</w:t>
            </w:r>
          </w:p>
        </w:tc>
        <w:tc>
          <w:tcPr>
            <w:tcW w:type="dxa" w:w="1200"/>
            <w:tcMar>
              <w:top w:type="dxa" w:w="70"/>
              <w:left w:type="dxa" w:w="110"/>
              <w:bottom w:type="dxa" w:w="70"/>
              <w:right w:type="dxa" w:w="110"/>
            </w:tcMar>
            <w:vAlign w:val="top"/>
          </w:tcPr>
          <w:p>
            <w:pPr>
              <w:spacing w:after="0" w:line="250"/>
            </w:pPr>
            <w:r>
              <w:rPr>
                <w:color w:val="000000"/>
                <w:sz w:val="18"/>
                <w:szCs w:val="18"/>
              </w:rPr>
              <w:t xml:space="preserve">9.4</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A006</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 row is object or Array with nothing beneath it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9.4</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A007</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The same name appears twice under one parent</w:t>
            </w:r>
          </w:p>
        </w:tc>
        <w:tc>
          <w:tcPr>
            <w:tcW w:type="dxa" w:w="1200"/>
            <w:tcMar>
              <w:top w:type="dxa" w:w="70"/>
              <w:left w:type="dxa" w:w="110"/>
              <w:bottom w:type="dxa" w:w="70"/>
              <w:right w:type="dxa" w:w="110"/>
            </w:tcMar>
            <w:vAlign w:val="top"/>
          </w:tcPr>
          <w:p>
            <w:pPr>
              <w:spacing w:after="0" w:line="250"/>
            </w:pPr>
            <w:r>
              <w:rPr>
                <w:color w:val="000000"/>
                <w:sz w:val="18"/>
                <w:szCs w:val="18"/>
              </w:rPr>
              <w:t xml:space="preserve">9.3</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B001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 banner value is missing or empty (strict)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9.14</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B002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banner label is absent (strict)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9.14</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B003</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An unrecognised banner label, so its value was ignored</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D001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An attribute has no description (strict)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9.14</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D002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 mandatory attribute has no example (strict)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9.14</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E001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section declares attributes and none names an SOR field</w:t>
            </w:r>
          </w:p>
        </w:tc>
        <w:tc>
          <w:tcPr>
            <w:tcW w:type="dxa" w:w="1200"/>
            <w:tcMar>
              <w:top w:type="dxa" w:w="70"/>
              <w:left w:type="dxa" w:w="110"/>
              <w:bottom w:type="dxa" w:w="70"/>
              <w:right w:type="dxa" w:w="110"/>
            </w:tcMar>
            <w:vAlign w:val="top"/>
          </w:tcPr>
          <w:p>
            <w:pPr>
              <w:spacing w:after="0" w:line="250"/>
            </w:pPr>
            <w:r>
              <w:rPr>
                <w:color w:val="000000"/>
                <w:sz w:val="18"/>
                <w:szCs w:val="18"/>
              </w:rPr>
              <w:t xml:space="preserve">9.12</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G001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action term implies GET but a request body is declared</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9.13</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L001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Level columns are numbered with a gap or a repeat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L002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Level 1 is the first column, leaving nowhere for the labels</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L003</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An expected attribute column is missing (strict)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M001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No SOR column was found on the header row</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9.6</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M002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Two SOR columns name the same endpoint (strict)</w:t>
            </w:r>
          </w:p>
        </w:tc>
        <w:tc>
          <w:tcPr>
            <w:tcW w:type="dxa" w:w="1200"/>
            <w:tcMar>
              <w:top w:type="dxa" w:w="70"/>
              <w:left w:type="dxa" w:w="110"/>
              <w:bottom w:type="dxa" w:w="70"/>
              <w:right w:type="dxa" w:w="110"/>
            </w:tcMar>
            <w:vAlign w:val="top"/>
          </w:tcPr>
          <w:p>
            <w:pPr>
              <w:spacing w:after="0" w:line="250"/>
            </w:pPr>
            <w:r>
              <w:rPr>
                <w:color w:val="000000"/>
                <w:sz w:val="18"/>
                <w:szCs w:val="18"/>
              </w:rPr>
              <w:t xml:space="preserve">9.6</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M003</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An SOR column header names no endpoint (strict)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9.6</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N001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Two names differ only by case</w:t>
            </w:r>
          </w:p>
        </w:tc>
        <w:tc>
          <w:tcPr>
            <w:tcW w:type="dxa" w:w="1200"/>
            <w:tcMar>
              <w:top w:type="dxa" w:w="70"/>
              <w:left w:type="dxa" w:w="110"/>
              <w:bottom w:type="dxa" w:w="70"/>
              <w:right w:type="dxa" w:w="110"/>
            </w:tcMar>
            <w:vAlign w:val="top"/>
          </w:tcPr>
          <w:p>
            <w:pPr>
              <w:spacing w:after="0" w:line="250"/>
            </w:pPr>
            <w:r>
              <w:rPr>
                <w:color w:val="000000"/>
                <w:sz w:val="18"/>
                <w:szCs w:val="18"/>
              </w:rPr>
              <w:t xml:space="preserve">9.10</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N002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service domain is spelled several ways</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9.10</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P001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shared group could not be given a base</w:t>
            </w:r>
          </w:p>
        </w:tc>
        <w:tc>
          <w:tcPr>
            <w:tcW w:type="dxa" w:w="1200"/>
            <w:tcMar>
              <w:top w:type="dxa" w:w="70"/>
              <w:left w:type="dxa" w:w="110"/>
              <w:bottom w:type="dxa" w:w="70"/>
              <w:right w:type="dxa" w:w="110"/>
            </w:tcMar>
            <w:vAlign w:val="top"/>
          </w:tcPr>
          <w:p>
            <w:pPr>
              <w:spacing w:after="0" w:line="250"/>
            </w:pPr>
            <w:r>
              <w:rPr>
                <w:color w:val="000000"/>
                <w:sz w:val="18"/>
                <w:szCs w:val="18"/>
              </w:rPr>
              <w:t xml:space="preserve">9.10</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P002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One attribute is declared several different ways</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9.10</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R001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The banner and a column header name different endpoints</w:t>
            </w:r>
          </w:p>
        </w:tc>
        <w:tc>
          <w:tcPr>
            <w:tcW w:type="dxa" w:w="1200"/>
            <w:tcMar>
              <w:top w:type="dxa" w:w="70"/>
              <w:left w:type="dxa" w:w="110"/>
              <w:bottom w:type="dxa" w:w="70"/>
              <w:right w:type="dxa" w:w="110"/>
            </w:tcMar>
            <w:vAlign w:val="top"/>
          </w:tcPr>
          <w:p>
            <w:pPr>
              <w:spacing w:after="0" w:line="250"/>
            </w:pPr>
            <w:r>
              <w:rPr>
                <w:color w:val="000000"/>
                <w:sz w:val="18"/>
                <w:szCs w:val="18"/>
              </w:rPr>
              <w:t xml:space="preserve">9.6</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R002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banner endpoints cannot be paired with the columns</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9.5</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R003</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The SOR API Endpoint banner cell is empty</w:t>
            </w:r>
          </w:p>
        </w:tc>
        <w:tc>
          <w:tcPr>
            <w:tcW w:type="dxa" w:w="1200"/>
            <w:tcMar>
              <w:top w:type="dxa" w:w="70"/>
              <w:left w:type="dxa" w:w="110"/>
              <w:bottom w:type="dxa" w:w="70"/>
              <w:right w:type="dxa" w:w="110"/>
            </w:tcMar>
            <w:vAlign w:val="top"/>
          </w:tcPr>
          <w:p>
            <w:pPr>
              <w:spacing w:after="0" w:line="250"/>
            </w:pPr>
            <w:r>
              <w:rPr>
                <w:color w:val="000000"/>
                <w:sz w:val="18"/>
                <w:szCs w:val="18"/>
              </w:rPr>
              <w:t xml:space="preserve">9.5</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R004</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endpoint is in none of the supplied specifications</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9.7</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R005</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The stated method is not defined for that path</w:t>
            </w:r>
          </w:p>
        </w:tc>
        <w:tc>
          <w:tcPr>
            <w:tcW w:type="dxa" w:w="1200"/>
            <w:tcMar>
              <w:top w:type="dxa" w:w="70"/>
              <w:left w:type="dxa" w:w="110"/>
              <w:bottom w:type="dxa" w:w="70"/>
              <w:right w:type="dxa" w:w="110"/>
            </w:tcMar>
            <w:vAlign w:val="top"/>
          </w:tcPr>
          <w:p>
            <w:pPr>
              <w:spacing w:after="0" w:line="250"/>
            </w:pPr>
            <w:r>
              <w:rPr>
                <w:color w:val="000000"/>
                <w:sz w:val="18"/>
                <w:szCs w:val="18"/>
              </w:rPr>
              <w:t xml:space="preserve">9.7</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R010</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 named SOR field does not exist, so the element was removed</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9.7</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R011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field name matched in more than one place</w:t>
            </w:r>
          </w:p>
        </w:tc>
        <w:tc>
          <w:tcPr>
            <w:tcW w:type="dxa" w:w="1200"/>
            <w:tcMar>
              <w:top w:type="dxa" w:w="70"/>
              <w:left w:type="dxa" w:w="110"/>
              <w:bottom w:type="dxa" w:w="70"/>
              <w:right w:type="dxa" w:w="110"/>
            </w:tcMar>
            <w:vAlign w:val="top"/>
          </w:tcPr>
          <w:p>
            <w:pPr>
              <w:spacing w:after="0" w:line="250"/>
            </w:pPr>
            <w:r>
              <w:rPr>
                <w:color w:val="000000"/>
                <w:sz w:val="18"/>
                <w:szCs w:val="18"/>
              </w:rPr>
              <w:t xml:space="preserve">9.8</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R020</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Not one field name on the sheet resolved</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9.9</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R021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The per-sheet total of removals</w:t>
            </w:r>
          </w:p>
        </w:tc>
        <w:tc>
          <w:tcPr>
            <w:tcW w:type="dxa" w:w="1200"/>
            <w:tcMar>
              <w:top w:type="dxa" w:w="70"/>
              <w:left w:type="dxa" w:w="110"/>
              <w:bottom w:type="dxa" w:w="70"/>
              <w:right w:type="dxa" w:w="110"/>
            </w:tcMar>
            <w:vAlign w:val="top"/>
          </w:tcPr>
          <w:p>
            <w:pPr>
              <w:spacing w:after="0" w:line="250"/>
            </w:pPr>
            <w:r>
              <w:rPr>
                <w:color w:val="000000"/>
                <w:sz w:val="18"/>
                <w:szCs w:val="18"/>
              </w:rPr>
              <w:t xml:space="preserve">9.7</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S001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No Request Body section</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S002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second section of the same kind</w:t>
            </w:r>
          </w:p>
        </w:tc>
        <w:tc>
          <w:tcPr>
            <w:tcW w:type="dxa" w:w="1200"/>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S003</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No Response Body section</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S004</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section label with no rows beneath it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9.12</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T001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An unrecognised Data Type</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9.4</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T002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leaf with no Data Type, treated as a string</w:t>
            </w:r>
          </w:p>
        </w:tc>
        <w:tc>
          <w:tcPr>
            <w:tcW w:type="dxa" w:w="1200"/>
            <w:tcMar>
              <w:top w:type="dxa" w:w="70"/>
              <w:left w:type="dxa" w:w="110"/>
              <w:bottom w:type="dxa" w:w="70"/>
              <w:right w:type="dxa" w:w="110"/>
            </w:tcMar>
            <w:vAlign w:val="top"/>
          </w:tcPr>
          <w:p>
            <w:pPr>
              <w:spacing w:after="0" w:line="250"/>
            </w:pPr>
            <w:r>
              <w:rPr>
                <w:color w:val="000000"/>
                <w:sz w:val="18"/>
                <w:szCs w:val="18"/>
              </w:rPr>
              <w:t xml:space="preserve">9.4</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U001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An unrecognised Usage value</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9.4</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V001</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Several SOR columns and no requestVariant enumeration</w:t>
            </w:r>
          </w:p>
        </w:tc>
        <w:tc>
          <w:tcPr>
            <w:tcW w:type="dxa" w:w="1200"/>
            <w:tcMar>
              <w:top w:type="dxa" w:w="70"/>
              <w:left w:type="dxa" w:w="110"/>
              <w:bottom w:type="dxa" w:w="70"/>
              <w:right w:type="dxa" w:w="110"/>
            </w:tcMar>
            <w:vAlign w:val="top"/>
          </w:tcPr>
          <w:p>
            <w:pPr>
              <w:spacing w:after="0" w:line="250"/>
            </w:pPr>
            <w:r>
              <w:rPr>
                <w:color w:val="000000"/>
                <w:sz w:val="18"/>
                <w:szCs w:val="18"/>
              </w:rPr>
              <w:t xml:space="preserve">9.12</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V002</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variant count and the SOR column count disagree</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9.12</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V003</w:t>
            </w:r>
          </w:p>
        </w:tc>
        <w:tc>
          <w:tcPr>
            <w:tcW w:type="dxa" w:w="1100"/>
            <w:tcMar>
              <w:top w:type="dxa" w:w="70"/>
              <w:left w:type="dxa" w:w="110"/>
              <w:bottom w:type="dxa" w:w="70"/>
              <w:right w:type="dxa" w:w="110"/>
            </w:tcMar>
            <w:vAlign w:val="top"/>
          </w:tcPr>
          <w:p>
            <w:pPr>
              <w:spacing w:after="0" w:line="250"/>
            </w:pPr>
            <w:r>
              <w:rPr>
                <w:color w:val="000000"/>
                <w:sz w:val="18"/>
                <w:szCs w:val="18"/>
              </w:rPr>
              <w:t xml:space="preserve">Warning</w:t>
            </w:r>
          </w:p>
        </w:tc>
        <w:tc>
          <w:tcPr>
            <w:tcW w:type="dxa" w:w="5820"/>
            <w:tcMar>
              <w:top w:type="dxa" w:w="70"/>
              <w:left w:type="dxa" w:w="110"/>
              <w:bottom w:type="dxa" w:w="70"/>
              <w:right w:type="dxa" w:w="110"/>
            </w:tcMar>
            <w:vAlign w:val="top"/>
          </w:tcPr>
          <w:p>
            <w:pPr>
              <w:spacing w:after="0" w:line="250"/>
            </w:pPr>
            <w:r>
              <w:rPr>
                <w:color w:val="000000"/>
                <w:sz w:val="18"/>
                <w:szCs w:val="18"/>
              </w:rPr>
              <w:t xml:space="preserve">A variant was paired with an unrelated column by position</w:t>
            </w:r>
          </w:p>
        </w:tc>
        <w:tc>
          <w:tcPr>
            <w:tcW w:type="dxa" w:w="1200"/>
            <w:tcMar>
              <w:top w:type="dxa" w:w="70"/>
              <w:left w:type="dxa" w:w="110"/>
              <w:bottom w:type="dxa" w:w="70"/>
              <w:right w:type="dxa" w:w="110"/>
            </w:tcMar>
            <w:vAlign w:val="top"/>
          </w:tcPr>
          <w:p>
            <w:pPr>
              <w:spacing w:after="0" w:line="250"/>
            </w:pPr>
            <w:r>
              <w:rPr>
                <w:color w:val="000000"/>
                <w:sz w:val="18"/>
                <w:szCs w:val="18"/>
              </w:rPr>
              <w:t xml:space="preserve">9.12</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X001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The reader stopped on a sheet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X002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An empty schema reached a per-sheet document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X003</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An empty schema reached the merged document</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X004</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A reference points at a schema that is not present</w:t>
            </w:r>
          </w:p>
        </w:tc>
        <w:tc>
          <w:tcPr>
            <w:tcW w:type="dxa" w:w="1200"/>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Z001</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No sheet generated, so there was nothing to merge</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9.15</w:t>
            </w:r>
          </w:p>
        </w:tc>
      </w:tr>
      <w:tr>
        <w:trPr>
          <w:tblHeader w:val="false"/>
        </w:trPr>
        <w:tc>
          <w:tcPr>
            <w:tcW w:type="dxa" w:w="900"/>
            <w:tcMar>
              <w:top w:type="dxa" w:w="70"/>
              <w:left w:type="dxa" w:w="110"/>
              <w:bottom w:type="dxa" w:w="70"/>
              <w:right w:type="dxa" w:w="110"/>
            </w:tcMar>
            <w:vAlign w:val="top"/>
          </w:tcPr>
          <w:p>
            <w:pPr>
              <w:spacing w:after="0" w:line="250"/>
            </w:pPr>
            <w:r>
              <w:rPr>
                <w:color w:val="000000"/>
                <w:sz w:val="18"/>
                <w:szCs w:val="18"/>
              </w:rPr>
              <w:t xml:space="preserve">Z002</w:t>
            </w:r>
          </w:p>
        </w:tc>
        <w:tc>
          <w:tcPr>
            <w:tcW w:type="dxa" w:w="1100"/>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tcMar>
              <w:top w:type="dxa" w:w="70"/>
              <w:left w:type="dxa" w:w="110"/>
              <w:bottom w:type="dxa" w:w="70"/>
              <w:right w:type="dxa" w:w="110"/>
            </w:tcMar>
            <w:vAlign w:val="top"/>
          </w:tcPr>
          <w:p>
            <w:pPr>
              <w:spacing w:after="0" w:line="250"/>
            </w:pPr>
            <w:r>
              <w:rPr>
                <w:color w:val="000000"/>
                <w:sz w:val="18"/>
                <w:szCs w:val="18"/>
              </w:rPr>
              <w:t xml:space="preserve">Two sheets declare the same Level 1 schema name</w:t>
            </w:r>
          </w:p>
        </w:tc>
        <w:tc>
          <w:tcPr>
            <w:tcW w:type="dxa" w:w="1200"/>
            <w:tcMar>
              <w:top w:type="dxa" w:w="70"/>
              <w:left w:type="dxa" w:w="110"/>
              <w:bottom w:type="dxa" w:w="70"/>
              <w:right w:type="dxa" w:w="110"/>
            </w:tcMar>
            <w:vAlign w:val="top"/>
          </w:tcPr>
          <w:p>
            <w:pPr>
              <w:spacing w:after="0" w:line="250"/>
            </w:pPr>
            <w:r>
              <w:rPr>
                <w:color w:val="000000"/>
                <w:sz w:val="18"/>
                <w:szCs w:val="18"/>
              </w:rPr>
              <w:t xml:space="preserve">9.11</w:t>
            </w:r>
          </w:p>
        </w:tc>
      </w:tr>
      <w:tr>
        <w:trPr>
          <w:tblHeader w:val="false"/>
        </w:trPr>
        <w:tc>
          <w:tcPr>
            <w:tcW w:type="dxa" w:w="900"/>
            <w:shd w:fill="F7F8FA" w:val="clear"/>
            <w:tcMar>
              <w:top w:type="dxa" w:w="70"/>
              <w:left w:type="dxa" w:w="110"/>
              <w:bottom w:type="dxa" w:w="70"/>
              <w:right w:type="dxa" w:w="110"/>
            </w:tcMar>
            <w:vAlign w:val="top"/>
          </w:tcPr>
          <w:p>
            <w:pPr>
              <w:spacing w:after="0" w:line="250"/>
            </w:pPr>
            <w:r>
              <w:rPr>
                <w:color w:val="000000"/>
                <w:sz w:val="18"/>
                <w:szCs w:val="18"/>
              </w:rPr>
              <w:t xml:space="preserve">Z003</w:t>
            </w:r>
          </w:p>
        </w:tc>
        <w:tc>
          <w:tcPr>
            <w:tcW w:type="dxa" w:w="1100"/>
            <w:shd w:fill="F7F8FA" w:val="clear"/>
            <w:tcMar>
              <w:top w:type="dxa" w:w="70"/>
              <w:left w:type="dxa" w:w="110"/>
              <w:bottom w:type="dxa" w:w="70"/>
              <w:right w:type="dxa" w:w="110"/>
            </w:tcMar>
            <w:vAlign w:val="top"/>
          </w:tcPr>
          <w:p>
            <w:pPr>
              <w:spacing w:after="0" w:line="250"/>
            </w:pPr>
            <w:r>
              <w:rPr>
                <w:color w:val="000000"/>
                <w:sz w:val="18"/>
                <w:szCs w:val="18"/>
              </w:rPr>
              <w:t xml:space="preserve">Error</w:t>
            </w:r>
          </w:p>
        </w:tc>
        <w:tc>
          <w:tcPr>
            <w:tcW w:type="dxa" w:w="5820"/>
            <w:shd w:fill="F7F8FA" w:val="clear"/>
            <w:tcMar>
              <w:top w:type="dxa" w:w="70"/>
              <w:left w:type="dxa" w:w="110"/>
              <w:bottom w:type="dxa" w:w="70"/>
              <w:right w:type="dxa" w:w="110"/>
            </w:tcMar>
            <w:vAlign w:val="top"/>
          </w:tcPr>
          <w:p>
            <w:pPr>
              <w:spacing w:after="0" w:line="250"/>
            </w:pPr>
            <w:r>
              <w:rPr>
                <w:color w:val="000000"/>
                <w:sz w:val="18"/>
                <w:szCs w:val="18"/>
              </w:rPr>
              <w:t xml:space="preserve">Two sheets claim the same path and method</w:t>
            </w:r>
          </w:p>
        </w:tc>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9.11</w:t>
            </w:r>
          </w:p>
        </w:tc>
      </w:tr>
    </w:tbl>
    <w:p>
      <w:r>
        <w:br w:type="page"/>
      </w:r>
    </w:p>
    <w:p>
      <w:pPr>
        <w:pStyle w:val="Heading1"/>
        <w:pBdr>
          <w:bottom w:val="single" w:color="C6CBD4" w:sz="8" w:space="6"/>
        </w:pBdr>
        <w:spacing w:after="200" w:before="400"/>
      </w:pPr>
      <w:r>
        <w:rPr>
          <w:b/>
          <w:bCs/>
          <w:color w:val="1E2761"/>
          <w:sz w:val="32"/>
          <w:szCs w:val="32"/>
        </w:rPr>
        <w:t xml:space="preserve">Appendix B  Glossary</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100"/>
        <w:gridCol w:w="6920"/>
      </w:tblGrid>
      <w:tr>
        <w:trPr>
          <w:tblHeader/>
        </w:trPr>
        <w:tc>
          <w:tcPr>
            <w:tcW w:type="dxa" w:w="2100"/>
            <w:shd w:fill="1E2761" w:val="clear"/>
            <w:tcMar>
              <w:top w:type="dxa" w:w="70"/>
              <w:left w:type="dxa" w:w="110"/>
              <w:bottom w:type="dxa" w:w="70"/>
              <w:right w:type="dxa" w:w="110"/>
            </w:tcMar>
            <w:vAlign w:val="top"/>
          </w:tcPr>
          <w:p>
            <w:pPr>
              <w:spacing w:after="0" w:line="250"/>
            </w:pPr>
            <w:r>
              <w:rPr>
                <w:b/>
                <w:bCs/>
                <w:color w:val="FFFFFF"/>
                <w:sz w:val="19"/>
                <w:szCs w:val="19"/>
              </w:rPr>
              <w:t xml:space="preserve">Term</w:t>
            </w:r>
          </w:p>
        </w:tc>
        <w:tc>
          <w:tcPr>
            <w:tcW w:type="dxa" w:w="6920"/>
            <w:shd w:fill="1E2761" w:val="clear"/>
            <w:tcMar>
              <w:top w:type="dxa" w:w="70"/>
              <w:left w:type="dxa" w:w="110"/>
              <w:bottom w:type="dxa" w:w="70"/>
              <w:right w:type="dxa" w:w="110"/>
            </w:tcMar>
            <w:vAlign w:val="top"/>
          </w:tcPr>
          <w:p>
            <w:pPr>
              <w:spacing w:after="0" w:line="250"/>
            </w:pPr>
            <w:r>
              <w:rPr>
                <w:b/>
                <w:bCs/>
                <w:color w:val="FFFFFF"/>
                <w:sz w:val="19"/>
                <w:szCs w:val="19"/>
              </w:rPr>
              <w:t xml:space="preserve">Meaning</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Banner</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Rows 2 to 6 of a sheet, beneath the header row, holding the use case, service domain, endpoints and optional method.</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Behaviour qualifier</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The BIAN subdivision of a service domain, written beside the service domain as </w:t>
            </w:r>
            <w:r>
              <w:rPr>
                <w:rFonts w:ascii="Consolas" w:cs="Consolas" w:eastAsia="Consolas" w:hAnsi="Consolas"/>
                <w:b w:val="false"/>
                <w:bCs w:val="false"/>
                <w:color w:val="1E2761"/>
                <w:sz w:val="17"/>
                <w:szCs w:val="17"/>
              </w:rPr>
              <w:t xml:space="preserve">BQ: &lt;name&gt;</w:t>
            </w:r>
            <w:r>
              <w:rPr>
                <w:b w:val="false"/>
                <w:bCs w:val="false"/>
                <w:color w:val="000000"/>
                <w:sz w:val="19"/>
                <w:szCs w:val="19"/>
              </w:rPr>
              <w:t xml:space="preserve">.</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Container</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A row with children. Published only if something beneath it is published.</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Disposition</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The outcome recorded against an element in the showcase report: Published, Variant only, Not in the SOR, No SOR field, Container or LOST.</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Hoisting</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Publishing every group that has children as a named component, so that a property is always either a scalar or a reference.</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Integration API</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The business API a consumer calls, as opposed to the System of Record endpoint behind it.</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Level columns</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The columns headed </w:t>
            </w:r>
            <w:r>
              <w:rPr>
                <w:rFonts w:ascii="Consolas" w:cs="Consolas" w:eastAsia="Consolas" w:hAnsi="Consolas"/>
                <w:b w:val="false"/>
                <w:bCs w:val="false"/>
                <w:color w:val="1E2761"/>
                <w:sz w:val="17"/>
                <w:szCs w:val="17"/>
              </w:rPr>
              <w:t xml:space="preserve">Level 1</w:t>
            </w:r>
            <w:r>
              <w:rPr>
                <w:b w:val="false"/>
                <w:bCs w:val="false"/>
                <w:color w:val="000000"/>
                <w:sz w:val="19"/>
                <w:szCs w:val="19"/>
              </w:rPr>
              <w:t xml:space="preserve"> to </w:t>
            </w:r>
            <w:r>
              <w:rPr>
                <w:rFonts w:ascii="Consolas" w:cs="Consolas" w:eastAsia="Consolas" w:hAnsi="Consolas"/>
                <w:b w:val="false"/>
                <w:bCs w:val="false"/>
                <w:color w:val="1E2761"/>
                <w:sz w:val="17"/>
                <w:szCs w:val="17"/>
              </w:rPr>
              <w:t xml:space="preserve">Level N</w:t>
            </w:r>
            <w:r>
              <w:rPr>
                <w:b w:val="false"/>
                <w:bCs w:val="false"/>
                <w:color w:val="000000"/>
                <w:sz w:val="19"/>
                <w:szCs w:val="19"/>
              </w:rPr>
              <w:t xml:space="preserve"> that carry the hierarchy.</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Operation axis</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Variance between operations, settled at design time by which path is called, resolved by </w:t>
            </w:r>
            <w:r>
              <w:rPr>
                <w:rFonts w:ascii="Consolas" w:cs="Consolas" w:eastAsia="Consolas" w:hAnsi="Consolas"/>
                <w:b w:val="false"/>
                <w:bCs w:val="false"/>
                <w:color w:val="1E2761"/>
                <w:sz w:val="17"/>
                <w:szCs w:val="17"/>
              </w:rPr>
              <w:t xml:space="preserve">allOf</w:t>
            </w:r>
            <w:r>
              <w:rPr>
                <w:b w:val="false"/>
                <w:bCs w:val="false"/>
                <w:color w:val="000000"/>
                <w:sz w:val="19"/>
                <w:szCs w:val="19"/>
              </w:rPr>
              <w:t xml:space="preserve"> specialisation with no discriminator.</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Section</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A block of rows under a </w:t>
            </w:r>
            <w:r>
              <w:rPr>
                <w:rFonts w:ascii="Consolas" w:cs="Consolas" w:eastAsia="Consolas" w:hAnsi="Consolas"/>
                <w:b w:val="false"/>
                <w:bCs w:val="false"/>
                <w:color w:val="1E2761"/>
                <w:sz w:val="17"/>
                <w:szCs w:val="17"/>
              </w:rPr>
              <w:t xml:space="preserve">Request Body</w:t>
            </w:r>
            <w:r>
              <w:rPr>
                <w:b w:val="false"/>
                <w:bCs w:val="false"/>
                <w:color w:val="000000"/>
                <w:sz w:val="19"/>
                <w:szCs w:val="19"/>
              </w:rPr>
              <w:t xml:space="preserve"> or </w:t>
            </w:r>
            <w:r>
              <w:rPr>
                <w:rFonts w:ascii="Consolas" w:cs="Consolas" w:eastAsia="Consolas" w:hAnsi="Consolas"/>
                <w:b w:val="false"/>
                <w:bCs w:val="false"/>
                <w:color w:val="1E2761"/>
                <w:sz w:val="17"/>
                <w:szCs w:val="17"/>
              </w:rPr>
              <w:t xml:space="preserve">Response Body</w:t>
            </w:r>
            <w:r>
              <w:rPr>
                <w:b w:val="false"/>
                <w:bCs w:val="false"/>
                <w:color w:val="000000"/>
                <w:sz w:val="19"/>
                <w:szCs w:val="19"/>
              </w:rPr>
              <w:t xml:space="preserve"> label.</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Specialisation</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Giving each operation that uses a shared group its own schema, inheriting the shared base through </w:t>
            </w:r>
            <w:r>
              <w:rPr>
                <w:rFonts w:ascii="Consolas" w:cs="Consolas" w:eastAsia="Consolas" w:hAnsi="Consolas"/>
                <w:b w:val="false"/>
                <w:bCs w:val="false"/>
                <w:color w:val="1E2761"/>
                <w:sz w:val="17"/>
                <w:szCs w:val="17"/>
              </w:rPr>
              <w:t xml:space="preserve">allOf</w:t>
            </w:r>
            <w:r>
              <w:rPr>
                <w:b w:val="false"/>
                <w:bCs w:val="false"/>
                <w:color w:val="000000"/>
                <w:sz w:val="19"/>
                <w:szCs w:val="19"/>
              </w:rPr>
              <w:t xml:space="preserve"> and adding only what that operation publishes.</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Structure break</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Three or more consecutive blank rows, which end the mapping grid.</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b/>
                <w:bCs/>
                <w:color w:val="000000"/>
                <w:sz w:val="19"/>
                <w:szCs w:val="19"/>
              </w:rPr>
              <w:t xml:space="preserve">Support sheet</w:t>
            </w:r>
          </w:p>
        </w:tc>
        <w:tc>
          <w:tcPr>
            <w:tcW w:type="dxa" w:w="6920"/>
            <w:shd w:fill="F7F8FA" w:val="clear"/>
            <w:tcMar>
              <w:top w:type="dxa" w:w="70"/>
              <w:left w:type="dxa" w:w="110"/>
              <w:bottom w:type="dxa" w:w="70"/>
              <w:right w:type="dxa" w:w="110"/>
            </w:tcMar>
            <w:vAlign w:val="top"/>
          </w:tcPr>
          <w:p>
            <w:pPr>
              <w:spacing w:after="0" w:line="250"/>
            </w:pPr>
            <w:r>
              <w:rPr>
                <w:b w:val="false"/>
                <w:bCs w:val="false"/>
                <w:color w:val="000000"/>
                <w:sz w:val="19"/>
                <w:szCs w:val="19"/>
              </w:rPr>
              <w:t xml:space="preserve">A worksheet with no Level columns. Skipped without comment.</w:t>
            </w:r>
          </w:p>
        </w:tc>
      </w:tr>
      <w:tr>
        <w:trPr>
          <w:tblHeader w:val="false"/>
        </w:trPr>
        <w:tc>
          <w:tcPr>
            <w:tcW w:type="dxa" w:w="2100"/>
            <w:tcMar>
              <w:top w:type="dxa" w:w="70"/>
              <w:left w:type="dxa" w:w="110"/>
              <w:bottom w:type="dxa" w:w="70"/>
              <w:right w:type="dxa" w:w="110"/>
            </w:tcMar>
            <w:vAlign w:val="top"/>
          </w:tcPr>
          <w:p>
            <w:pPr>
              <w:spacing w:after="0" w:line="250"/>
            </w:pPr>
            <w:r>
              <w:rPr>
                <w:b/>
                <w:bCs/>
                <w:color w:val="000000"/>
                <w:sz w:val="19"/>
                <w:szCs w:val="19"/>
              </w:rPr>
              <w:t xml:space="preserve">Variant axis</w:t>
            </w:r>
          </w:p>
        </w:tc>
        <w:tc>
          <w:tcPr>
            <w:tcW w:type="dxa" w:w="6920"/>
            <w:tcMar>
              <w:top w:type="dxa" w:w="70"/>
              <w:left w:type="dxa" w:w="110"/>
              <w:bottom w:type="dxa" w:w="70"/>
              <w:right w:type="dxa" w:w="110"/>
            </w:tcMar>
            <w:vAlign w:val="top"/>
          </w:tcPr>
          <w:p>
            <w:pPr>
              <w:spacing w:after="0" w:line="250"/>
            </w:pPr>
            <w:r>
              <w:rPr>
                <w:b w:val="false"/>
                <w:bCs w:val="false"/>
                <w:color w:val="000000"/>
                <w:sz w:val="19"/>
                <w:szCs w:val="19"/>
              </w:rPr>
              <w:t xml:space="preserve">Variance between the System of Record endpoints serving one operation, settled at run time by </w:t>
            </w:r>
            <w:r>
              <w:rPr>
                <w:rFonts w:ascii="Consolas" w:cs="Consolas" w:eastAsia="Consolas" w:hAnsi="Consolas"/>
                <w:b w:val="false"/>
                <w:bCs w:val="false"/>
                <w:color w:val="1E2761"/>
                <w:sz w:val="17"/>
                <w:szCs w:val="17"/>
              </w:rPr>
              <w:t xml:space="preserve">requestVariant</w:t>
            </w:r>
            <w:r>
              <w:rPr>
                <w:b w:val="false"/>
                <w:bCs w:val="false"/>
                <w:color w:val="000000"/>
                <w:sz w:val="19"/>
                <w:szCs w:val="19"/>
              </w:rPr>
              <w:t xml:space="preserve">, resolved by </w:t>
            </w:r>
            <w:r>
              <w:rPr>
                <w:rFonts w:ascii="Consolas" w:cs="Consolas" w:eastAsia="Consolas" w:hAnsi="Consolas"/>
                <w:b w:val="false"/>
                <w:bCs w:val="false"/>
                <w:color w:val="1E2761"/>
                <w:sz w:val="17"/>
                <w:szCs w:val="17"/>
              </w:rPr>
              <w:t xml:space="preserve">oneOf</w:t>
            </w:r>
            <w:r>
              <w:rPr>
                <w:b w:val="false"/>
                <w:bCs w:val="false"/>
                <w:color w:val="000000"/>
                <w:sz w:val="19"/>
                <w:szCs w:val="19"/>
              </w:rPr>
              <w:t xml:space="preserve"> with a discriminator.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SOR Polymorphizer 6.3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BD4" w:sz="4" w:space="4"/>
      </w:pBdr>
      <w:spacing w:after="60"/>
      <w:jc w:val="right"/>
    </w:pPr>
    <w:r>
      <w:rPr>
        <w:color w:val="5A6472"/>
        <w:sz w:val="16"/>
        <w:szCs w:val="16"/>
      </w:rPr>
      <w:t xml:space="preserve">SOR Polymorphizer 6.3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 Polymorphizer 6.3 User Manual</dc:title>
  <dc:creator>CC&amp;C Solutions</dc:creator>
  <dc:description>SOR Polymorphizer 6.3 User Manual</dc:description>
  <cp:lastModifiedBy>Un-named</cp:lastModifiedBy>
  <cp:revision>1</cp:revision>
  <dcterms:created xsi:type="dcterms:W3CDTF">2026-09-04T00:19:46.100Z</dcterms:created>
  <dcterms:modified xsi:type="dcterms:W3CDTF">2026-09-04T00:19:46.111Z</dcterms:modified>
</cp:coreProperties>
</file>

<file path=docProps/custom.xml><?xml version="1.0" encoding="utf-8"?>
<Properties xmlns="http://schemas.openxmlformats.org/officeDocument/2006/custom-properties" xmlns:vt="http://schemas.openxmlformats.org/officeDocument/2006/docPropsVTypes"/>
</file>