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84" w:lineRule="auto"/>
      </w:pPr>
      <w:r>
        <w:rPr>
          <w:rFonts w:ascii="Malgun Gothic" w:hAnsi="Malgun Gothic" w:eastAsia="Malgun Gothic"/>
          <w:b/>
          <w:color w:val="2C6E63"/>
          <w:sz w:val="28"/>
        </w:rPr>
        <w:t>nedabahway 네다바웨이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95A5A6"/>
          <w:sz w:val="18"/>
        </w:rPr>
        <w:t>교육제안서 2026  |  nedabah.way@gmail.com</w:t>
      </w:r>
    </w:p>
    <w:p>
      <w:pPr>
        <w:spacing w:after="80"/>
        <w:pBdr>
          <w:bottom w:val="single" w:sz="12" w:space="1" w:color="2C6E63"/>
        </w:pBdr>
      </w:pP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pStyle w:val="Heading1"/>
        <w:spacing w:before="320" w:after="160"/>
      </w:pPr>
      <w:r>
        <w:rPr>
          <w:rFonts w:ascii="Malgun Gothic" w:hAnsi="Malgun Gothic" w:eastAsia="Malgun Gothic"/>
          <w:color w:val="2D3436"/>
          <w:sz w:val="36"/>
        </w:rPr>
        <w:t>중학교 맞춤 진로·역량 교육 프로그램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2"/>
        </w:rPr>
        <w:t>1:1 개인별 코칭으로 학생의 정체성과 방향성을 함께 찾습니다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2C6E63"/>
                <w:sz w:val="32"/>
              </w:rPr>
              <w:t>87.4%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95A5A6"/>
                <w:sz w:val="15"/>
              </w:rPr>
              <w:t>중학생 진로체험 희망률 (2025)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E17055"/>
                <w:sz w:val="32"/>
              </w:rPr>
              <w:t>53%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95A5A6"/>
                <w:sz w:val="15"/>
              </w:rPr>
              <w:t>희망직업 실제 업무 이해 비율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5B7EC2"/>
                <w:sz w:val="32"/>
              </w:rPr>
              <w:t>70.5%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95A5A6"/>
                <w:sz w:val="15"/>
              </w:rPr>
              <w:t>희망직업 보유 학생 비율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2C6E63"/>
                <w:sz w:val="32"/>
              </w:rPr>
              <w:t>12년+</w:t>
            </w:r>
          </w:p>
          <w:p>
            <w:pPr>
              <w:jc w:val="center"/>
            </w:pPr>
            <w:r>
              <w:rPr>
                <w:rFonts w:ascii="Malgun Gothic" w:hAnsi="Malgun Gothic"/>
                <w:color w:val="95A5A6"/>
                <w:sz w:val="15"/>
              </w:rPr>
              <w:t>네다바웨이 교육 경력</w:t>
            </w:r>
          </w:p>
        </w:tc>
      </w:tr>
    </w:tbl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1. 희망은 있지만, 깊이가 부족합니다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교육부·한국직업능력연구원의 2025 진로교육 현황조사에 따르면, 중학생의 87.4%가 진로체험을 희망하고 70.5%가 희망직업이 있지만, 실제 희망직업의 업무를 이해하는 비율은 53%에 불과합니다.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자유학기제는 진로성숙도 하락을 완화하는 효과가 있으나, KDI 분석(178,213명)에 따르면 고소득 가정의 사교육 지출은 증가하고 중·저소득 가정은 유지되어 교육 격차가 확대될 우려가 있습니다.</w:t>
      </w:r>
    </w:p>
    <w:p>
      <w:pPr>
        <w:spacing w:after="120" w:line="384" w:lineRule="auto"/>
      </w:pPr>
      <w:r>
        <w:rPr>
          <w:rFonts w:ascii="Malgun Gothic" w:hAnsi="Malgun Gothic" w:eastAsia="Malgun Gothic"/>
          <w:b/>
          <w:color w:val="5B7EC2"/>
          <w:sz w:val="20"/>
        </w:rPr>
        <w:t xml:space="preserve">핵심 질문: </w:t>
      </w:r>
      <w:r>
        <w:rPr>
          <w:rFonts w:ascii="Malgun Gothic" w:hAnsi="Malgun Gothic" w:eastAsia="Malgun Gothic"/>
          <w:b w:val="0"/>
          <w:color w:val="5B7EC2"/>
          <w:sz w:val="20"/>
        </w:rPr>
        <w:t>"단체 강연과 일회성 체험을 넘어, 학생 개인의 정체성을 발견하고 방향을 설계하는 깊이 있는 교육이 가능할까요?"</w:t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2. 네다바웨이 IDEN 교육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IDEN(Identity Education)은 12년 이상의 교육 경력을 바탕으로, 학생 개인의 특성에 맞는 1:1 맞춤 코칭 프로그램입니다.</w:t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>● 1:1 개인별 맞춤 코칭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단체 강연이 아닌, 학생 개인의 상황에 맞는 깊이 있는 변화</w:t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>● 다차원 진단 → 맞춤 설계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5축 역량 분석을 통해 강점과 보완점을 파악 후 프로그램 구성</w:t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>● 학부모 연계 소통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학생-코치-학부모 삼각 협력 구조로 가정에서의 변화까지</w:t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3. 4가지 맞춤 프로그램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학생의 현재 상황과 필요에 따라 최적의 프로그램을 제안합니다.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C6E63" w:val="clear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2353"/>
            <w:shd w:fill="2C6E63" w:val="clear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353"/>
            <w:shd w:fill="2C6E63" w:val="clear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353"/>
            <w:shd w:fill="2C6E63" w:val="clear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핵심 내용</w:t>
            </w:r>
          </w:p>
        </w:tc>
      </w:tr>
      <w:tr>
        <w:tc>
          <w:tcPr>
            <w:tcW w:type="dxa" w:w="2353"/>
          </w:tcPr>
          <w:p>
            <w:r>
              <w:rPr>
                <w:rFonts w:ascii="Malgun Gothic" w:hAnsi="Malgun Gothic"/>
                <w:b/>
                <w:color w:val="2C6E63"/>
                <w:sz w:val="18"/>
              </w:rPr>
              <w:t>기초 다지기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12주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학습 습관 부족 학생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계획력·실행력·인지전략·환경관리·메타인지 5축 진단 후 자기주도학습 역량 설계</w:t>
            </w:r>
          </w:p>
        </w:tc>
      </w:tr>
      <w:tr>
        <w:tc>
          <w:tcPr>
            <w:tcW w:type="dxa" w:w="2353"/>
          </w:tcPr>
          <w:p>
            <w:r>
              <w:rPr>
                <w:rFonts w:ascii="Malgun Gothic" w:hAnsi="Malgun Gothic"/>
                <w:b/>
                <w:color w:val="2C6E63"/>
                <w:sz w:val="18"/>
              </w:rPr>
              <w:t>진로 탐색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8-12주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진로 미결정 학생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자기이해·직업세계 이해·의사결정력·실행계획·가치관 5축 기반 진로 코칭</w:t>
            </w:r>
          </w:p>
        </w:tc>
      </w:tr>
      <w:tr>
        <w:tc>
          <w:tcPr>
            <w:tcW w:type="dxa" w:w="2353"/>
          </w:tcPr>
          <w:p>
            <w:r>
              <w:rPr>
                <w:rFonts w:ascii="Malgun Gothic" w:hAnsi="Malgun Gothic"/>
                <w:b/>
                <w:color w:val="2C6E63"/>
                <w:sz w:val="18"/>
              </w:rPr>
              <w:t>자소서·면접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6-10주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입시/대회 준비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자기인식→언어구성→스토리텔링→대면소통→회복탄력성 5단계 표현 훈련</w:t>
            </w:r>
          </w:p>
        </w:tc>
      </w:tr>
      <w:tr>
        <w:tc>
          <w:tcPr>
            <w:tcW w:type="dxa" w:w="2353"/>
          </w:tcPr>
          <w:p>
            <w:r>
              <w:rPr>
                <w:rFonts w:ascii="Malgun Gothic" w:hAnsi="Malgun Gothic"/>
                <w:b/>
                <w:color w:val="2C6E63"/>
                <w:sz w:val="18"/>
              </w:rPr>
              <w:t>리더십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8-12주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학생 리더/임원</w:t>
            </w:r>
          </w:p>
        </w:tc>
        <w:tc>
          <w:tcPr>
            <w:tcW w:type="dxa" w:w="2353"/>
          </w:tcPr>
          <w:p>
            <w:r>
              <w:rPr>
                <w:rFonts w:ascii="Malgun Gothic" w:hAnsi="Malgun Gothic"/>
                <w:sz w:val="18"/>
              </w:rPr>
              <w:t>비전설정·관계소통·갈등관리·자기조절·실행추진 5축 서번트 리더십 개발</w:t>
            </w:r>
          </w:p>
        </w:tc>
      </w:tr>
    </w:tbl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4. 연구 근거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네다바웨이 교육 방법론은 국내외 교육학 연구에 기반합니다.</w:t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2D3436"/>
          <w:sz w:val="20"/>
        </w:rPr>
        <w:t>📊 자기주도학습 프로그램 효과 (중학생 대상)</w:t>
      </w:r>
    </w:p>
    <w:p>
      <w:pPr>
        <w:spacing w:after="40" w:line="384" w:lineRule="auto"/>
      </w:pPr>
      <w:r>
        <w:rPr>
          <w:rFonts w:ascii="Malgun Gothic" w:hAnsi="Malgun Gothic" w:eastAsia="Malgun Gothic"/>
          <w:b/>
          <w:color w:val="636E72"/>
          <w:sz w:val="18"/>
        </w:rPr>
        <w:t xml:space="preserve">    ■ 학업적 자기효능감: </w:t>
      </w:r>
      <w:r>
        <w:rPr>
          <w:rFonts w:ascii="Malgun Gothic" w:hAnsi="Malgun Gothic" w:eastAsia="Malgun Gothic"/>
          <w:b w:val="0"/>
          <w:color w:val="2C6E63"/>
          <w:sz w:val="18"/>
        </w:rPr>
        <w:t>유의미 향상 (F=63.70, p&lt;.001)</w:t>
      </w:r>
    </w:p>
    <w:p>
      <w:pPr>
        <w:spacing w:after="40" w:line="384" w:lineRule="auto"/>
      </w:pPr>
      <w:r>
        <w:rPr>
          <w:rFonts w:ascii="Malgun Gothic" w:hAnsi="Malgun Gothic" w:eastAsia="Malgun Gothic"/>
          <w:b/>
          <w:color w:val="636E72"/>
          <w:sz w:val="18"/>
        </w:rPr>
        <w:t xml:space="preserve">    ■ 학습동기: </w:t>
      </w:r>
      <w:r>
        <w:rPr>
          <w:rFonts w:ascii="Malgun Gothic" w:hAnsi="Malgun Gothic" w:eastAsia="Malgun Gothic"/>
          <w:b w:val="0"/>
          <w:color w:val="2C6E63"/>
          <w:sz w:val="18"/>
        </w:rPr>
        <w:t>유의미 향상 (F=195.95, p&lt;.001)</w:t>
      </w:r>
    </w:p>
    <w:p>
      <w:pPr>
        <w:spacing w:after="40" w:line="384" w:lineRule="auto"/>
      </w:pPr>
      <w:r>
        <w:rPr>
          <w:rFonts w:ascii="Malgun Gothic" w:hAnsi="Malgun Gothic" w:eastAsia="Malgun Gothic"/>
          <w:b/>
          <w:color w:val="636E72"/>
          <w:sz w:val="18"/>
        </w:rPr>
        <w:t xml:space="preserve">    ■ 학업성취도: </w:t>
      </w:r>
      <w:r>
        <w:rPr>
          <w:rFonts w:ascii="Malgun Gothic" w:hAnsi="Malgun Gothic" w:eastAsia="Malgun Gothic"/>
          <w:b w:val="0"/>
          <w:color w:val="2C6E63"/>
          <w:sz w:val="18"/>
        </w:rPr>
        <w:t>유의미 향상 (F=5.36, p&lt;.05)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95A5A6"/>
          <w:sz w:val="16"/>
        </w:rPr>
        <w:t xml:space="preserve">    출처: 허은영(2010), 중학생 대상 자기주도학습 프로그램 효과 연구</w:t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2D3436"/>
          <w:sz w:val="20"/>
        </w:rPr>
        <w:t>📊 청소년 멘토링/코칭 효과 (메타분석)</w:t>
      </w:r>
    </w:p>
    <w:p>
      <w:pPr>
        <w:spacing w:after="40" w:line="384" w:lineRule="auto"/>
      </w:pPr>
      <w:r>
        <w:rPr>
          <w:rFonts w:ascii="Malgun Gothic" w:hAnsi="Malgun Gothic" w:eastAsia="Malgun Gothic"/>
          <w:b/>
          <w:color w:val="636E72"/>
          <w:sz w:val="18"/>
        </w:rPr>
        <w:t xml:space="preserve">    ■ 행동적응 (국내 22편): </w:t>
      </w:r>
      <w:r>
        <w:rPr>
          <w:rFonts w:ascii="Malgun Gothic" w:hAnsi="Malgun Gothic" w:eastAsia="Malgun Gothic"/>
          <w:b w:val="0"/>
          <w:color w:val="5B7EC2"/>
          <w:sz w:val="18"/>
        </w:rPr>
        <w:t>효과크기 1.37</w:t>
      </w:r>
    </w:p>
    <w:p>
      <w:pPr>
        <w:spacing w:after="40" w:line="384" w:lineRule="auto"/>
      </w:pPr>
      <w:r>
        <w:rPr>
          <w:rFonts w:ascii="Malgun Gothic" w:hAnsi="Malgun Gothic" w:eastAsia="Malgun Gothic"/>
          <w:b/>
          <w:color w:val="636E72"/>
          <w:sz w:val="18"/>
        </w:rPr>
        <w:t xml:space="preserve">    ■ 심리적응 (국내 22편): </w:t>
      </w:r>
      <w:r>
        <w:rPr>
          <w:rFonts w:ascii="Malgun Gothic" w:hAnsi="Malgun Gothic" w:eastAsia="Malgun Gothic"/>
          <w:b w:val="0"/>
          <w:color w:val="5B7EC2"/>
          <w:sz w:val="18"/>
        </w:rPr>
        <w:t>효과크기 0.79</w:t>
      </w:r>
    </w:p>
    <w:p>
      <w:pPr>
        <w:spacing w:after="40" w:line="384" w:lineRule="auto"/>
      </w:pPr>
      <w:r>
        <w:rPr>
          <w:rFonts w:ascii="Malgun Gothic" w:hAnsi="Malgun Gothic" w:eastAsia="Malgun Gothic"/>
          <w:b/>
          <w:color w:val="636E72"/>
          <w:sz w:val="18"/>
        </w:rPr>
        <w:t xml:space="preserve">    ■ 종합효과 (해외 70편, 25,286명): </w:t>
      </w:r>
      <w:r>
        <w:rPr>
          <w:rFonts w:ascii="Malgun Gothic" w:hAnsi="Malgun Gothic" w:eastAsia="Malgun Gothic"/>
          <w:b w:val="0"/>
          <w:color w:val="5B7EC2"/>
          <w:sz w:val="18"/>
        </w:rPr>
        <w:t>g=0.21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95A5A6"/>
          <w:sz w:val="16"/>
        </w:rPr>
        <w:t xml:space="preserve">    출처: RISS 메타분석; Raposa et al.(2019), Journal of Youth and Adolescence</w:t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2D3436"/>
          <w:sz w:val="20"/>
        </w:rPr>
        <w:t>🧠 자아정체감 → 진로정체감 → 삶의 만족도 (종단 연구)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18"/>
        </w:rPr>
        <w:t xml:space="preserve">    2,056명 한국아동청소년패널 종단분석 결과, 자아정체감이 진로정체감에 유의미한 정적 영향을 미치며, 진로정체감이 삶의 만족도에 유의미한 정적 영향을 미치는 것으로 확인.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95A5A6"/>
          <w:sz w:val="16"/>
        </w:rPr>
        <w:t xml:space="preserve">    출처: 김영미(2020); 조세연·김기찬(2014)</w:t>
      </w:r>
    </w:p>
    <w:p>
      <w:pPr>
        <w:spacing w:after="120" w:line="384" w:lineRule="auto"/>
      </w:pPr>
      <w:r>
        <w:rPr>
          <w:rFonts w:ascii="Malgun Gothic" w:hAnsi="Malgun Gothic" w:eastAsia="Malgun Gothic"/>
          <w:b/>
          <w:color w:val="E17055"/>
          <w:sz w:val="18"/>
        </w:rPr>
        <w:t xml:space="preserve">⚠ 자유학기제의 한계: </w:t>
      </w:r>
      <w:r>
        <w:rPr>
          <w:rFonts w:ascii="Malgun Gothic" w:hAnsi="Malgun Gothic" w:eastAsia="Malgun Gothic"/>
          <w:b w:val="0"/>
          <w:color w:val="636E72"/>
          <w:sz w:val="18"/>
        </w:rPr>
        <w:t>자유학기제는 진로성숙도 하락을 완화하나, KDI 분석(178,213명)에 따르면 고소득 가정의 사교육 지출은 증가, 중·저소득은 유지되어 교육 격차 확대 우려. 깊이 있는 1:1 코칭이 이 격차를 메우는 해법입니다.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C48B5C"/>
          <w:sz w:val="26"/>
        </w:rPr>
        <w:t>💛 데이터 너머의 이야기</w:t>
      </w:r>
    </w:p>
    <w:p>
      <w:pPr>
        <w:spacing w:line="432" w:lineRule="auto" w:after="240"/>
      </w:pPr>
      <w:r>
        <w:rPr>
          <w:rFonts w:ascii="Malgun Gothic" w:hAnsi="Malgun Gothic"/>
          <w:i/>
          <w:color w:val="2D3436"/>
          <w:sz w:val="20"/>
        </w:rPr>
        <w:t>10년 넘게 학생들을 만나며 확인한 것은,</w:t>
        <w:br/>
        <w:t>숫자로 측정되지 않는 변화가 가장 큰 변화라는 것입니다.</w:t>
        <w:br/>
        <w:br/>
        <w:t>자신이 누구인지 처음으로 말할 수 있게 된 아이,</w:t>
        <w:br/>
        <w:t>"나도 할 수 있다"는 문장을 처음 진심으로 쓴 아이,</w:t>
        <w:br/>
        <w:t>부모님과 진로에 대해 처음 대화한 아이.</w:t>
        <w:br/>
        <w:br/>
        <w:t>네다바웨이는 정량적 데이터도 중시하지만,</w:t>
        <w:br/>
        <w:t>정성적 변화에 더 귀를 기울이고 있습니다.</w:t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5. 학교 맞춤 운영 방식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학교 일정과 상황에 맞게 유연하게 구성할 수 있습니다.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방과후 프로그램</w:t>
      </w:r>
      <w:r>
        <w:rPr>
          <w:rFonts w:ascii="Malgun Gothic" w:hAnsi="Malgun Gothic" w:eastAsia="Malgun Gothic"/>
          <w:b w:val="0"/>
          <w:color w:val="636E72"/>
          <w:sz w:val="18"/>
        </w:rPr>
        <w:t xml:space="preserve">  —  주 1-2회, 학교 내 교실 활용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자유학기제 연계</w:t>
      </w:r>
      <w:r>
        <w:rPr>
          <w:rFonts w:ascii="Malgun Gothic" w:hAnsi="Malgun Gothic" w:eastAsia="Malgun Gothic"/>
          <w:b w:val="0"/>
          <w:color w:val="636E72"/>
          <w:sz w:val="18"/>
        </w:rPr>
        <w:t xml:space="preserve">  —  진로탐색 활동으로 편성 가능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특별 프로그램</w:t>
      </w:r>
      <w:r>
        <w:rPr>
          <w:rFonts w:ascii="Malgun Gothic" w:hAnsi="Malgun Gothic" w:eastAsia="Malgun Gothic"/>
          <w:b w:val="0"/>
          <w:color w:val="636E72"/>
          <w:sz w:val="18"/>
        </w:rPr>
        <w:t xml:space="preserve">  —  리더십 캠프, 진로의 날 특강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온라인 병행</w:t>
      </w:r>
      <w:r>
        <w:rPr>
          <w:rFonts w:ascii="Malgun Gothic" w:hAnsi="Malgun Gothic" w:eastAsia="Malgun Gothic"/>
          <w:b w:val="0"/>
          <w:color w:val="636E72"/>
          <w:sz w:val="18"/>
        </w:rPr>
        <w:t xml:space="preserve">  —  대면 + 비대면 하이브리드 가능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spacing w:after="120" w:line="384" w:lineRule="auto"/>
      </w:pPr>
      <w:r>
        <w:rPr>
          <w:rFonts w:ascii="Malgun Gothic" w:hAnsi="Malgun Gothic" w:eastAsia="Malgun Gothic"/>
          <w:b/>
          <w:color w:val="2D3436"/>
          <w:sz w:val="22"/>
        </w:rPr>
        <w:t>운영 흐름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1. 사전 진단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다차원 역량 진단으로 학생별 현재 상태 파악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2. 맞춤 프로그램 설계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진단 결과 기반 개인별 코칭 플랜 수립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3. 1:1 코칭 진행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주 1-2회, 학생 속도에 맞춘 심층 코칭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4. 중간 점검 &amp; 학부모 소통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학생 변화 공유, 가정에서의 지원 방향 논의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5. 최종 보고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역량 변화 분석 보고서 + 학교 제출용 리포트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6. 진단 도구 체험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20"/>
        </w:rPr>
        <w:t>실제 프로그램에서 사용하는 다차원 역량 진단 도구를 온라인에서 직접 체험하실 수 있습니다.</w:t>
      </w:r>
    </w:p>
    <w:p>
      <w:pPr>
        <w:spacing w:after="120" w:line="384" w:lineRule="auto"/>
      </w:pPr>
      <w:r>
        <w:rPr>
          <w:rFonts w:ascii="Malgun Gothic" w:hAnsi="Malgun Gothic" w:eastAsia="Malgun Gothic"/>
          <w:b/>
          <w:color w:val="2D3436"/>
          <w:sz w:val="20"/>
        </w:rPr>
        <w:t xml:space="preserve">체험 링크: </w:t>
      </w:r>
      <w:r>
        <w:rPr>
          <w:rFonts w:ascii="Malgun Gothic" w:hAnsi="Malgun Gothic" w:eastAsia="Malgun Gothic"/>
          <w:b w:val="0"/>
          <w:color w:val="2C6E63"/>
          <w:sz w:val="20"/>
        </w:rPr>
        <w:t>www.nedabah.org/#/diag/career</w:t>
      </w:r>
      <w:r>
        <w:rPr>
          <w:rFonts w:ascii="Malgun Gothic" w:hAnsi="Malgun Gothic" w:eastAsia="Malgun Gothic"/>
          <w:b w:val="0"/>
          <w:color w:val="636E72"/>
          <w:sz w:val="18"/>
        </w:rPr>
        <w:t xml:space="preserve"> (진로 성숙도 진단)</w:t>
      </w:r>
    </w:p>
    <w:p>
      <w:pPr>
        <w:pStyle w:val="Heading2"/>
        <w:spacing w:before="320" w:after="160"/>
      </w:pPr>
      <w:r>
        <w:rPr>
          <w:rFonts w:ascii="Malgun Gothic" w:hAnsi="Malgun Gothic" w:eastAsia="Malgun Gothic"/>
          <w:color w:val="2C6E63"/>
          <w:sz w:val="28"/>
        </w:rPr>
        <w:t>7. 다음 단계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1단계 — 전화/이메일 상담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학교 상황과 필요를 파악합니다 (무료)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2단계 — 학교 방문 설명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담당 선생님과 30분 미팅 (무료)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3단계 — 시범 운영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1-2학급 대상 4주 시범 프로그램</w:t>
      </w:r>
    </w:p>
    <w:p>
      <w:pPr>
        <w:spacing w:after="60" w:line="384" w:lineRule="auto"/>
      </w:pPr>
      <w:r>
        <w:rPr>
          <w:rFonts w:ascii="Malgun Gothic" w:hAnsi="Malgun Gothic" w:eastAsia="Malgun Gothic"/>
          <w:b/>
          <w:color w:val="2C6E63"/>
          <w:sz w:val="20"/>
        </w:rPr>
        <w:t xml:space="preserve">    ● 4단계 — 정규 편성</w:t>
      </w:r>
      <w:r>
        <w:rPr>
          <w:rFonts w:ascii="Malgun Gothic" w:hAnsi="Malgun Gothic" w:eastAsia="Malgun Gothic"/>
          <w:b w:val="0"/>
          <w:color w:val="636E72"/>
          <w:sz w:val="18"/>
        </w:rPr>
        <w:br/>
        <w:t xml:space="preserve">       학교 일정에 맞춘 정규 프로그램 운영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 w:val="0"/>
          <w:color w:val="2C6E63"/>
          <w:sz w:val="16"/>
        </w:rPr>
        <w:t>━━━━━━━━━━━━━━━━━━━━━━━━━━━━━━━━━━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/>
          <w:color w:val="2C6E63"/>
          <w:sz w:val="28"/>
        </w:rPr>
        <w:t>프로그램 상담 신청</w:t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 w:val="0"/>
          <w:color w:val="636E72"/>
          <w:sz w:val="20"/>
        </w:rPr>
        <w:t>학교 상황에 맞는 최적의 프로그램을 함께 설계합니다</w:t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/>
          <w:color w:val="2C6E63"/>
          <w:sz w:val="26"/>
        </w:rPr>
        <w:t>nedabah.way@gmail.com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spacing w:after="80" w:line="384" w:lineRule="auto"/>
      </w:pPr>
      <w:r>
        <w:rPr>
          <w:rFonts w:ascii="Malgun Gothic" w:hAnsi="Malgun Gothic" w:eastAsia="Malgun Gothic"/>
          <w:b/>
          <w:color w:val="7C3AED"/>
          <w:sz w:val="20"/>
        </w:rPr>
        <w:t xml:space="preserve">📚 출간 예정  |  </w:t>
      </w:r>
      <w:r>
        <w:rPr>
          <w:rFonts w:ascii="Malgun Gothic" w:hAnsi="Malgun Gothic" w:eastAsia="Malgun Gothic"/>
          <w:b/>
          <w:color w:val="2D3436"/>
          <w:sz w:val="20"/>
        </w:rPr>
        <w:t>Work for Others (직업가치관, 이것만 남는다)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636E72"/>
          <w:sz w:val="18"/>
        </w:rPr>
        <w:t>일의 의미를 다시 묻는 시대, 내가 왜 이 일을 하는지에 대한 본질적인 질문과 답. 출간 후 학교 진로도서관 기증 및 저자 특강 가능.</w:t>
      </w:r>
    </w:p>
    <w:p>
      <w:pPr>
        <w:spacing w:after="120" w:line="384" w:lineRule="auto"/>
      </w:pPr>
      <w:r>
        <w:rPr>
          <w:rFonts w:ascii="Malgun Gothic" w:hAnsi="Malgun Gothic" w:eastAsia="Malgun Gothic"/>
          <w:b w:val="0"/>
          <w:color w:val="2D3436"/>
          <w:sz w:val="20"/>
        </w:rPr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 w:val="0"/>
          <w:color w:val="2C6E63"/>
          <w:sz w:val="16"/>
        </w:rPr>
        <w:t>━━━━━━━━━━━━━━━━━━━━━━━━━━━━━━━━━━</w:t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/>
          <w:color w:val="2C6E63"/>
          <w:sz w:val="22"/>
        </w:rPr>
        <w:t>nedabahway 네다바웨이</w:t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 w:val="0"/>
          <w:color w:val="95A5A6"/>
          <w:sz w:val="18"/>
        </w:rPr>
        <w:t>nedabah.way@gmail.com  |  www.nedabah.org</w:t>
      </w:r>
    </w:p>
    <w:p>
      <w:pPr>
        <w:spacing w:after="120" w:line="384" w:lineRule="auto"/>
        <w:jc w:val="center"/>
      </w:pPr>
      <w:r>
        <w:rPr>
          <w:rFonts w:ascii="Malgun Gothic" w:hAnsi="Malgun Gothic" w:eastAsia="Malgun Gothic"/>
          <w:b w:val="0"/>
          <w:color w:val="95A5A6"/>
          <w:sz w:val="16"/>
        </w:rPr>
        <w:t>© 2026 nedabahway. All rights reserved.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