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Subtitle"/>
        <w:jc w:val="center"/>
      </w:pPr>
      <w:r>
        <w:rPr>
          <w:b/>
        </w:rPr>
        <w:t xml:space="preserve">PROJET SMART CITY — AIR QUALITY INDEX (AQI) &amp; AIDE À LA DÉCISION PUBLIQUE</w:t>
      </w:r>
    </w:p>
    <w:p>
      <w:pPr>
        <w:pStyle w:val="Normal"/>
        <w:jc w:val="center"/>
      </w:pPr>
      <w:r>
        <w:rPr>
          <w:i/>
        </w:rPr>
        <w:t xml:space="preserve">Surveillance Temps Réel, Prévision à 24 Heures, Application Web, Power BI &amp; Backlog Agile</w:t>
      </w:r>
    </w:p>
    <w:p>
      <w:pPr>
        <w:pStyle w:val="Heading2"/>
        <w:jc w:val="center"/>
      </w:pPr>
      <w:r>
        <w:rPr>
          <w:b/>
        </w:rPr>
        <w:t xml:space="preserve">RAPPORT COMPLET DE PROJET &amp; DOSSIER DES LIVRABLES</w:t>
      </w:r>
    </w:p>
    <w:p>
      <w:pPr>
        <w:pStyle w:val="Title"/>
        <w:jc w:val="center"/>
      </w:pPr>
      <w:r>
        <w:rPr>
          <w:b/>
        </w:rPr>
        <w:t xml:space="preserve">Étude, Surveillance et Prédiction à 24 Heures de la Qualité de l'Air en Île-de-France : La Donnée au Service d'une Ville Plus Saine</w:t>
      </w:r>
    </w:p>
    <w:p>
      <w:pPr>
        <w:pStyle w:val="Normal"/>
        <w:jc w:val="center"/>
      </w:pPr>
      <w:r>
        <w:rPr>
          <w:b/>
          <w:i/>
        </w:rPr>
        <w:t xml:space="preserve">« Des données d'aujourd'hui pour une meilleure qualité de l'air demain »</w:t>
      </w:r>
    </w:p>
    <w:p>
      <w:pPr>
        <w:jc w:val="center"/>
        <w:spacing w:before="120" w:after="60"/>
      </w:pPr>
      <w:r>
        <w:drawing>
          <wp:inline distT="0" distB="0" distL="0" distR="0">
            <wp:extent cx="5760000" cy="3880000"/>
            <wp:docPr id="1" name="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png"/>
                    <pic:cNvPicPr/>
                  </pic:nvPicPr>
                  <pic:blipFill>
                    <a:blip r:embed="rId4"/>
                    <a:stretch>
                      <a:fillRect/>
                    </a:stretch>
                  </pic:blipFill>
                  <pic:spPr>
                    <a:xfrm>
                      <a:off x="0" y="0"/>
                      <a:ext cx="5760000" cy="3880000"/>
                    </a:xfrm>
                    <a:prstGeom prst="rect">
                      <a:avLst/>
                    </a:prstGeom>
                  </pic:spPr>
                </pic:pic>
              </a:graphicData>
            </a:graphic>
          </wp:inline>
        </w:drawing>
      </w:r>
    </w:p>
    <w:p>
      <w:pPr>
        <w:pStyle w:val="Caption"/>
        <w:jc w:val="center"/>
      </w:pPr>
      <w:r>
        <w:rPr>
          <w:i/>
        </w:rPr>
        <w:t xml:space="preserve">Architecture globale du système Smart City : de la collecte multi-sources aux quatre profils d'utilisateurs.</w:t>
      </w:r>
    </w:p>
    <w:p>
      <w:pPr>
        <w:pStyle w:val="Normal"/>
        <w:jc w:val="center"/>
      </w:pPr>
      <w:r>
        <w:rPr>
          <w:b/>
        </w:rPr>
        <w:t xml:space="preserve">Périmètre : Région Île-de-France (34 capteurs · Flux temps réel 30 min · Prévisions J+1) — Année 2025–2026</w:t>
      </w:r>
    </w:p>
    <w:p>
      <w:r>
        <w:br w:type="page"/>
      </w:r>
    </w:p>
    <w:p>
      <w:pPr>
        <w:pStyle w:val="Heading1"/>
        <w:jc w:val="left"/>
      </w:pPr>
      <w:r>
        <w:rPr>
          <w:b/>
        </w:rPr>
        <w:t xml:space="preserve">Table des Matières</w:t>
      </w:r>
    </w:p>
    <w:p>
      <w:pPr>
        <w:pStyle w:val="Normal"/>
        <w:jc w:val="both"/>
      </w:pPr>
      <w:r>
        <w:t xml:space="preserve">01. Introduction &amp; Contexte : Pourquoi étudier la qualité de l'air est d'utilité publique ?</w:t>
      </w:r>
    </w:p>
    <w:p>
      <w:pPr>
        <w:pStyle w:val="Normal"/>
        <w:jc w:val="both"/>
      </w:pPr>
      <w:r>
        <w:t xml:space="preserve">02. Architecture Globale du Système : De la Collecte aux Utilisateurs</w:t>
      </w:r>
    </w:p>
    <w:p>
      <w:pPr>
        <w:pStyle w:val="Normal"/>
        <w:jc w:val="both"/>
      </w:pPr>
      <w:r>
        <w:t xml:space="preserve">03. Collecte Historique et Streaming Temps Réel sur Serveur Distant</w:t>
      </w:r>
    </w:p>
    <w:p>
      <w:pPr>
        <w:pStyle w:val="Normal"/>
        <w:jc w:val="both"/>
      </w:pPr>
      <w:r>
        <w:t xml:space="preserve">04. Prédictions pour les 24 Prochaines Heures par Intelligence Artificielle</w:t>
      </w:r>
    </w:p>
    <w:p>
      <w:pPr>
        <w:pStyle w:val="Normal"/>
        <w:jc w:val="both"/>
      </w:pPr>
      <w:r>
        <w:t xml:space="preserve">05. Exploitation Décisionnelle : Power BI, Application Web et Mobilité</w:t>
      </w:r>
    </w:p>
    <w:p>
      <w:pPr>
        <w:pStyle w:val="Normal"/>
        <w:jc w:val="both"/>
      </w:pPr>
      <w:r>
        <w:t xml:space="preserve">06. Organisation Agile, Backlog Produit et Synthèse des Livrables</w:t>
      </w:r>
    </w:p>
    <w:p>
      <w:pPr>
        <w:pStyle w:val="Normal"/>
        <w:jc w:val="both"/>
      </w:pPr>
      <w:r>
        <w:t xml:space="preserve">07. Conclusion Générale, Perspectives d'Amélioration et Bibliographie</w:t>
      </w:r>
    </w:p>
    <w:p>
      <w:r>
        <w:br w:type="page"/>
      </w:r>
    </w:p>
    <w:p>
      <w:pPr>
        <w:pStyle w:val="Heading1"/>
        <w:jc w:val="left"/>
      </w:pPr>
      <w:r>
        <w:rPr>
          <w:b/>
        </w:rPr>
        <w:t xml:space="preserve">01. Introduction &amp; Contexte : Pourquoi étudier la qualité de l'air est d'utilité publique ?</w:t>
      </w:r>
    </w:p>
    <w:p>
      <w:pPr>
        <w:pStyle w:val="Heading2"/>
        <w:jc w:val="left"/>
      </w:pPr>
      <w:r>
        <w:rPr>
          <w:b/>
        </w:rPr>
        <w:t xml:space="preserve">1.1. L'air, une ressource vitale critique au cœur des enjeux sanitaires urbains</w:t>
      </w:r>
    </w:p>
    <w:p>
      <w:pPr>
        <w:pStyle w:val="Normal"/>
        <w:jc w:val="both"/>
      </w:pPr>
      <w:r>
        <w:t xml:space="preserve">Respirer librement est un besoin humain fondamental. Parmi toutes les ressources naturelles de la Terre, l'air occupe une place critique : contrairement à l'eau ou à l'alimentation, son absence ou son altération sévère met immédiatement la vie humaine en péril. Selon l'Organisation Mondiale de la Santé (OMS, 2021) et Santé Publique France (2021), la pollution de l'air provoque 4,2 millions de décès prématurés par an dans le monde et 40 000 en France, avec une exposition particulièrement forte en Île-de-France (12,3 millions d'habitants).</w:t>
      </w:r>
    </w:p>
    <w:p>
      <w:pPr>
        <w:pStyle w:val="Heading2"/>
        <w:jc w:val="left"/>
      </w:pPr>
      <w:r>
        <w:rPr>
          <w:b/>
        </w:rPr>
        <w:t xml:space="preserve">1.2. Les six grandes plus-values du projet pour la société et les utilisateurs</w:t>
      </w:r>
    </w:p>
    <w:p>
      <w:pPr>
        <w:pStyle w:val="Normal"/>
        <w:jc w:val="both"/>
      </w:pPr>
      <w:r>
        <w:t xml:space="preserve">1. Prévenir d'éventuelles crises sanitaires aiguës : avertir immédiatement les citoyens de rester chez eux en cas de dégradation brutale ou imprévue.</w:t>
      </w:r>
    </w:p>
    <w:p>
      <w:pPr>
        <w:pStyle w:val="Normal"/>
        <w:jc w:val="both"/>
      </w:pPr>
      <w:r>
        <w:t xml:space="preserve">2. Protéger de manière ciblée les personnes malades et vulnérables : permettre aux personnes sensibles (asthmatiques, insuffisants respiratoires, enfants, seniors) de prendre leurs précautions avant de sortir.</w:t>
      </w:r>
    </w:p>
    <w:p>
      <w:pPr>
        <w:pStyle w:val="Normal"/>
        <w:jc w:val="both"/>
      </w:pPr>
      <w:r>
        <w:t xml:space="preserve">3. Sensibiliser les citoyens et responsabiliser les industriels : mener des campagnes de prévention pour inciter les populations et surtout les industriels à moins polluer.</w:t>
      </w:r>
    </w:p>
    <w:p>
      <w:pPr>
        <w:pStyle w:val="Normal"/>
        <w:jc w:val="both"/>
      </w:pPr>
      <w:r>
        <w:t xml:space="preserve">4. Produire des statistiques de référence : connaître scientifiquement les facteurs d'accroissement ou de régression de l'indice AQI.</w:t>
      </w:r>
    </w:p>
    <w:p>
      <w:pPr>
        <w:pStyle w:val="Normal"/>
        <w:jc w:val="both"/>
      </w:pPr>
      <w:r>
        <w:t xml:space="preserve">5. Identifier des schémas récurrents (« patterns ») pour l'anticipation matérielle et hospitalière : anticiper les stocks de masques à oxygène et la préparation des équipements hospitaliers lors des mauvaises périodes.</w:t>
      </w:r>
    </w:p>
    <w:p>
      <w:pPr>
        <w:pStyle w:val="Normal"/>
        <w:jc w:val="both"/>
      </w:pPr>
      <w:r>
        <w:t xml:space="preserve">6. Offrir un socle d'analyse pour la recherche scientifique : permettre aux chercheurs d'étudier l'évolution de la mauvaise qualité de l'air et de concevoir de nouvelles solutions.</w:t>
      </w:r>
    </w:p>
    <w:p>
      <w:pPr>
        <w:pStyle w:val="Heading2"/>
        <w:jc w:val="left"/>
      </w:pPr>
      <w:r>
        <w:rPr>
          <w:b/>
        </w:rPr>
        <w:t xml:space="preserve">1.3. L'échelle de qualité de l'air et les composants chimiques suivis</w:t>
      </w:r>
    </w:p>
    <w:tbl>
      <w:tblPr>
        <w:tblW w:w="5000" w:type="pct"/>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r>
        <w:tc>
          <w:tcPr>
            <w:shd w:val="clear" w:color="auto" w:fill="1E3A8A"/>
            <w:tcMar>
              <w:top w:w="80" w:type="dxa"/>
              <w:bottom w:w="80" w:type="dxa"/>
              <w:left w:w="110" w:type="dxa"/>
              <w:right w:w="110" w:type="dxa"/>
            </w:tcMar>
          </w:tcPr>
          <w:p>
            <w:pPr>
              <w:jc w:val="left"/>
              <w:spacing w:before="40" w:after="40"/>
            </w:pPr>
            <w:r>
              <w:rPr>
                <w:b/>
                <w:color w:val="FFFFFF"/>
                <w:sz w:val="19"/>
              </w:rPr>
              <w:t>Niveau de Qualité de l'Air</w:t>
            </w:r>
          </w:p>
        </w:tc>
        <w:tc>
          <w:tcPr>
            <w:shd w:val="clear" w:color="auto" w:fill="1E3A8A"/>
            <w:tcMar>
              <w:top w:w="80" w:type="dxa"/>
              <w:bottom w:w="80" w:type="dxa"/>
              <w:left w:w="110" w:type="dxa"/>
              <w:right w:w="110" w:type="dxa"/>
            </w:tcMar>
          </w:tcPr>
          <w:p>
            <w:pPr>
              <w:jc w:val="left"/>
              <w:spacing w:before="40" w:after="40"/>
            </w:pPr>
            <w:r>
              <w:rPr>
                <w:b/>
                <w:color w:val="FFFFFF"/>
                <w:sz w:val="19"/>
              </w:rPr>
              <w:t>Échelle Européenne (EAQI)</w:t>
            </w:r>
          </w:p>
        </w:tc>
        <w:tc>
          <w:tcPr>
            <w:shd w:val="clear" w:color="auto" w:fill="1E3A8A"/>
            <w:tcMar>
              <w:top w:w="80" w:type="dxa"/>
              <w:bottom w:w="80" w:type="dxa"/>
              <w:left w:w="110" w:type="dxa"/>
              <w:right w:w="110" w:type="dxa"/>
            </w:tcMar>
          </w:tcPr>
          <w:p>
            <w:pPr>
              <w:jc w:val="left"/>
              <w:spacing w:before="40" w:after="40"/>
            </w:pPr>
            <w:r>
              <w:rPr>
                <w:b/>
                <w:color w:val="FFFFFF"/>
                <w:sz w:val="19"/>
              </w:rPr>
              <w:t>Échelle Internationale (US AQI)</w:t>
            </w:r>
          </w:p>
        </w:tc>
        <w:tc>
          <w:tcPr>
            <w:shd w:val="clear" w:color="auto" w:fill="1E3A8A"/>
            <w:tcMar>
              <w:top w:w="80" w:type="dxa"/>
              <w:bottom w:w="80" w:type="dxa"/>
              <w:left w:w="110" w:type="dxa"/>
              <w:right w:w="110" w:type="dxa"/>
            </w:tcMar>
          </w:tcPr>
          <w:p>
            <w:pPr>
              <w:jc w:val="left"/>
              <w:spacing w:before="40" w:after="40"/>
            </w:pPr>
            <w:r>
              <w:rPr>
                <w:b/>
                <w:color w:val="FFFFFF"/>
                <w:sz w:val="19"/>
              </w:rPr>
              <w:t>Couleur</w:t>
            </w:r>
          </w:p>
        </w:tc>
        <w:tc>
          <w:tcPr>
            <w:shd w:val="clear" w:color="auto" w:fill="1E3A8A"/>
            <w:tcMar>
              <w:top w:w="80" w:type="dxa"/>
              <w:bottom w:w="80" w:type="dxa"/>
              <w:left w:w="110" w:type="dxa"/>
              <w:right w:w="110" w:type="dxa"/>
            </w:tcMar>
          </w:tcPr>
          <w:p>
            <w:pPr>
              <w:jc w:val="left"/>
              <w:spacing w:before="40" w:after="40"/>
            </w:pPr>
            <w:r>
              <w:rPr>
                <w:b/>
                <w:color w:val="FFFFFF"/>
                <w:sz w:val="19"/>
              </w:rPr>
              <w:t>Signification concrète et précautions pour l'utilisateur</w:t>
            </w:r>
          </w:p>
        </w:tc>
      </w:tr>
      <w:tr>
        <w:tc>
          <w:tcPr>
            <w:shd w:val="clear" w:color="auto" w:fill="FFFFFF"/>
            <w:tcMar>
              <w:top w:w="70" w:type="dxa"/>
              <w:bottom w:w="70" w:type="dxa"/>
              <w:left w:w="110" w:type="dxa"/>
              <w:right w:w="110" w:type="dxa"/>
            </w:tcMar>
          </w:tcPr>
          <w:p>
            <w:pPr>
              <w:jc w:val="left"/>
              <w:spacing w:before="30" w:after="30"/>
            </w:pPr>
            <w:r>
              <w:rPr>
                <w:b w:val="true"/>
                <w:sz w:val="19"/>
              </w:rPr>
              <w:t>Bon</w:t>
            </w:r>
          </w:p>
        </w:tc>
        <w:tc>
          <w:tcPr>
            <w:shd w:val="clear" w:color="auto" w:fill="FFFFFF"/>
            <w:tcMar>
              <w:top w:w="70" w:type="dxa"/>
              <w:bottom w:w="70" w:type="dxa"/>
              <w:left w:w="110" w:type="dxa"/>
              <w:right w:w="110" w:type="dxa"/>
            </w:tcMar>
          </w:tcPr>
          <w:p>
            <w:pPr>
              <w:jc w:val="left"/>
              <w:spacing w:before="30" w:after="30"/>
            </w:pPr>
            <w:r>
              <w:rPr>
                <w:b w:val="false"/>
                <w:sz w:val="19"/>
              </w:rPr>
              <w:t>0 – 20</w:t>
            </w:r>
          </w:p>
        </w:tc>
        <w:tc>
          <w:tcPr>
            <w:shd w:val="clear" w:color="auto" w:fill="FFFFFF"/>
            <w:tcMar>
              <w:top w:w="70" w:type="dxa"/>
              <w:bottom w:w="70" w:type="dxa"/>
              <w:left w:w="110" w:type="dxa"/>
              <w:right w:w="110" w:type="dxa"/>
            </w:tcMar>
          </w:tcPr>
          <w:p>
            <w:pPr>
              <w:jc w:val="left"/>
              <w:spacing w:before="30" w:after="30"/>
            </w:pPr>
            <w:r>
              <w:rPr>
                <w:b w:val="false"/>
                <w:sz w:val="19"/>
              </w:rPr>
              <w:t>0 – 50</w:t>
            </w:r>
          </w:p>
        </w:tc>
        <w:tc>
          <w:tcPr>
            <w:shd w:val="clear" w:color="auto" w:fill="FFFFFF"/>
            <w:tcMar>
              <w:top w:w="70" w:type="dxa"/>
              <w:bottom w:w="70" w:type="dxa"/>
              <w:left w:w="110" w:type="dxa"/>
              <w:right w:w="110" w:type="dxa"/>
            </w:tcMar>
          </w:tcPr>
          <w:p>
            <w:pPr>
              <w:jc w:val="left"/>
              <w:spacing w:before="30" w:after="30"/>
            </w:pPr>
            <w:r>
              <w:rPr>
                <w:b w:val="false"/>
                <w:sz w:val="19"/>
              </w:rPr>
              <w:t>Vert (#00E400)</w:t>
            </w:r>
          </w:p>
        </w:tc>
        <w:tc>
          <w:tcPr>
            <w:shd w:val="clear" w:color="auto" w:fill="FFFFFF"/>
            <w:tcMar>
              <w:top w:w="70" w:type="dxa"/>
              <w:bottom w:w="70" w:type="dxa"/>
              <w:left w:w="110" w:type="dxa"/>
              <w:right w:w="110" w:type="dxa"/>
            </w:tcMar>
          </w:tcPr>
          <w:p>
            <w:pPr>
              <w:jc w:val="left"/>
              <w:spacing w:before="30" w:after="30"/>
            </w:pPr>
            <w:r>
              <w:rPr>
                <w:b w:val="false"/>
                <w:sz w:val="19"/>
              </w:rPr>
              <w:t>Qualité de l'air idéale : sport en plein air et aération recommandés.</w:t>
            </w:r>
          </w:p>
        </w:tc>
      </w:tr>
      <w:tr>
        <w:tc>
          <w:tcPr>
            <w:shd w:val="clear" w:color="auto" w:fill="F8FAFC"/>
            <w:tcMar>
              <w:top w:w="70" w:type="dxa"/>
              <w:bottom w:w="70" w:type="dxa"/>
              <w:left w:w="110" w:type="dxa"/>
              <w:right w:w="110" w:type="dxa"/>
            </w:tcMar>
          </w:tcPr>
          <w:p>
            <w:pPr>
              <w:jc w:val="left"/>
              <w:spacing w:before="30" w:after="30"/>
            </w:pPr>
            <w:r>
              <w:rPr>
                <w:b w:val="true"/>
                <w:sz w:val="19"/>
              </w:rPr>
              <w:t>Correct / Modéré</w:t>
            </w:r>
          </w:p>
        </w:tc>
        <w:tc>
          <w:tcPr>
            <w:shd w:val="clear" w:color="auto" w:fill="F8FAFC"/>
            <w:tcMar>
              <w:top w:w="70" w:type="dxa"/>
              <w:bottom w:w="70" w:type="dxa"/>
              <w:left w:w="110" w:type="dxa"/>
              <w:right w:w="110" w:type="dxa"/>
            </w:tcMar>
          </w:tcPr>
          <w:p>
            <w:pPr>
              <w:jc w:val="left"/>
              <w:spacing w:before="30" w:after="30"/>
            </w:pPr>
            <w:r>
              <w:rPr>
                <w:b w:val="false"/>
                <w:sz w:val="19"/>
              </w:rPr>
              <w:t>20 – 40</w:t>
            </w:r>
          </w:p>
        </w:tc>
        <w:tc>
          <w:tcPr>
            <w:shd w:val="clear" w:color="auto" w:fill="F8FAFC"/>
            <w:tcMar>
              <w:top w:w="70" w:type="dxa"/>
              <w:bottom w:w="70" w:type="dxa"/>
              <w:left w:w="110" w:type="dxa"/>
              <w:right w:w="110" w:type="dxa"/>
            </w:tcMar>
          </w:tcPr>
          <w:p>
            <w:pPr>
              <w:jc w:val="left"/>
              <w:spacing w:before="30" w:after="30"/>
            </w:pPr>
            <w:r>
              <w:rPr>
                <w:b w:val="false"/>
                <w:sz w:val="19"/>
              </w:rPr>
              <w:t>51 – 100</w:t>
            </w:r>
          </w:p>
        </w:tc>
        <w:tc>
          <w:tcPr>
            <w:shd w:val="clear" w:color="auto" w:fill="F8FAFC"/>
            <w:tcMar>
              <w:top w:w="70" w:type="dxa"/>
              <w:bottom w:w="70" w:type="dxa"/>
              <w:left w:w="110" w:type="dxa"/>
              <w:right w:w="110" w:type="dxa"/>
            </w:tcMar>
          </w:tcPr>
          <w:p>
            <w:pPr>
              <w:jc w:val="left"/>
              <w:spacing w:before="30" w:after="30"/>
            </w:pPr>
            <w:r>
              <w:rPr>
                <w:b w:val="false"/>
                <w:sz w:val="19"/>
              </w:rPr>
              <w:t>Jaune (#FFFF00)</w:t>
            </w:r>
          </w:p>
        </w:tc>
        <w:tc>
          <w:tcPr>
            <w:shd w:val="clear" w:color="auto" w:fill="F8FAFC"/>
            <w:tcMar>
              <w:top w:w="70" w:type="dxa"/>
              <w:bottom w:w="70" w:type="dxa"/>
              <w:left w:w="110" w:type="dxa"/>
              <w:right w:w="110" w:type="dxa"/>
            </w:tcMar>
          </w:tcPr>
          <w:p>
            <w:pPr>
              <w:jc w:val="left"/>
              <w:spacing w:before="30" w:after="30"/>
            </w:pPr>
            <w:r>
              <w:rPr>
                <w:b w:val="false"/>
                <w:sz w:val="19"/>
              </w:rPr>
              <w:t>Qualité acceptable ; vigilance uniquement pour les personnes multi-allergiques.</w:t>
            </w:r>
          </w:p>
        </w:tc>
      </w:tr>
      <w:tr>
        <w:tc>
          <w:tcPr>
            <w:shd w:val="clear" w:color="auto" w:fill="FFFFFF"/>
            <w:tcMar>
              <w:top w:w="70" w:type="dxa"/>
              <w:bottom w:w="70" w:type="dxa"/>
              <w:left w:w="110" w:type="dxa"/>
              <w:right w:w="110" w:type="dxa"/>
            </w:tcMar>
          </w:tcPr>
          <w:p>
            <w:pPr>
              <w:jc w:val="left"/>
              <w:spacing w:before="30" w:after="30"/>
            </w:pPr>
            <w:r>
              <w:rPr>
                <w:b w:val="true"/>
                <w:sz w:val="19"/>
              </w:rPr>
              <w:t>Moyen / Dégradé (sensibles)</w:t>
            </w:r>
          </w:p>
        </w:tc>
        <w:tc>
          <w:tcPr>
            <w:shd w:val="clear" w:color="auto" w:fill="FFFFFF"/>
            <w:tcMar>
              <w:top w:w="70" w:type="dxa"/>
              <w:bottom w:w="70" w:type="dxa"/>
              <w:left w:w="110" w:type="dxa"/>
              <w:right w:w="110" w:type="dxa"/>
            </w:tcMar>
          </w:tcPr>
          <w:p>
            <w:pPr>
              <w:jc w:val="left"/>
              <w:spacing w:before="30" w:after="30"/>
            </w:pPr>
            <w:r>
              <w:rPr>
                <w:b w:val="false"/>
                <w:sz w:val="19"/>
              </w:rPr>
              <w:t>40 – 60</w:t>
            </w:r>
          </w:p>
        </w:tc>
        <w:tc>
          <w:tcPr>
            <w:shd w:val="clear" w:color="auto" w:fill="FFFFFF"/>
            <w:tcMar>
              <w:top w:w="70" w:type="dxa"/>
              <w:bottom w:w="70" w:type="dxa"/>
              <w:left w:w="110" w:type="dxa"/>
              <w:right w:w="110" w:type="dxa"/>
            </w:tcMar>
          </w:tcPr>
          <w:p>
            <w:pPr>
              <w:jc w:val="left"/>
              <w:spacing w:before="30" w:after="30"/>
            </w:pPr>
            <w:r>
              <w:rPr>
                <w:b w:val="false"/>
                <w:sz w:val="19"/>
              </w:rPr>
              <w:t>101 – 150</w:t>
            </w:r>
          </w:p>
        </w:tc>
        <w:tc>
          <w:tcPr>
            <w:shd w:val="clear" w:color="auto" w:fill="FFFFFF"/>
            <w:tcMar>
              <w:top w:w="70" w:type="dxa"/>
              <w:bottom w:w="70" w:type="dxa"/>
              <w:left w:w="110" w:type="dxa"/>
              <w:right w:w="110" w:type="dxa"/>
            </w:tcMar>
          </w:tcPr>
          <w:p>
            <w:pPr>
              <w:jc w:val="left"/>
              <w:spacing w:before="30" w:after="30"/>
            </w:pPr>
            <w:r>
              <w:rPr>
                <w:b w:val="false"/>
                <w:sz w:val="19"/>
              </w:rPr>
              <w:t>Orange (#FF7E00)</w:t>
            </w:r>
          </w:p>
        </w:tc>
        <w:tc>
          <w:tcPr>
            <w:shd w:val="clear" w:color="auto" w:fill="FFFFFF"/>
            <w:tcMar>
              <w:top w:w="70" w:type="dxa"/>
              <w:bottom w:w="70" w:type="dxa"/>
              <w:left w:w="110" w:type="dxa"/>
              <w:right w:w="110" w:type="dxa"/>
            </w:tcMar>
          </w:tcPr>
          <w:p>
            <w:pPr>
              <w:jc w:val="left"/>
              <w:spacing w:before="30" w:after="30"/>
            </w:pPr>
            <w:r>
              <w:rPr>
                <w:b w:val="false"/>
                <w:sz w:val="19"/>
              </w:rPr>
              <w:t>Les personnes malades ou asthmatiques doivent limiter les efforts prolongés.</w:t>
            </w:r>
          </w:p>
        </w:tc>
      </w:tr>
      <w:tr>
        <w:tc>
          <w:tcPr>
            <w:shd w:val="clear" w:color="auto" w:fill="F8FAFC"/>
            <w:tcMar>
              <w:top w:w="70" w:type="dxa"/>
              <w:bottom w:w="70" w:type="dxa"/>
              <w:left w:w="110" w:type="dxa"/>
              <w:right w:w="110" w:type="dxa"/>
            </w:tcMar>
          </w:tcPr>
          <w:p>
            <w:pPr>
              <w:jc w:val="left"/>
              <w:spacing w:before="30" w:after="30"/>
            </w:pPr>
            <w:r>
              <w:rPr>
                <w:b w:val="true"/>
                <w:sz w:val="19"/>
              </w:rPr>
              <w:t>Mauvais</w:t>
            </w:r>
          </w:p>
        </w:tc>
        <w:tc>
          <w:tcPr>
            <w:shd w:val="clear" w:color="auto" w:fill="F8FAFC"/>
            <w:tcMar>
              <w:top w:w="70" w:type="dxa"/>
              <w:bottom w:w="70" w:type="dxa"/>
              <w:left w:w="110" w:type="dxa"/>
              <w:right w:w="110" w:type="dxa"/>
            </w:tcMar>
          </w:tcPr>
          <w:p>
            <w:pPr>
              <w:jc w:val="left"/>
              <w:spacing w:before="30" w:after="30"/>
            </w:pPr>
            <w:r>
              <w:rPr>
                <w:b w:val="false"/>
                <w:sz w:val="19"/>
              </w:rPr>
              <w:t>60 – 80</w:t>
            </w:r>
          </w:p>
        </w:tc>
        <w:tc>
          <w:tcPr>
            <w:shd w:val="clear" w:color="auto" w:fill="F8FAFC"/>
            <w:tcMar>
              <w:top w:w="70" w:type="dxa"/>
              <w:bottom w:w="70" w:type="dxa"/>
              <w:left w:w="110" w:type="dxa"/>
              <w:right w:w="110" w:type="dxa"/>
            </w:tcMar>
          </w:tcPr>
          <w:p>
            <w:pPr>
              <w:jc w:val="left"/>
              <w:spacing w:before="30" w:after="30"/>
            </w:pPr>
            <w:r>
              <w:rPr>
                <w:b w:val="false"/>
                <w:sz w:val="19"/>
              </w:rPr>
              <w:t>151 – 200</w:t>
            </w:r>
          </w:p>
        </w:tc>
        <w:tc>
          <w:tcPr>
            <w:shd w:val="clear" w:color="auto" w:fill="F8FAFC"/>
            <w:tcMar>
              <w:top w:w="70" w:type="dxa"/>
              <w:bottom w:w="70" w:type="dxa"/>
              <w:left w:w="110" w:type="dxa"/>
              <w:right w:w="110" w:type="dxa"/>
            </w:tcMar>
          </w:tcPr>
          <w:p>
            <w:pPr>
              <w:jc w:val="left"/>
              <w:spacing w:before="30" w:after="30"/>
            </w:pPr>
            <w:r>
              <w:rPr>
                <w:b w:val="false"/>
                <w:sz w:val="19"/>
              </w:rPr>
              <w:t>Rouge (#FF0000)</w:t>
            </w:r>
          </w:p>
        </w:tc>
        <w:tc>
          <w:tcPr>
            <w:shd w:val="clear" w:color="auto" w:fill="F8FAFC"/>
            <w:tcMar>
              <w:top w:w="70" w:type="dxa"/>
              <w:bottom w:w="70" w:type="dxa"/>
              <w:left w:w="110" w:type="dxa"/>
              <w:right w:w="110" w:type="dxa"/>
            </w:tcMar>
          </w:tcPr>
          <w:p>
            <w:pPr>
              <w:jc w:val="left"/>
              <w:spacing w:before="30" w:after="30"/>
            </w:pPr>
            <w:r>
              <w:rPr>
                <w:b w:val="false"/>
                <w:sz w:val="19"/>
              </w:rPr>
              <w:t>Éviter les sorties aux heures de pointe pour les groupes vulnérables.</w:t>
            </w:r>
          </w:p>
        </w:tc>
      </w:tr>
      <w:tr>
        <w:tc>
          <w:tcPr>
            <w:shd w:val="clear" w:color="auto" w:fill="FFFFFF"/>
            <w:tcMar>
              <w:top w:w="70" w:type="dxa"/>
              <w:bottom w:w="70" w:type="dxa"/>
              <w:left w:w="110" w:type="dxa"/>
              <w:right w:w="110" w:type="dxa"/>
            </w:tcMar>
          </w:tcPr>
          <w:p>
            <w:pPr>
              <w:jc w:val="left"/>
              <w:spacing w:before="30" w:after="30"/>
            </w:pPr>
            <w:r>
              <w:rPr>
                <w:b w:val="true"/>
                <w:sz w:val="19"/>
              </w:rPr>
              <w:t>Très mauvais</w:t>
            </w:r>
          </w:p>
        </w:tc>
        <w:tc>
          <w:tcPr>
            <w:shd w:val="clear" w:color="auto" w:fill="FFFFFF"/>
            <w:tcMar>
              <w:top w:w="70" w:type="dxa"/>
              <w:bottom w:w="70" w:type="dxa"/>
              <w:left w:w="110" w:type="dxa"/>
              <w:right w:w="110" w:type="dxa"/>
            </w:tcMar>
          </w:tcPr>
          <w:p>
            <w:pPr>
              <w:jc w:val="left"/>
              <w:spacing w:before="30" w:after="30"/>
            </w:pPr>
            <w:r>
              <w:rPr>
                <w:b w:val="false"/>
                <w:sz w:val="19"/>
              </w:rPr>
              <w:t>80 – 100</w:t>
            </w:r>
          </w:p>
        </w:tc>
        <w:tc>
          <w:tcPr>
            <w:shd w:val="clear" w:color="auto" w:fill="FFFFFF"/>
            <w:tcMar>
              <w:top w:w="70" w:type="dxa"/>
              <w:bottom w:w="70" w:type="dxa"/>
              <w:left w:w="110" w:type="dxa"/>
              <w:right w:w="110" w:type="dxa"/>
            </w:tcMar>
          </w:tcPr>
          <w:p>
            <w:pPr>
              <w:jc w:val="left"/>
              <w:spacing w:before="30" w:after="30"/>
            </w:pPr>
            <w:r>
              <w:rPr>
                <w:b w:val="false"/>
                <w:sz w:val="19"/>
              </w:rPr>
              <w:t>201 – 300</w:t>
            </w:r>
          </w:p>
        </w:tc>
        <w:tc>
          <w:tcPr>
            <w:shd w:val="clear" w:color="auto" w:fill="FFFFFF"/>
            <w:tcMar>
              <w:top w:w="70" w:type="dxa"/>
              <w:bottom w:w="70" w:type="dxa"/>
              <w:left w:w="110" w:type="dxa"/>
              <w:right w:w="110" w:type="dxa"/>
            </w:tcMar>
          </w:tcPr>
          <w:p>
            <w:pPr>
              <w:jc w:val="left"/>
              <w:spacing w:before="30" w:after="30"/>
            </w:pPr>
            <w:r>
              <w:rPr>
                <w:b w:val="false"/>
                <w:sz w:val="19"/>
              </w:rPr>
              <w:t>Violet (#8F3F97)</w:t>
            </w:r>
          </w:p>
        </w:tc>
        <w:tc>
          <w:tcPr>
            <w:shd w:val="clear" w:color="auto" w:fill="FFFFFF"/>
            <w:tcMar>
              <w:top w:w="70" w:type="dxa"/>
              <w:bottom w:w="70" w:type="dxa"/>
              <w:left w:w="110" w:type="dxa"/>
              <w:right w:w="110" w:type="dxa"/>
            </w:tcMar>
          </w:tcPr>
          <w:p>
            <w:pPr>
              <w:jc w:val="left"/>
              <w:spacing w:before="30" w:after="30"/>
            </w:pPr>
            <w:r>
              <w:rPr>
                <w:b w:val="false"/>
                <w:sz w:val="19"/>
              </w:rPr>
              <w:t>Alerte sanitaire : déclenchement des mesures préfectorales et préparation hospitalière.</w:t>
            </w:r>
          </w:p>
        </w:tc>
      </w:tr>
      <w:tr>
        <w:tc>
          <w:tcPr>
            <w:shd w:val="clear" w:color="auto" w:fill="F8FAFC"/>
            <w:tcMar>
              <w:top w:w="70" w:type="dxa"/>
              <w:bottom w:w="70" w:type="dxa"/>
              <w:left w:w="110" w:type="dxa"/>
              <w:right w:w="110" w:type="dxa"/>
            </w:tcMar>
          </w:tcPr>
          <w:p>
            <w:pPr>
              <w:jc w:val="left"/>
              <w:spacing w:before="30" w:after="30"/>
            </w:pPr>
            <w:r>
              <w:rPr>
                <w:b w:val="true"/>
                <w:sz w:val="19"/>
              </w:rPr>
              <w:t>Extrêmement mauvais / Dangereux</w:t>
            </w:r>
          </w:p>
        </w:tc>
        <w:tc>
          <w:tcPr>
            <w:shd w:val="clear" w:color="auto" w:fill="F8FAFC"/>
            <w:tcMar>
              <w:top w:w="70" w:type="dxa"/>
              <w:bottom w:w="70" w:type="dxa"/>
              <w:left w:w="110" w:type="dxa"/>
              <w:right w:w="110" w:type="dxa"/>
            </w:tcMar>
          </w:tcPr>
          <w:p>
            <w:pPr>
              <w:jc w:val="left"/>
              <w:spacing w:before="30" w:after="30"/>
            </w:pPr>
            <w:r>
              <w:rPr>
                <w:b w:val="false"/>
                <w:sz w:val="19"/>
              </w:rPr>
              <w:t>&gt; 100</w:t>
            </w:r>
          </w:p>
        </w:tc>
        <w:tc>
          <w:tcPr>
            <w:shd w:val="clear" w:color="auto" w:fill="F8FAFC"/>
            <w:tcMar>
              <w:top w:w="70" w:type="dxa"/>
              <w:bottom w:w="70" w:type="dxa"/>
              <w:left w:w="110" w:type="dxa"/>
              <w:right w:w="110" w:type="dxa"/>
            </w:tcMar>
          </w:tcPr>
          <w:p>
            <w:pPr>
              <w:jc w:val="left"/>
              <w:spacing w:before="30" w:after="30"/>
            </w:pPr>
            <w:r>
              <w:rPr>
                <w:b w:val="false"/>
                <w:sz w:val="19"/>
              </w:rPr>
              <w:t>301 – 500</w:t>
            </w:r>
          </w:p>
        </w:tc>
        <w:tc>
          <w:tcPr>
            <w:shd w:val="clear" w:color="auto" w:fill="F8FAFC"/>
            <w:tcMar>
              <w:top w:w="70" w:type="dxa"/>
              <w:bottom w:w="70" w:type="dxa"/>
              <w:left w:w="110" w:type="dxa"/>
              <w:right w:w="110" w:type="dxa"/>
            </w:tcMar>
          </w:tcPr>
          <w:p>
            <w:pPr>
              <w:jc w:val="left"/>
              <w:spacing w:before="30" w:after="30"/>
            </w:pPr>
            <w:r>
              <w:rPr>
                <w:b w:val="false"/>
                <w:sz w:val="19"/>
              </w:rPr>
              <w:t>Bordeaux (#7E0023)</w:t>
            </w:r>
          </w:p>
        </w:tc>
        <w:tc>
          <w:tcPr>
            <w:shd w:val="clear" w:color="auto" w:fill="F8FAFC"/>
            <w:tcMar>
              <w:top w:w="70" w:type="dxa"/>
              <w:bottom w:w="70" w:type="dxa"/>
              <w:left w:w="110" w:type="dxa"/>
              <w:right w:w="110" w:type="dxa"/>
            </w:tcMar>
          </w:tcPr>
          <w:p>
            <w:pPr>
              <w:jc w:val="left"/>
              <w:spacing w:before="30" w:after="30"/>
            </w:pPr>
            <w:r>
              <w:rPr>
                <w:b w:val="false"/>
                <w:sz w:val="19"/>
              </w:rPr>
              <w:t>Urgence sanitaire : recommandation générale de rester à l'intérieur.</w:t>
            </w:r>
          </w:p>
        </w:tc>
      </w:tr>
    </w:tbl>
    <w:p>
      <w:pPr>
        <w:spacing w:before="60" w:after="60"/>
      </w:pPr>
    </w:p>
    <w:p>
      <w:r>
        <w:br w:type="page"/>
      </w:r>
    </w:p>
    <w:p>
      <w:pPr>
        <w:pStyle w:val="Heading1"/>
        <w:jc w:val="left"/>
      </w:pPr>
      <w:r>
        <w:rPr>
          <w:b/>
        </w:rPr>
        <w:t xml:space="preserve">02. Architecture Globale du Système : De la Collecte aux Utilisateurs</w:t>
      </w:r>
    </w:p>
    <w:p>
      <w:pPr>
        <w:jc w:val="center"/>
        <w:spacing w:before="120" w:after="60"/>
      </w:pPr>
      <w:r>
        <w:drawing>
          <wp:inline distT="0" distB="0" distL="0" distR="0">
            <wp:extent cx="5760000" cy="3880000"/>
            <wp:docPr id="2" name="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png"/>
                    <pic:cNvPicPr/>
                  </pic:nvPicPr>
                  <pic:blipFill>
                    <a:blip r:embed="rId4"/>
                    <a:stretch>
                      <a:fillRect/>
                    </a:stretch>
                  </pic:blipFill>
                  <pic:spPr>
                    <a:xfrm>
                      <a:off x="0" y="0"/>
                      <a:ext cx="5760000" cy="3880000"/>
                    </a:xfrm>
                    <a:prstGeom prst="rect">
                      <a:avLst/>
                    </a:prstGeom>
                  </pic:spPr>
                </pic:pic>
              </a:graphicData>
            </a:graphic>
          </wp:inline>
        </w:drawing>
      </w:r>
    </w:p>
    <w:p>
      <w:pPr>
        <w:pStyle w:val="Caption"/>
        <w:jc w:val="center"/>
      </w:pPr>
      <w:r>
        <w:rPr>
          <w:i/>
        </w:rPr>
        <w:t xml:space="preserve">Figure 1 — Diagramme officiel de l'architecture du système Smart City déployée pour l'Île-de-France.</w:t>
      </w:r>
    </w:p>
    <w:p>
      <w:pPr>
        <w:pStyle w:val="Normal"/>
        <w:jc w:val="both"/>
      </w:pPr>
      <w:r>
        <w:t xml:space="preserve">1. Sources de données externes : API Qualité de l'air (European AQI, PM10, PM2.5, NO₂, O₃, SO₂, CO, pollen de bouleau) et API Météo (température, humidité, vent vitesse/direction, précipitations) sur les 34 capteurs d'Île-de-France.</w:t>
      </w:r>
    </w:p>
    <w:p>
      <w:pPr>
        <w:pStyle w:val="Normal"/>
        <w:jc w:val="both"/>
      </w:pPr>
      <w:r>
        <w:t xml:space="preserve">2. Ingestion et traitement en continu : Serveur distant Linux assurant le streaming toutes les 30 minutes et la fusion Air + Météo.</w:t>
      </w:r>
    </w:p>
    <w:p>
      <w:pPr>
        <w:pStyle w:val="Normal"/>
        <w:jc w:val="both"/>
      </w:pPr>
      <w:r>
        <w:t xml:space="preserve">3. Base de données Cloud centralisée (Supabase PostgreSQL) : Stockage relationnel sans doublon et gestion des rôles (Citoyens, Décideurs / Autorités, Experts / Analystes, Services municipaux).</w:t>
      </w:r>
    </w:p>
    <w:p>
      <w:pPr>
        <w:pStyle w:val="Normal"/>
        <w:jc w:val="both"/>
      </w:pPr>
      <w:r>
        <w:t xml:space="preserve">4. Serveur distant d'Intelligence Artificielle et passerelle Google Sheets : Exécution quotidienne à 00h45 de l'algorithme LightGBM (prévisions 24h) et sauvegarde dans Google Sheets.</w:t>
      </w:r>
    </w:p>
    <w:p>
      <w:pPr>
        <w:pStyle w:val="Normal"/>
        <w:jc w:val="both"/>
      </w:pPr>
      <w:r>
        <w:t xml:space="preserve">5. Application Web et Business Intelligence (Power BI) : Consultation temps réel, cartes, prévisions 24h et intégration des rapports Power BI.</w:t>
      </w:r>
    </w:p>
    <w:p>
      <w:pPr>
        <w:pStyle w:val="Heading1"/>
        <w:jc w:val="left"/>
      </w:pPr>
      <w:r>
        <w:rPr>
          <w:b/>
        </w:rPr>
        <w:t xml:space="preserve">03. Collecte Historique et Streaming Temps Réel sur Serveur Distant</w:t>
      </w:r>
    </w:p>
    <w:p>
      <w:pPr>
        <w:pStyle w:val="Normal"/>
        <w:jc w:val="both"/>
      </w:pPr>
      <w:r>
        <w:t xml:space="preserve">Le maillage territorial distingue 8 stations de trafic routier intense (Autoroute A1 à Saint-Denis, Boulevard Périphérique Est, Opéra, Champs-Élysées, Victor Basch, Denain, RN6 Melun, RN20 Montlhéry) et 26 stations de fond urbain et rural. Un amorçage historique de 1 800 heures (75 jours, &gt; 61 000 relevés) est complété par un streaming automatisé toutes les 30 minutes sur serveur distant VPS Linux.</w:t>
      </w:r>
    </w:p>
    <w:p>
      <w:pPr>
        <w:pStyle w:val="Heading1"/>
        <w:jc w:val="left"/>
      </w:pPr>
      <w:r>
        <w:rPr>
          <w:b/>
        </w:rPr>
        <w:t xml:space="preserve">04. Prédictions pour les 24 Prochaines Heures par Intelligence Artificielle</w:t>
      </w:r>
    </w:p>
    <w:p>
      <w:pPr>
        <w:jc w:val="center"/>
        <w:spacing w:before="120" w:after="60"/>
      </w:pPr>
      <w:r>
        <w:drawing>
          <wp:inline distT="0" distB="0" distL="0" distR="0">
            <wp:extent cx="5760000" cy="1680000"/>
            <wp:docPr id="3" name="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png"/>
                    <pic:cNvPicPr/>
                  </pic:nvPicPr>
                  <pic:blipFill>
                    <a:blip r:embed="rId6"/>
                    <a:stretch>
                      <a:fillRect/>
                    </a:stretch>
                  </pic:blipFill>
                  <pic:spPr>
                    <a:xfrm>
                      <a:off x="0" y="0"/>
                      <a:ext cx="5760000" cy="1680000"/>
                    </a:xfrm>
                    <a:prstGeom prst="rect">
                      <a:avLst/>
                    </a:prstGeom>
                  </pic:spPr>
                </pic:pic>
              </a:graphicData>
            </a:graphic>
          </wp:inline>
        </w:drawing>
      </w:r>
    </w:p>
    <w:p>
      <w:pPr>
        <w:pStyle w:val="Caption"/>
        <w:jc w:val="center"/>
      </w:pPr>
      <w:r>
        <w:rPr>
          <w:i/>
        </w:rPr>
        <w:t xml:space="preserve">Figure 2 — Identification des « patterns » journaliers (A) et facteurs d'accroissement ou de régression de l'AQI (B).</w:t>
      </w:r>
    </w:p>
    <w:p>
      <w:pPr>
        <w:pStyle w:val="Normal"/>
        <w:jc w:val="both"/>
      </w:pPr>
      <w:r>
        <w:t xml:space="preserve">Le moteur prédictif mobilise 24 modèles LightGBM indépendants (+1h à +24h) appuyés sur 233 variables explicatives. La confrontation sur 24 heures entre l'AQI prédit et l'AQI réel démontre une erreur absolue moyenne (MAE) de seulement 2,07 points d'AQI (RMSE = 6,04) sur le capteur de référence et de 5,97 points sur l'ensemble des 34 stations (Figure 3).</w:t>
      </w:r>
    </w:p>
    <w:p>
      <w:pPr>
        <w:jc w:val="center"/>
        <w:spacing w:before="120" w:after="60"/>
      </w:pPr>
      <w:r>
        <w:drawing>
          <wp:inline distT="0" distB="0" distL="0" distR="0">
            <wp:extent cx="5760000" cy="1590000"/>
            <wp:docPr id="4" name="Figur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4.png"/>
                    <pic:cNvPicPr/>
                  </pic:nvPicPr>
                  <pic:blipFill>
                    <a:blip r:embed="rId5"/>
                    <a:stretch>
                      <a:fillRect/>
                    </a:stretch>
                  </pic:blipFill>
                  <pic:spPr>
                    <a:xfrm>
                      <a:off x="0" y="0"/>
                      <a:ext cx="5760000" cy="1590000"/>
                    </a:xfrm>
                    <a:prstGeom prst="rect">
                      <a:avLst/>
                    </a:prstGeom>
                  </pic:spPr>
                </pic:pic>
              </a:graphicData>
            </a:graphic>
          </wp:inline>
        </w:drawing>
      </w:r>
    </w:p>
    <w:p>
      <w:pPr>
        <w:pStyle w:val="Caption"/>
        <w:jc w:val="center"/>
      </w:pPr>
      <w:r>
        <w:rPr>
          <w:i/>
        </w:rPr>
        <w:t xml:space="preserve">Figure 3 — Confrontation sur 24 heures entre l'AQI prédit et l'AQI réel (A) et contribution des facteurs explicatifs (B).</w:t>
      </w:r>
    </w:p>
    <w:p>
      <w:pPr>
        <w:pStyle w:val="Heading1"/>
        <w:jc w:val="left"/>
      </w:pPr>
      <w:r>
        <w:rPr>
          <w:b/>
        </w:rPr>
        <w:t xml:space="preserve">05. Exploitation Décisionnelle : Power BI, Application Web et Mobilité</w:t>
      </w:r>
    </w:p>
    <w:p>
      <w:pPr>
        <w:pStyle w:val="Normal"/>
        <w:jc w:val="both"/>
      </w:pPr>
      <w:r>
        <w:t xml:space="preserve">Power BI est connecté en toute sécurité à PostgreSQL (Supabase) via un certificat SSL (sans aucune clé API exposée dans le code) ainsi qu'au fichier Google Sheets alimenté chaque nuit à 00h45 avec les prédictions des 24 prochaines heures. L'analyse comparative entre les 8 stations routières et les 26 stations de fond met en évidence une Surconcentration Trafic vs Fond de +52 % en dioxyde d'azote et un Indice d'Émission Trafic de 41 % (point critique : Autoroute A1 à Saint-Denis).</w:t>
      </w:r>
    </w:p>
    <w:p>
      <w:r>
        <w:br w:type="page"/>
      </w:r>
    </w:p>
    <w:p>
      <w:pPr>
        <w:pStyle w:val="Heading1"/>
        <w:jc w:val="left"/>
      </w:pPr>
      <w:r>
        <w:rPr>
          <w:b/>
        </w:rPr>
        <w:t xml:space="preserve">06. Organisation Agile, Backlog Produit et Synthèse des Livrables</w:t>
      </w:r>
    </w:p>
    <w:p>
      <w:pPr>
        <w:pStyle w:val="Heading2"/>
        <w:jc w:val="left"/>
      </w:pPr>
      <w:r>
        <w:rPr>
          <w:b/>
        </w:rPr>
        <w:t xml:space="preserve">6.1. Récapitulatif des six livrables officiels du projet</w:t>
      </w:r>
    </w:p>
    <w:tbl>
      <w:tblPr>
        <w:tblW w:w="5000" w:type="pct"/>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r>
        <w:tc>
          <w:tcPr>
            <w:shd w:val="clear" w:color="auto" w:fill="1E3A8A"/>
            <w:tcMar>
              <w:top w:w="80" w:type="dxa"/>
              <w:bottom w:w="80" w:type="dxa"/>
              <w:left w:w="110" w:type="dxa"/>
              <w:right w:w="110" w:type="dxa"/>
            </w:tcMar>
          </w:tcPr>
          <w:p>
            <w:pPr>
              <w:jc w:val="left"/>
              <w:spacing w:before="40" w:after="40"/>
            </w:pPr>
            <w:r>
              <w:rPr>
                <w:b/>
                <w:color w:val="FFFFFF"/>
                <w:sz w:val="19"/>
              </w:rPr>
              <w:t>N°</w:t>
            </w:r>
          </w:p>
        </w:tc>
        <w:tc>
          <w:tcPr>
            <w:shd w:val="clear" w:color="auto" w:fill="1E3A8A"/>
            <w:tcMar>
              <w:top w:w="80" w:type="dxa"/>
              <w:bottom w:w="80" w:type="dxa"/>
              <w:left w:w="110" w:type="dxa"/>
              <w:right w:w="110" w:type="dxa"/>
            </w:tcMar>
          </w:tcPr>
          <w:p>
            <w:pPr>
              <w:jc w:val="left"/>
              <w:spacing w:before="40" w:after="40"/>
            </w:pPr>
            <w:r>
              <w:rPr>
                <w:b/>
                <w:color w:val="FFFFFF"/>
                <w:sz w:val="19"/>
              </w:rPr>
              <w:t>Livrable officiel</w:t>
            </w:r>
          </w:p>
        </w:tc>
        <w:tc>
          <w:tcPr>
            <w:shd w:val="clear" w:color="auto" w:fill="1E3A8A"/>
            <w:tcMar>
              <w:top w:w="80" w:type="dxa"/>
              <w:bottom w:w="80" w:type="dxa"/>
              <w:left w:w="110" w:type="dxa"/>
              <w:right w:w="110" w:type="dxa"/>
            </w:tcMar>
          </w:tcPr>
          <w:p>
            <w:pPr>
              <w:jc w:val="left"/>
              <w:spacing w:before="40" w:after="40"/>
            </w:pPr>
            <w:r>
              <w:rPr>
                <w:b/>
                <w:color w:val="FFFFFF"/>
                <w:sz w:val="19"/>
              </w:rPr>
              <w:t>Fichiers et composants livrés</w:t>
            </w:r>
          </w:p>
        </w:tc>
        <w:tc>
          <w:tcPr>
            <w:shd w:val="clear" w:color="auto" w:fill="1E3A8A"/>
            <w:tcMar>
              <w:top w:w="80" w:type="dxa"/>
              <w:bottom w:w="80" w:type="dxa"/>
              <w:left w:w="110" w:type="dxa"/>
              <w:right w:w="110" w:type="dxa"/>
            </w:tcMar>
          </w:tcPr>
          <w:p>
            <w:pPr>
              <w:jc w:val="left"/>
              <w:spacing w:before="40" w:after="40"/>
            </w:pPr>
            <w:r>
              <w:rPr>
                <w:b/>
                <w:color w:val="FFFFFF"/>
                <w:sz w:val="19"/>
              </w:rPr>
              <w:t>Valeur apportée</w:t>
            </w:r>
          </w:p>
        </w:tc>
      </w:tr>
      <w:tr>
        <w:tc>
          <w:tcPr>
            <w:shd w:val="clear" w:color="auto" w:fill="FFFFFF"/>
            <w:tcMar>
              <w:top w:w="70" w:type="dxa"/>
              <w:bottom w:w="70" w:type="dxa"/>
              <w:left w:w="110" w:type="dxa"/>
              <w:right w:w="110" w:type="dxa"/>
            </w:tcMar>
          </w:tcPr>
          <w:p>
            <w:pPr>
              <w:jc w:val="left"/>
              <w:spacing w:before="30" w:after="30"/>
            </w:pPr>
            <w:r>
              <w:rPr>
                <w:b w:val="true"/>
                <w:sz w:val="19"/>
              </w:rPr>
              <w:t>1</w:t>
            </w:r>
          </w:p>
        </w:tc>
        <w:tc>
          <w:tcPr>
            <w:shd w:val="clear" w:color="auto" w:fill="FFFFFF"/>
            <w:tcMar>
              <w:top w:w="70" w:type="dxa"/>
              <w:bottom w:w="70" w:type="dxa"/>
              <w:left w:w="110" w:type="dxa"/>
              <w:right w:w="110" w:type="dxa"/>
            </w:tcMar>
          </w:tcPr>
          <w:p>
            <w:pPr>
              <w:jc w:val="left"/>
              <w:spacing w:before="30" w:after="30"/>
            </w:pPr>
            <w:r>
              <w:rPr>
                <w:b w:val="false"/>
                <w:sz w:val="19"/>
              </w:rPr>
              <w:t>Prototype fonctionnel (MVP)</w:t>
            </w:r>
          </w:p>
        </w:tc>
        <w:tc>
          <w:tcPr>
            <w:shd w:val="clear" w:color="auto" w:fill="FFFFFF"/>
            <w:tcMar>
              <w:top w:w="70" w:type="dxa"/>
              <w:bottom w:w="70" w:type="dxa"/>
              <w:left w:w="110" w:type="dxa"/>
              <w:right w:w="110" w:type="dxa"/>
            </w:tcMar>
          </w:tcPr>
          <w:p>
            <w:pPr>
              <w:jc w:val="left"/>
              <w:spacing w:before="30" w:after="30"/>
            </w:pPr>
            <w:r>
              <w:rPr>
                <w:b w:val="false"/>
                <w:sz w:val="19"/>
              </w:rPr>
              <w:t>Application Web Full-Stack (9 onglets) + API &amp; IA + start_smart_city.bat</w:t>
            </w:r>
          </w:p>
        </w:tc>
        <w:tc>
          <w:tcPr>
            <w:shd w:val="clear" w:color="auto" w:fill="FFFFFF"/>
            <w:tcMar>
              <w:top w:w="70" w:type="dxa"/>
              <w:bottom w:w="70" w:type="dxa"/>
              <w:left w:w="110" w:type="dxa"/>
              <w:right w:w="110" w:type="dxa"/>
            </w:tcMar>
          </w:tcPr>
          <w:p>
            <w:pPr>
              <w:jc w:val="left"/>
              <w:spacing w:before="30" w:after="30"/>
            </w:pPr>
            <w:r>
              <w:rPr>
                <w:b w:val="false"/>
                <w:sz w:val="19"/>
              </w:rPr>
              <w:t>Plateforme opérationnelle temps réel et prédictive à 24h avec 3 rôles utilisateurs.</w:t>
            </w:r>
          </w:p>
        </w:tc>
      </w:tr>
      <w:tr>
        <w:tc>
          <w:tcPr>
            <w:shd w:val="clear" w:color="auto" w:fill="F8FAFC"/>
            <w:tcMar>
              <w:top w:w="70" w:type="dxa"/>
              <w:bottom w:w="70" w:type="dxa"/>
              <w:left w:w="110" w:type="dxa"/>
              <w:right w:w="110" w:type="dxa"/>
            </w:tcMar>
          </w:tcPr>
          <w:p>
            <w:pPr>
              <w:jc w:val="left"/>
              <w:spacing w:before="30" w:after="30"/>
            </w:pPr>
            <w:r>
              <w:rPr>
                <w:b w:val="true"/>
                <w:sz w:val="19"/>
              </w:rPr>
              <w:t>2</w:t>
            </w:r>
          </w:p>
        </w:tc>
        <w:tc>
          <w:tcPr>
            <w:shd w:val="clear" w:color="auto" w:fill="F8FAFC"/>
            <w:tcMar>
              <w:top w:w="70" w:type="dxa"/>
              <w:bottom w:w="70" w:type="dxa"/>
              <w:left w:w="110" w:type="dxa"/>
              <w:right w:w="110" w:type="dxa"/>
            </w:tcMar>
          </w:tcPr>
          <w:p>
            <w:pPr>
              <w:jc w:val="left"/>
              <w:spacing w:before="30" w:after="30"/>
            </w:pPr>
            <w:r>
              <w:rPr>
                <w:b w:val="false"/>
                <w:sz w:val="19"/>
              </w:rPr>
              <w:t>Backlog produit mis à jour</w:t>
            </w:r>
          </w:p>
        </w:tc>
        <w:tc>
          <w:tcPr>
            <w:shd w:val="clear" w:color="auto" w:fill="F8FAFC"/>
            <w:tcMar>
              <w:top w:w="70" w:type="dxa"/>
              <w:bottom w:w="70" w:type="dxa"/>
              <w:left w:w="110" w:type="dxa"/>
              <w:right w:w="110" w:type="dxa"/>
            </w:tcMar>
          </w:tcPr>
          <w:p>
            <w:pPr>
              <w:jc w:val="left"/>
              <w:spacing w:before="30" w:after="30"/>
            </w:pPr>
            <w:r>
              <w:rPr>
                <w:b w:val="false"/>
                <w:sz w:val="19"/>
              </w:rPr>
              <w:t>Backlog_Produit_Smart_City.md &amp; Backlog_Trello_Jira_Planner.csv</w:t>
            </w:r>
          </w:p>
        </w:tc>
        <w:tc>
          <w:tcPr>
            <w:shd w:val="clear" w:color="auto" w:fill="F8FAFC"/>
            <w:tcMar>
              <w:top w:w="70" w:type="dxa"/>
              <w:bottom w:w="70" w:type="dxa"/>
              <w:left w:w="110" w:type="dxa"/>
              <w:right w:w="110" w:type="dxa"/>
            </w:tcMar>
          </w:tcPr>
          <w:p>
            <w:pPr>
              <w:jc w:val="left"/>
              <w:spacing w:before="30" w:after="30"/>
            </w:pPr>
            <w:r>
              <w:rPr>
                <w:b w:val="false"/>
                <w:sz w:val="19"/>
              </w:rPr>
              <w:t>Backlog Agile complet (7 Epics, 15 User Stories) importable dans Trello, Jira, MS Planner ou Notion.</w:t>
            </w:r>
          </w:p>
        </w:tc>
      </w:tr>
      <w:tr>
        <w:tc>
          <w:tcPr>
            <w:shd w:val="clear" w:color="auto" w:fill="FFFFFF"/>
            <w:tcMar>
              <w:top w:w="70" w:type="dxa"/>
              <w:bottom w:w="70" w:type="dxa"/>
              <w:left w:w="110" w:type="dxa"/>
              <w:right w:w="110" w:type="dxa"/>
            </w:tcMar>
          </w:tcPr>
          <w:p>
            <w:pPr>
              <w:jc w:val="left"/>
              <w:spacing w:before="30" w:after="30"/>
            </w:pPr>
            <w:r>
              <w:rPr>
                <w:b w:val="true"/>
                <w:sz w:val="19"/>
              </w:rPr>
              <w:t>3</w:t>
            </w:r>
          </w:p>
        </w:tc>
        <w:tc>
          <w:tcPr>
            <w:shd w:val="clear" w:color="auto" w:fill="FFFFFF"/>
            <w:tcMar>
              <w:top w:w="70" w:type="dxa"/>
              <w:bottom w:w="70" w:type="dxa"/>
              <w:left w:w="110" w:type="dxa"/>
              <w:right w:w="110" w:type="dxa"/>
            </w:tcMar>
          </w:tcPr>
          <w:p>
            <w:pPr>
              <w:jc w:val="left"/>
              <w:spacing w:before="30" w:after="30"/>
            </w:pPr>
            <w:r>
              <w:rPr>
                <w:b w:val="false"/>
                <w:sz w:val="19"/>
              </w:rPr>
              <w:t>Code source structuré (GitHub)</w:t>
            </w:r>
          </w:p>
        </w:tc>
        <w:tc>
          <w:tcPr>
            <w:shd w:val="clear" w:color="auto" w:fill="FFFFFF"/>
            <w:tcMar>
              <w:top w:w="70" w:type="dxa"/>
              <w:bottom w:w="70" w:type="dxa"/>
              <w:left w:w="110" w:type="dxa"/>
              <w:right w:w="110" w:type="dxa"/>
            </w:tcMar>
          </w:tcPr>
          <w:p>
            <w:pPr>
              <w:jc w:val="left"/>
              <w:spacing w:before="30" w:after="30"/>
            </w:pPr>
            <w:r>
              <w:rPr>
                <w:b w:val="false"/>
                <w:sz w:val="19"/>
              </w:rPr>
              <w:t>Dépôt GitHub : https://github.com/bebeto55/Projet_qualite_air (branche main)</w:t>
            </w:r>
          </w:p>
        </w:tc>
        <w:tc>
          <w:tcPr>
            <w:shd w:val="clear" w:color="auto" w:fill="FFFFFF"/>
            <w:tcMar>
              <w:top w:w="70" w:type="dxa"/>
              <w:bottom w:w="70" w:type="dxa"/>
              <w:left w:w="110" w:type="dxa"/>
              <w:right w:w="110" w:type="dxa"/>
            </w:tcMar>
          </w:tcPr>
          <w:p>
            <w:pPr>
              <w:jc w:val="left"/>
              <w:spacing w:before="30" w:after="30"/>
            </w:pPr>
            <w:r>
              <w:rPr>
                <w:b w:val="false"/>
                <w:sz w:val="19"/>
              </w:rPr>
              <w:t>Code modulaire sécurisé (zéro clé API en clair), synchronisé sur la branche main GitHub.</w:t>
            </w:r>
          </w:p>
        </w:tc>
      </w:tr>
      <w:tr>
        <w:tc>
          <w:tcPr>
            <w:shd w:val="clear" w:color="auto" w:fill="F8FAFC"/>
            <w:tcMar>
              <w:top w:w="70" w:type="dxa"/>
              <w:bottom w:w="70" w:type="dxa"/>
              <w:left w:w="110" w:type="dxa"/>
              <w:right w:w="110" w:type="dxa"/>
            </w:tcMar>
          </w:tcPr>
          <w:p>
            <w:pPr>
              <w:jc w:val="left"/>
              <w:spacing w:before="30" w:after="30"/>
            </w:pPr>
            <w:r>
              <w:rPr>
                <w:b w:val="true"/>
                <w:sz w:val="19"/>
              </w:rPr>
              <w:t>4</w:t>
            </w:r>
          </w:p>
        </w:tc>
        <w:tc>
          <w:tcPr>
            <w:shd w:val="clear" w:color="auto" w:fill="F8FAFC"/>
            <w:tcMar>
              <w:top w:w="70" w:type="dxa"/>
              <w:bottom w:w="70" w:type="dxa"/>
              <w:left w:w="110" w:type="dxa"/>
              <w:right w:w="110" w:type="dxa"/>
            </w:tcMar>
          </w:tcPr>
          <w:p>
            <w:pPr>
              <w:jc w:val="left"/>
              <w:spacing w:before="30" w:after="30"/>
            </w:pPr>
            <w:r>
              <w:rPr>
                <w:b w:val="false"/>
                <w:sz w:val="19"/>
              </w:rPr>
              <w:t>Documentation minimale</w:t>
            </w:r>
          </w:p>
        </w:tc>
        <w:tc>
          <w:tcPr>
            <w:shd w:val="clear" w:color="auto" w:fill="F8FAFC"/>
            <w:tcMar>
              <w:top w:w="70" w:type="dxa"/>
              <w:bottom w:w="70" w:type="dxa"/>
              <w:left w:w="110" w:type="dxa"/>
              <w:right w:w="110" w:type="dxa"/>
            </w:tcMar>
          </w:tcPr>
          <w:p>
            <w:pPr>
              <w:jc w:val="left"/>
              <w:spacing w:before="30" w:after="30"/>
            </w:pPr>
            <w:r>
              <w:rPr>
                <w:b w:val="false"/>
                <w:sz w:val="19"/>
              </w:rPr>
              <w:t>README.md à la racine du projet</w:t>
            </w:r>
          </w:p>
        </w:tc>
        <w:tc>
          <w:tcPr>
            <w:shd w:val="clear" w:color="auto" w:fill="F8FAFC"/>
            <w:tcMar>
              <w:top w:w="70" w:type="dxa"/>
              <w:bottom w:w="70" w:type="dxa"/>
              <w:left w:w="110" w:type="dxa"/>
              <w:right w:w="110" w:type="dxa"/>
            </w:tcMar>
          </w:tcPr>
          <w:p>
            <w:pPr>
              <w:jc w:val="left"/>
              <w:spacing w:before="30" w:after="30"/>
            </w:pPr>
            <w:r>
              <w:rPr>
                <w:b w:val="false"/>
                <w:sz w:val="19"/>
              </w:rPr>
              <w:t>Explication complète de l'application, de son architecture et des commandes de lancement.</w:t>
            </w:r>
          </w:p>
        </w:tc>
      </w:tr>
      <w:tr>
        <w:tc>
          <w:tcPr>
            <w:shd w:val="clear" w:color="auto" w:fill="FFFFFF"/>
            <w:tcMar>
              <w:top w:w="70" w:type="dxa"/>
              <w:bottom w:w="70" w:type="dxa"/>
              <w:left w:w="110" w:type="dxa"/>
              <w:right w:w="110" w:type="dxa"/>
            </w:tcMar>
          </w:tcPr>
          <w:p>
            <w:pPr>
              <w:jc w:val="left"/>
              <w:spacing w:before="30" w:after="30"/>
            </w:pPr>
            <w:r>
              <w:rPr>
                <w:b w:val="true"/>
                <w:sz w:val="19"/>
              </w:rPr>
              <w:t>5</w:t>
            </w:r>
          </w:p>
        </w:tc>
        <w:tc>
          <w:tcPr>
            <w:shd w:val="clear" w:color="auto" w:fill="FFFFFF"/>
            <w:tcMar>
              <w:top w:w="70" w:type="dxa"/>
              <w:bottom w:w="70" w:type="dxa"/>
              <w:left w:w="110" w:type="dxa"/>
              <w:right w:w="110" w:type="dxa"/>
            </w:tcMar>
          </w:tcPr>
          <w:p>
            <w:pPr>
              <w:jc w:val="left"/>
              <w:spacing w:before="30" w:after="30"/>
            </w:pPr>
            <w:r>
              <w:rPr>
                <w:b w:val="false"/>
                <w:sz w:val="19"/>
              </w:rPr>
              <w:t>Dashboard BI &amp; Rapport de données</w:t>
            </w:r>
          </w:p>
        </w:tc>
        <w:tc>
          <w:tcPr>
            <w:shd w:val="clear" w:color="auto" w:fill="FFFFFF"/>
            <w:tcMar>
              <w:top w:w="70" w:type="dxa"/>
              <w:bottom w:w="70" w:type="dxa"/>
              <w:left w:w="110" w:type="dxa"/>
              <w:right w:w="110" w:type="dxa"/>
            </w:tcMar>
          </w:tcPr>
          <w:p>
            <w:pPr>
              <w:jc w:val="left"/>
              <w:spacing w:before="30" w:after="30"/>
            </w:pPr>
            <w:r>
              <w:rPr>
                <w:b w:val="false"/>
                <w:sz w:val="19"/>
              </w:rPr>
              <w:t>Smart_City.pbix (6 volets) + Dashboard_Donnees_Smart_City.pdf + Rapport_Projet_Smart_City_Complet.docx &amp; .pdf</w:t>
            </w:r>
          </w:p>
        </w:tc>
        <w:tc>
          <w:tcPr>
            <w:shd w:val="clear" w:color="auto" w:fill="FFFFFF"/>
            <w:tcMar>
              <w:top w:w="70" w:type="dxa"/>
              <w:bottom w:w="70" w:type="dxa"/>
              <w:left w:w="110" w:type="dxa"/>
              <w:right w:w="110" w:type="dxa"/>
            </w:tcMar>
          </w:tcPr>
          <w:p>
            <w:pPr>
              <w:jc w:val="left"/>
              <w:spacing w:before="30" w:after="30"/>
            </w:pPr>
            <w:r>
              <w:rPr>
                <w:b w:val="false"/>
                <w:sz w:val="19"/>
              </w:rPr>
              <w:t>Double restitution analytique (outil BI interactif + Dashboard de données PDF + rapport complet Word et PDF).</w:t>
            </w:r>
          </w:p>
        </w:tc>
      </w:tr>
      <w:tr>
        <w:tc>
          <w:tcPr>
            <w:shd w:val="clear" w:color="auto" w:fill="F8FAFC"/>
            <w:tcMar>
              <w:top w:w="70" w:type="dxa"/>
              <w:bottom w:w="70" w:type="dxa"/>
              <w:left w:w="110" w:type="dxa"/>
              <w:right w:w="110" w:type="dxa"/>
            </w:tcMar>
          </w:tcPr>
          <w:p>
            <w:pPr>
              <w:jc w:val="left"/>
              <w:spacing w:before="30" w:after="30"/>
            </w:pPr>
            <w:r>
              <w:rPr>
                <w:b w:val="true"/>
                <w:sz w:val="19"/>
              </w:rPr>
              <w:t>6</w:t>
            </w:r>
          </w:p>
        </w:tc>
        <w:tc>
          <w:tcPr>
            <w:shd w:val="clear" w:color="auto" w:fill="F8FAFC"/>
            <w:tcMar>
              <w:top w:w="70" w:type="dxa"/>
              <w:bottom w:w="70" w:type="dxa"/>
              <w:left w:w="110" w:type="dxa"/>
              <w:right w:w="110" w:type="dxa"/>
            </w:tcMar>
          </w:tcPr>
          <w:p>
            <w:pPr>
              <w:jc w:val="left"/>
              <w:spacing w:before="30" w:after="30"/>
            </w:pPr>
            <w:r>
              <w:rPr>
                <w:b w:val="false"/>
                <w:sz w:val="19"/>
              </w:rPr>
              <w:t>Présentation &amp; Démo vidéo</w:t>
            </w:r>
          </w:p>
        </w:tc>
        <w:tc>
          <w:tcPr>
            <w:shd w:val="clear" w:color="auto" w:fill="F8FAFC"/>
            <w:tcMar>
              <w:top w:w="70" w:type="dxa"/>
              <w:bottom w:w="70" w:type="dxa"/>
              <w:left w:w="110" w:type="dxa"/>
              <w:right w:w="110" w:type="dxa"/>
            </w:tcMar>
          </w:tcPr>
          <w:p>
            <w:pPr>
              <w:jc w:val="left"/>
              <w:spacing w:before="30" w:after="30"/>
            </w:pPr>
            <w:r>
              <w:rPr>
                <w:b w:val="false"/>
                <w:sz w:val="19"/>
              </w:rPr>
              <w:t>Air Quality Index (AQI) by Slidesgo.pptx + Guide_Soutenance_et_Demo_Video.md</w:t>
            </w:r>
          </w:p>
        </w:tc>
        <w:tc>
          <w:tcPr>
            <w:shd w:val="clear" w:color="auto" w:fill="F8FAFC"/>
            <w:tcMar>
              <w:top w:w="70" w:type="dxa"/>
              <w:bottom w:w="70" w:type="dxa"/>
              <w:left w:w="110" w:type="dxa"/>
              <w:right w:w="110" w:type="dxa"/>
            </w:tcMar>
          </w:tcPr>
          <w:p>
            <w:pPr>
              <w:jc w:val="left"/>
              <w:spacing w:before="30" w:after="30"/>
            </w:pPr>
            <w:r>
              <w:rPr>
                <w:b w:val="false"/>
                <w:sz w:val="19"/>
              </w:rPr>
              <w:t>Support de soutenance courte et scénario minuté de démonstration vidéo du MVP.</w:t>
            </w:r>
          </w:p>
        </w:tc>
      </w:tr>
    </w:tbl>
    <w:p>
      <w:pPr>
        <w:spacing w:before="60" w:after="60"/>
      </w:pPr>
    </w:p>
    <w:p>
      <w:pPr>
        <w:pStyle w:val="Heading2"/>
        <w:jc w:val="left"/>
      </w:pPr>
      <w:r>
        <w:rPr>
          <w:b/>
        </w:rPr>
        <w:t xml:space="preserve">6.2. Backlog Produit mis à jour par Sprints et User Stories</w:t>
      </w:r>
    </w:p>
    <w:tbl>
      <w:tblPr>
        <w:tblW w:w="5000" w:type="pct"/>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r>
        <w:tc>
          <w:tcPr>
            <w:shd w:val="clear" w:color="auto" w:fill="1E3A8A"/>
            <w:tcMar>
              <w:top w:w="80" w:type="dxa"/>
              <w:bottom w:w="80" w:type="dxa"/>
              <w:left w:w="110" w:type="dxa"/>
              <w:right w:w="110" w:type="dxa"/>
            </w:tcMar>
          </w:tcPr>
          <w:p>
            <w:pPr>
              <w:jc w:val="left"/>
              <w:spacing w:before="40" w:after="40"/>
            </w:pPr>
            <w:r>
              <w:rPr>
                <w:b/>
                <w:color w:val="FFFFFF"/>
                <w:sz w:val="19"/>
              </w:rPr>
              <w:t>Sprint / Epic</w:t>
            </w:r>
          </w:p>
        </w:tc>
        <w:tc>
          <w:tcPr>
            <w:shd w:val="clear" w:color="auto" w:fill="1E3A8A"/>
            <w:tcMar>
              <w:top w:w="80" w:type="dxa"/>
              <w:bottom w:w="80" w:type="dxa"/>
              <w:left w:w="110" w:type="dxa"/>
              <w:right w:w="110" w:type="dxa"/>
            </w:tcMar>
          </w:tcPr>
          <w:p>
            <w:pPr>
              <w:jc w:val="left"/>
              <w:spacing w:before="40" w:after="40"/>
            </w:pPr>
            <w:r>
              <w:rPr>
                <w:b/>
                <w:color w:val="FFFFFF"/>
                <w:sz w:val="19"/>
              </w:rPr>
              <w:t>ID</w:t>
            </w:r>
          </w:p>
        </w:tc>
        <w:tc>
          <w:tcPr>
            <w:shd w:val="clear" w:color="auto" w:fill="1E3A8A"/>
            <w:tcMar>
              <w:top w:w="80" w:type="dxa"/>
              <w:bottom w:w="80" w:type="dxa"/>
              <w:left w:w="110" w:type="dxa"/>
              <w:right w:w="110" w:type="dxa"/>
            </w:tcMar>
          </w:tcPr>
          <w:p>
            <w:pPr>
              <w:jc w:val="left"/>
              <w:spacing w:before="40" w:after="40"/>
            </w:pPr>
            <w:r>
              <w:rPr>
                <w:b/>
                <w:color w:val="FFFFFF"/>
                <w:sz w:val="19"/>
              </w:rPr>
              <w:t>User Story principale</w:t>
            </w:r>
          </w:p>
        </w:tc>
        <w:tc>
          <w:tcPr>
            <w:shd w:val="clear" w:color="auto" w:fill="1E3A8A"/>
            <w:tcMar>
              <w:top w:w="80" w:type="dxa"/>
              <w:bottom w:w="80" w:type="dxa"/>
              <w:left w:w="110" w:type="dxa"/>
              <w:right w:w="110" w:type="dxa"/>
            </w:tcMar>
          </w:tcPr>
          <w:p>
            <w:pPr>
              <w:jc w:val="left"/>
              <w:spacing w:before="40" w:after="40"/>
            </w:pPr>
            <w:r>
              <w:rPr>
                <w:b/>
                <w:color w:val="FFFFFF"/>
                <w:sz w:val="19"/>
              </w:rPr>
              <w:t>Profil bénéficiaire</w:t>
            </w:r>
          </w:p>
        </w:tc>
        <w:tc>
          <w:tcPr>
            <w:shd w:val="clear" w:color="auto" w:fill="1E3A8A"/>
            <w:tcMar>
              <w:top w:w="80" w:type="dxa"/>
              <w:bottom w:w="80" w:type="dxa"/>
              <w:left w:w="110" w:type="dxa"/>
              <w:right w:w="110" w:type="dxa"/>
            </w:tcMar>
          </w:tcPr>
          <w:p>
            <w:pPr>
              <w:jc w:val="left"/>
              <w:spacing w:before="40" w:after="40"/>
            </w:pPr>
            <w:r>
              <w:rPr>
                <w:b/>
                <w:color w:val="FFFFFF"/>
                <w:sz w:val="19"/>
              </w:rPr>
              <w:t>Priorité &amp; Points</w:t>
            </w:r>
          </w:p>
        </w:tc>
        <w:tc>
          <w:tcPr>
            <w:shd w:val="clear" w:color="auto" w:fill="1E3A8A"/>
            <w:tcMar>
              <w:top w:w="80" w:type="dxa"/>
              <w:bottom w:w="80" w:type="dxa"/>
              <w:left w:w="110" w:type="dxa"/>
              <w:right w:w="110" w:type="dxa"/>
            </w:tcMar>
          </w:tcPr>
          <w:p>
            <w:pPr>
              <w:jc w:val="left"/>
              <w:spacing w:before="40" w:after="40"/>
            </w:pPr>
            <w:r>
              <w:rPr>
                <w:b/>
                <w:color w:val="FFFFFF"/>
                <w:sz w:val="19"/>
              </w:rPr>
              <w:t>Statut</w:t>
            </w:r>
          </w:p>
        </w:tc>
      </w:tr>
      <w:tr>
        <w:tc>
          <w:tcPr>
            <w:shd w:val="clear" w:color="auto" w:fill="FFFFFF"/>
            <w:tcMar>
              <w:top w:w="70" w:type="dxa"/>
              <w:bottom w:w="70" w:type="dxa"/>
              <w:left w:w="110" w:type="dxa"/>
              <w:right w:w="110" w:type="dxa"/>
            </w:tcMar>
          </w:tcPr>
          <w:p>
            <w:pPr>
              <w:jc w:val="left"/>
              <w:spacing w:before="30" w:after="30"/>
            </w:pPr>
            <w:r>
              <w:rPr>
                <w:b w:val="true"/>
                <w:sz w:val="19"/>
              </w:rPr>
              <w:t>Sprint 1 : Collecte &amp; Base Cloud</w:t>
            </w:r>
          </w:p>
        </w:tc>
        <w:tc>
          <w:tcPr>
            <w:shd w:val="clear" w:color="auto" w:fill="FFFFFF"/>
            <w:tcMar>
              <w:top w:w="70" w:type="dxa"/>
              <w:bottom w:w="70" w:type="dxa"/>
              <w:left w:w="110" w:type="dxa"/>
              <w:right w:w="110" w:type="dxa"/>
            </w:tcMar>
          </w:tcPr>
          <w:p>
            <w:pPr>
              <w:jc w:val="left"/>
              <w:spacing w:before="30" w:after="30"/>
            </w:pPr>
            <w:r>
              <w:rPr>
                <w:b w:val="false"/>
                <w:sz w:val="19"/>
              </w:rPr>
              <w:t>US-01 à US-04</w:t>
            </w:r>
          </w:p>
        </w:tc>
        <w:tc>
          <w:tcPr>
            <w:shd w:val="clear" w:color="auto" w:fill="FFFFFF"/>
            <w:tcMar>
              <w:top w:w="70" w:type="dxa"/>
              <w:bottom w:w="70" w:type="dxa"/>
              <w:left w:w="110" w:type="dxa"/>
              <w:right w:w="110" w:type="dxa"/>
            </w:tcMar>
          </w:tcPr>
          <w:p>
            <w:pPr>
              <w:jc w:val="left"/>
              <w:spacing w:before="30" w:after="30"/>
            </w:pPr>
            <w:r>
              <w:rPr>
                <w:b w:val="false"/>
                <w:sz w:val="19"/>
              </w:rPr>
              <w:t>Référencer les 34 stations IdF, importer 1 800h (75j) d'historique Air+Météo, déployer PostgreSQL sur Supabase sans doublon et automatiser le streaming 30 min sur VPS.</w:t>
            </w:r>
          </w:p>
        </w:tc>
        <w:tc>
          <w:tcPr>
            <w:shd w:val="clear" w:color="auto" w:fill="FFFFFF"/>
            <w:tcMar>
              <w:top w:w="70" w:type="dxa"/>
              <w:bottom w:w="70" w:type="dxa"/>
              <w:left w:w="110" w:type="dxa"/>
              <w:right w:w="110" w:type="dxa"/>
            </w:tcMar>
          </w:tcPr>
          <w:p>
            <w:pPr>
              <w:jc w:val="left"/>
              <w:spacing w:before="30" w:after="30"/>
            </w:pPr>
            <w:r>
              <w:rPr>
                <w:b w:val="false"/>
                <w:sz w:val="19"/>
              </w:rPr>
              <w:t>Chercheurs &amp; Services municipaux</w:t>
            </w:r>
          </w:p>
        </w:tc>
        <w:tc>
          <w:tcPr>
            <w:shd w:val="clear" w:color="auto" w:fill="FFFFFF"/>
            <w:tcMar>
              <w:top w:w="70" w:type="dxa"/>
              <w:bottom w:w="70" w:type="dxa"/>
              <w:left w:w="110" w:type="dxa"/>
              <w:right w:w="110" w:type="dxa"/>
            </w:tcMar>
          </w:tcPr>
          <w:p>
            <w:pPr>
              <w:jc w:val="left"/>
              <w:spacing w:before="30" w:after="30"/>
            </w:pPr>
            <w:r>
              <w:rPr>
                <w:b w:val="false"/>
                <w:sz w:val="19"/>
              </w:rPr>
              <w:t>Haute (P0) - 21 pts</w:t>
            </w:r>
          </w:p>
        </w:tc>
        <w:tc>
          <w:tcPr>
            <w:shd w:val="clear" w:color="auto" w:fill="FFFFFF"/>
            <w:tcMar>
              <w:top w:w="70" w:type="dxa"/>
              <w:bottom w:w="70" w:type="dxa"/>
              <w:left w:w="110" w:type="dxa"/>
              <w:right w:w="110" w:type="dxa"/>
            </w:tcMar>
          </w:tcPr>
          <w:p>
            <w:pPr>
              <w:jc w:val="left"/>
              <w:spacing w:before="30" w:after="30"/>
            </w:pPr>
            <w:r>
              <w:rPr>
                <w:b w:val="false"/>
                <w:sz w:val="19"/>
              </w:rPr>
              <w:t>Terminé</w:t>
            </w:r>
          </w:p>
        </w:tc>
      </w:tr>
      <w:tr>
        <w:tc>
          <w:tcPr>
            <w:shd w:val="clear" w:color="auto" w:fill="F8FAFC"/>
            <w:tcMar>
              <w:top w:w="70" w:type="dxa"/>
              <w:bottom w:w="70" w:type="dxa"/>
              <w:left w:w="110" w:type="dxa"/>
              <w:right w:w="110" w:type="dxa"/>
            </w:tcMar>
          </w:tcPr>
          <w:p>
            <w:pPr>
              <w:jc w:val="left"/>
              <w:spacing w:before="30" w:after="30"/>
            </w:pPr>
            <w:r>
              <w:rPr>
                <w:b w:val="true"/>
                <w:sz w:val="19"/>
              </w:rPr>
              <w:t>Sprint 2 : Prédiction IA 24h</w:t>
            </w:r>
          </w:p>
        </w:tc>
        <w:tc>
          <w:tcPr>
            <w:shd w:val="clear" w:color="auto" w:fill="F8FAFC"/>
            <w:tcMar>
              <w:top w:w="70" w:type="dxa"/>
              <w:bottom w:w="70" w:type="dxa"/>
              <w:left w:w="110" w:type="dxa"/>
              <w:right w:w="110" w:type="dxa"/>
            </w:tcMar>
          </w:tcPr>
          <w:p>
            <w:pPr>
              <w:jc w:val="left"/>
              <w:spacing w:before="30" w:after="30"/>
            </w:pPr>
            <w:r>
              <w:rPr>
                <w:b w:val="false"/>
                <w:sz w:val="19"/>
              </w:rPr>
              <w:t>US-05 à US-07</w:t>
            </w:r>
          </w:p>
        </w:tc>
        <w:tc>
          <w:tcPr>
            <w:shd w:val="clear" w:color="auto" w:fill="F8FAFC"/>
            <w:tcMar>
              <w:top w:w="70" w:type="dxa"/>
              <w:bottom w:w="70" w:type="dxa"/>
              <w:left w:w="110" w:type="dxa"/>
              <w:right w:w="110" w:type="dxa"/>
            </w:tcMar>
          </w:tcPr>
          <w:p>
            <w:pPr>
              <w:jc w:val="left"/>
              <w:spacing w:before="30" w:after="30"/>
            </w:pPr>
            <w:r>
              <w:rPr>
                <w:b w:val="false"/>
                <w:sz w:val="19"/>
              </w:rPr>
              <w:t>Construire 233 variables, entraîner les 24 modèles LightGBM (MAE = 2,07 pts capteur test / 5,97 pts global) et exporter à 00h45 vers Google Sheets.</w:t>
            </w:r>
          </w:p>
        </w:tc>
        <w:tc>
          <w:tcPr>
            <w:shd w:val="clear" w:color="auto" w:fill="F8FAFC"/>
            <w:tcMar>
              <w:top w:w="70" w:type="dxa"/>
              <w:bottom w:w="70" w:type="dxa"/>
              <w:left w:w="110" w:type="dxa"/>
              <w:right w:w="110" w:type="dxa"/>
            </w:tcMar>
          </w:tcPr>
          <w:p>
            <w:pPr>
              <w:jc w:val="left"/>
              <w:spacing w:before="30" w:after="30"/>
            </w:pPr>
            <w:r>
              <w:rPr>
                <w:b w:val="false"/>
                <w:sz w:val="19"/>
              </w:rPr>
              <w:t>Personnes malades, Hôpitaux &amp; Décideurs</w:t>
            </w:r>
          </w:p>
        </w:tc>
        <w:tc>
          <w:tcPr>
            <w:shd w:val="clear" w:color="auto" w:fill="F8FAFC"/>
            <w:tcMar>
              <w:top w:w="70" w:type="dxa"/>
              <w:bottom w:w="70" w:type="dxa"/>
              <w:left w:w="110" w:type="dxa"/>
              <w:right w:w="110" w:type="dxa"/>
            </w:tcMar>
          </w:tcPr>
          <w:p>
            <w:pPr>
              <w:jc w:val="left"/>
              <w:spacing w:before="30" w:after="30"/>
            </w:pPr>
            <w:r>
              <w:rPr>
                <w:b w:val="false"/>
                <w:sz w:val="19"/>
              </w:rPr>
              <w:t>Haute (P0) - 26 pts</w:t>
            </w:r>
          </w:p>
        </w:tc>
        <w:tc>
          <w:tcPr>
            <w:shd w:val="clear" w:color="auto" w:fill="F8FAFC"/>
            <w:tcMar>
              <w:top w:w="70" w:type="dxa"/>
              <w:bottom w:w="70" w:type="dxa"/>
              <w:left w:w="110" w:type="dxa"/>
              <w:right w:w="110" w:type="dxa"/>
            </w:tcMar>
          </w:tcPr>
          <w:p>
            <w:pPr>
              <w:jc w:val="left"/>
              <w:spacing w:before="30" w:after="30"/>
            </w:pPr>
            <w:r>
              <w:rPr>
                <w:b w:val="false"/>
                <w:sz w:val="19"/>
              </w:rPr>
              <w:t>Terminé</w:t>
            </w:r>
          </w:p>
        </w:tc>
      </w:tr>
      <w:tr>
        <w:tc>
          <w:tcPr>
            <w:shd w:val="clear" w:color="auto" w:fill="FFFFFF"/>
            <w:tcMar>
              <w:top w:w="70" w:type="dxa"/>
              <w:bottom w:w="70" w:type="dxa"/>
              <w:left w:w="110" w:type="dxa"/>
              <w:right w:w="110" w:type="dxa"/>
            </w:tcMar>
          </w:tcPr>
          <w:p>
            <w:pPr>
              <w:jc w:val="left"/>
              <w:spacing w:before="30" w:after="30"/>
            </w:pPr>
            <w:r>
              <w:rPr>
                <w:b w:val="true"/>
                <w:sz w:val="19"/>
              </w:rPr>
              <w:t>Sprint 3 : Application Web MVP</w:t>
            </w:r>
          </w:p>
        </w:tc>
        <w:tc>
          <w:tcPr>
            <w:shd w:val="clear" w:color="auto" w:fill="FFFFFF"/>
            <w:tcMar>
              <w:top w:w="70" w:type="dxa"/>
              <w:bottom w:w="70" w:type="dxa"/>
              <w:left w:w="110" w:type="dxa"/>
              <w:right w:w="110" w:type="dxa"/>
            </w:tcMar>
          </w:tcPr>
          <w:p>
            <w:pPr>
              <w:jc w:val="left"/>
              <w:spacing w:before="30" w:after="30"/>
            </w:pPr>
            <w:r>
              <w:rPr>
                <w:b w:val="false"/>
                <w:sz w:val="19"/>
              </w:rPr>
              <w:t>US-08 à US-11</w:t>
            </w:r>
          </w:p>
        </w:tc>
        <w:tc>
          <w:tcPr>
            <w:shd w:val="clear" w:color="auto" w:fill="FFFFFF"/>
            <w:tcMar>
              <w:top w:w="70" w:type="dxa"/>
              <w:bottom w:w="70" w:type="dxa"/>
              <w:left w:w="110" w:type="dxa"/>
              <w:right w:w="110" w:type="dxa"/>
            </w:tcMar>
          </w:tcPr>
          <w:p>
            <w:pPr>
              <w:jc w:val="left"/>
              <w:spacing w:before="30" w:after="30"/>
            </w:pPr>
            <w:r>
              <w:rPr>
                <w:b w:val="false"/>
                <w:sz w:val="19"/>
              </w:rPr>
              <w:t>Développer les 9 onglets (Temps réel, Carte 34 stations, Mobilité Trafic/Fond +52 %, Prévisions 24h, Alertes email, Rapports PDF, Authentification par rôle).</w:t>
            </w:r>
          </w:p>
        </w:tc>
        <w:tc>
          <w:tcPr>
            <w:shd w:val="clear" w:color="auto" w:fill="FFFFFF"/>
            <w:tcMar>
              <w:top w:w="70" w:type="dxa"/>
              <w:bottom w:w="70" w:type="dxa"/>
              <w:left w:w="110" w:type="dxa"/>
              <w:right w:w="110" w:type="dxa"/>
            </w:tcMar>
          </w:tcPr>
          <w:p>
            <w:pPr>
              <w:jc w:val="left"/>
              <w:spacing w:before="30" w:after="30"/>
            </w:pPr>
            <w:r>
              <w:rPr>
                <w:b w:val="false"/>
                <w:sz w:val="19"/>
              </w:rPr>
              <w:t>Citoyens, Élus &amp; Autorités de mobilité</w:t>
            </w:r>
          </w:p>
        </w:tc>
        <w:tc>
          <w:tcPr>
            <w:shd w:val="clear" w:color="auto" w:fill="FFFFFF"/>
            <w:tcMar>
              <w:top w:w="70" w:type="dxa"/>
              <w:bottom w:w="70" w:type="dxa"/>
              <w:left w:w="110" w:type="dxa"/>
              <w:right w:w="110" w:type="dxa"/>
            </w:tcMar>
          </w:tcPr>
          <w:p>
            <w:pPr>
              <w:jc w:val="left"/>
              <w:spacing w:before="30" w:after="30"/>
            </w:pPr>
            <w:r>
              <w:rPr>
                <w:b w:val="false"/>
                <w:sz w:val="19"/>
              </w:rPr>
              <w:t>Haute (P0) - 24 pts</w:t>
            </w:r>
          </w:p>
        </w:tc>
        <w:tc>
          <w:tcPr>
            <w:shd w:val="clear" w:color="auto" w:fill="FFFFFF"/>
            <w:tcMar>
              <w:top w:w="70" w:type="dxa"/>
              <w:bottom w:w="70" w:type="dxa"/>
              <w:left w:w="110" w:type="dxa"/>
              <w:right w:w="110" w:type="dxa"/>
            </w:tcMar>
          </w:tcPr>
          <w:p>
            <w:pPr>
              <w:jc w:val="left"/>
              <w:spacing w:before="30" w:after="30"/>
            </w:pPr>
            <w:r>
              <w:rPr>
                <w:b w:val="false"/>
                <w:sz w:val="19"/>
              </w:rPr>
              <w:t>Terminé</w:t>
            </w:r>
          </w:p>
        </w:tc>
      </w:tr>
      <w:tr>
        <w:tc>
          <w:tcPr>
            <w:shd w:val="clear" w:color="auto" w:fill="F8FAFC"/>
            <w:tcMar>
              <w:top w:w="70" w:type="dxa"/>
              <w:bottom w:w="70" w:type="dxa"/>
              <w:left w:w="110" w:type="dxa"/>
              <w:right w:w="110" w:type="dxa"/>
            </w:tcMar>
          </w:tcPr>
          <w:p>
            <w:pPr>
              <w:jc w:val="left"/>
              <w:spacing w:before="30" w:after="30"/>
            </w:pPr>
            <w:r>
              <w:rPr>
                <w:b w:val="true"/>
                <w:sz w:val="19"/>
              </w:rPr>
              <w:t>Sprint 4 : Power BI &amp; Soutenance</w:t>
            </w:r>
          </w:p>
        </w:tc>
        <w:tc>
          <w:tcPr>
            <w:shd w:val="clear" w:color="auto" w:fill="F8FAFC"/>
            <w:tcMar>
              <w:top w:w="70" w:type="dxa"/>
              <w:bottom w:w="70" w:type="dxa"/>
              <w:left w:w="110" w:type="dxa"/>
              <w:right w:w="110" w:type="dxa"/>
            </w:tcMar>
          </w:tcPr>
          <w:p>
            <w:pPr>
              <w:jc w:val="left"/>
              <w:spacing w:before="30" w:after="30"/>
            </w:pPr>
            <w:r>
              <w:rPr>
                <w:b w:val="false"/>
                <w:sz w:val="19"/>
              </w:rPr>
              <w:t>US-12 &amp; US-13</w:t>
            </w:r>
          </w:p>
        </w:tc>
        <w:tc>
          <w:tcPr>
            <w:shd w:val="clear" w:color="auto" w:fill="F8FAFC"/>
            <w:tcMar>
              <w:top w:w="70" w:type="dxa"/>
              <w:bottom w:w="70" w:type="dxa"/>
              <w:left w:w="110" w:type="dxa"/>
              <w:right w:w="110" w:type="dxa"/>
            </w:tcMar>
          </w:tcPr>
          <w:p>
            <w:pPr>
              <w:jc w:val="left"/>
              <w:spacing w:before="30" w:after="30"/>
            </w:pPr>
            <w:r>
              <w:rPr>
                <w:b w:val="false"/>
                <w:sz w:val="19"/>
              </w:rPr>
              <w:t>Connecter Power BI à PostgreSQL (certificat SSL) et Google Sheets (6 volets), rédiger le README, le rapport Word/PDF et la présentation finale.</w:t>
            </w:r>
          </w:p>
        </w:tc>
        <w:tc>
          <w:tcPr>
            <w:shd w:val="clear" w:color="auto" w:fill="F8FAFC"/>
            <w:tcMar>
              <w:top w:w="70" w:type="dxa"/>
              <w:bottom w:w="70" w:type="dxa"/>
              <w:left w:w="110" w:type="dxa"/>
              <w:right w:w="110" w:type="dxa"/>
            </w:tcMar>
          </w:tcPr>
          <w:p>
            <w:pPr>
              <w:jc w:val="left"/>
              <w:spacing w:before="30" w:after="30"/>
            </w:pPr>
            <w:r>
              <w:rPr>
                <w:b w:val="false"/>
                <w:sz w:val="19"/>
              </w:rPr>
              <w:t>Analystes BI, Élus &amp; Jury</w:t>
            </w:r>
          </w:p>
        </w:tc>
        <w:tc>
          <w:tcPr>
            <w:shd w:val="clear" w:color="auto" w:fill="F8FAFC"/>
            <w:tcMar>
              <w:top w:w="70" w:type="dxa"/>
              <w:bottom w:w="70" w:type="dxa"/>
              <w:left w:w="110" w:type="dxa"/>
              <w:right w:w="110" w:type="dxa"/>
            </w:tcMar>
          </w:tcPr>
          <w:p>
            <w:pPr>
              <w:jc w:val="left"/>
              <w:spacing w:before="30" w:after="30"/>
            </w:pPr>
            <w:r>
              <w:rPr>
                <w:b w:val="false"/>
                <w:sz w:val="19"/>
              </w:rPr>
              <w:t>Haute (P0) - 13 pts</w:t>
            </w:r>
          </w:p>
        </w:tc>
        <w:tc>
          <w:tcPr>
            <w:shd w:val="clear" w:color="auto" w:fill="F8FAFC"/>
            <w:tcMar>
              <w:top w:w="70" w:type="dxa"/>
              <w:bottom w:w="70" w:type="dxa"/>
              <w:left w:w="110" w:type="dxa"/>
              <w:right w:w="110" w:type="dxa"/>
            </w:tcMar>
          </w:tcPr>
          <w:p>
            <w:pPr>
              <w:jc w:val="left"/>
              <w:spacing w:before="30" w:after="30"/>
            </w:pPr>
            <w:r>
              <w:rPr>
                <w:b w:val="false"/>
                <w:sz w:val="19"/>
              </w:rPr>
              <w:t>Terminé</w:t>
            </w:r>
          </w:p>
        </w:tc>
      </w:tr>
      <w:tr>
        <w:tc>
          <w:tcPr>
            <w:shd w:val="clear" w:color="auto" w:fill="FFFFFF"/>
            <w:tcMar>
              <w:top w:w="70" w:type="dxa"/>
              <w:bottom w:w="70" w:type="dxa"/>
              <w:left w:w="110" w:type="dxa"/>
              <w:right w:w="110" w:type="dxa"/>
            </w:tcMar>
          </w:tcPr>
          <w:p>
            <w:pPr>
              <w:jc w:val="left"/>
              <w:spacing w:before="30" w:after="30"/>
            </w:pPr>
            <w:r>
              <w:rPr>
                <w:b w:val="true"/>
                <w:sz w:val="19"/>
              </w:rPr>
              <w:t>Backlog V2 : Perspectives</w:t>
            </w:r>
          </w:p>
        </w:tc>
        <w:tc>
          <w:tcPr>
            <w:shd w:val="clear" w:color="auto" w:fill="FFFFFF"/>
            <w:tcMar>
              <w:top w:w="70" w:type="dxa"/>
              <w:bottom w:w="70" w:type="dxa"/>
              <w:left w:w="110" w:type="dxa"/>
              <w:right w:w="110" w:type="dxa"/>
            </w:tcMar>
          </w:tcPr>
          <w:p>
            <w:pPr>
              <w:jc w:val="left"/>
              <w:spacing w:before="30" w:after="30"/>
            </w:pPr>
            <w:r>
              <w:rPr>
                <w:b w:val="false"/>
                <w:sz w:val="19"/>
              </w:rPr>
              <w:t>US-14 &amp; US-15</w:t>
            </w:r>
          </w:p>
        </w:tc>
        <w:tc>
          <w:tcPr>
            <w:shd w:val="clear" w:color="auto" w:fill="FFFFFF"/>
            <w:tcMar>
              <w:top w:w="70" w:type="dxa"/>
              <w:bottom w:w="70" w:type="dxa"/>
              <w:left w:w="110" w:type="dxa"/>
              <w:right w:w="110" w:type="dxa"/>
            </w:tcMar>
          </w:tcPr>
          <w:p>
            <w:pPr>
              <w:jc w:val="left"/>
              <w:spacing w:before="30" w:after="30"/>
            </w:pPr>
            <w:r>
              <w:rPr>
                <w:b w:val="false"/>
                <w:sz w:val="19"/>
              </w:rPr>
              <w:t>Allonger la prédiction à 48h/72h, intégrer le comptage routier temps réel et tester d'autres algorithmes de ML/Deep Learning (LSTM, GNN).</w:t>
            </w:r>
          </w:p>
        </w:tc>
        <w:tc>
          <w:tcPr>
            <w:shd w:val="clear" w:color="auto" w:fill="FFFFFF"/>
            <w:tcMar>
              <w:top w:w="70" w:type="dxa"/>
              <w:bottom w:w="70" w:type="dxa"/>
              <w:left w:w="110" w:type="dxa"/>
              <w:right w:w="110" w:type="dxa"/>
            </w:tcMar>
          </w:tcPr>
          <w:p>
            <w:pPr>
              <w:jc w:val="left"/>
              <w:spacing w:before="30" w:after="30"/>
            </w:pPr>
            <w:r>
              <w:rPr>
                <w:b w:val="false"/>
                <w:sz w:val="19"/>
              </w:rPr>
              <w:t>Hôpitaux &amp; Chercheurs</w:t>
            </w:r>
          </w:p>
        </w:tc>
        <w:tc>
          <w:tcPr>
            <w:shd w:val="clear" w:color="auto" w:fill="FFFFFF"/>
            <w:tcMar>
              <w:top w:w="70" w:type="dxa"/>
              <w:bottom w:w="70" w:type="dxa"/>
              <w:left w:w="110" w:type="dxa"/>
              <w:right w:w="110" w:type="dxa"/>
            </w:tcMar>
          </w:tcPr>
          <w:p>
            <w:pPr>
              <w:jc w:val="left"/>
              <w:spacing w:before="30" w:after="30"/>
            </w:pPr>
            <w:r>
              <w:rPr>
                <w:b w:val="false"/>
                <w:sz w:val="19"/>
              </w:rPr>
              <w:t>Moyenne (P2) - 21 pts</w:t>
            </w:r>
          </w:p>
        </w:tc>
        <w:tc>
          <w:tcPr>
            <w:shd w:val="clear" w:color="auto" w:fill="FFFFFF"/>
            <w:tcMar>
              <w:top w:w="70" w:type="dxa"/>
              <w:bottom w:w="70" w:type="dxa"/>
              <w:left w:w="110" w:type="dxa"/>
              <w:right w:w="110" w:type="dxa"/>
            </w:tcMar>
          </w:tcPr>
          <w:p>
            <w:pPr>
              <w:jc w:val="left"/>
              <w:spacing w:before="30" w:after="30"/>
            </w:pPr>
            <w:r>
              <w:rPr>
                <w:b w:val="false"/>
                <w:sz w:val="19"/>
              </w:rPr>
              <w:t>Planifié (V2)</w:t>
            </w:r>
          </w:p>
        </w:tc>
      </w:tr>
    </w:tbl>
    <w:p>
      <w:pPr>
        <w:spacing w:before="60" w:after="60"/>
      </w:pPr>
    </w:p>
    <w:p>
      <w:pPr>
        <w:pStyle w:val="Heading1"/>
        <w:jc w:val="left"/>
      </w:pPr>
      <w:r>
        <w:rPr>
          <w:b/>
        </w:rPr>
        <w:t xml:space="preserve">07. Conclusion Générale, Perspectives d'Amélioration et Bibliographie</w:t>
      </w:r>
    </w:p>
    <w:p>
      <w:pPr>
        <w:pStyle w:val="Normal"/>
        <w:jc w:val="both"/>
      </w:pPr>
      <w:r>
        <w:t xml:space="preserve">En réalisant de bout en bout cette plateforme — de la collecte historique (75 jours) et temps réel (toutes les 30 minutes sur serveur distant) jusqu'au stockage PostgreSQL sécurisé, à la prédiction des 24 prochaines heures par LightGBM et à la visualisation sous Application Web et Power BI — ce projet démontre comment la donnée et l'intelligence artificielle peuvent servir directement la santé publique, l'anticipation hospitalière et la décision locale. Les perspectives de la version 2 porteront sur l'amélioration continue de la précision, l'extension de l'horizon prédictif au-delà de 24 heures (48h/72h), la convivialité des interfaces et l'expérimentation de nouveaux algorithmes d'apprentissage profond.</w:t>
      </w:r>
    </w:p>
    <w:p>
      <w:pPr>
        <w:pStyle w:val="Normal"/>
        <w:jc w:val="both"/>
      </w:pPr>
      <w:r>
        <w:t xml:space="preserve">[1] OMS (2021). Lignes directrices mondiales de l'OMS sur la qualité de l'air. Genève : OMS.</w:t>
      </w:r>
    </w:p>
    <w:p>
      <w:pPr>
        <w:pStyle w:val="Normal"/>
        <w:jc w:val="both"/>
      </w:pPr>
      <w:r>
        <w:t xml:space="preserve">[2] EEA (2023). Air Quality in Europe 2023 &amp; European Air Quality Index (EAQI) methodology. Luxembourg.</w:t>
      </w:r>
    </w:p>
    <w:p>
      <w:pPr>
        <w:pStyle w:val="Normal"/>
        <w:jc w:val="both"/>
      </w:pPr>
      <w:r>
        <w:t xml:space="preserve">[3] Santé Publique France (2021). Pollution de l'air ambiant : estimations de son impact sur la mortalité en France.</w:t>
      </w:r>
    </w:p>
    <w:p>
      <w:pPr>
        <w:pStyle w:val="Normal"/>
        <w:jc w:val="both"/>
      </w:pPr>
      <w:r>
        <w:t xml:space="preserve">[4] Pope, C. A., &amp; Dockery, D. W. (2006). Health effects of fine particulate air pollution. J. Air &amp; Waste Manage. Assoc., 56(6), 709–742.</w:t>
      </w:r>
    </w:p>
    <w:p>
      <w:pPr>
        <w:pStyle w:val="Normal"/>
        <w:jc w:val="both"/>
      </w:pPr>
      <w:r>
        <w:t xml:space="preserve">[5] Harrison, R. M., et al. (2012). Nonexhaust traffic particles (brake dust, tire wear, resuspension). Environ. Sci. Technol., 46(12), 6523–6529.</w:t>
      </w:r>
    </w:p>
    <w:p>
      <w:pPr>
        <w:pStyle w:val="Normal"/>
        <w:jc w:val="both"/>
      </w:pPr>
      <w:r>
        <w:t xml:space="preserve">[6] Lenschow, P., et al. (2001). Sources of pollutants in urban environments (Trafic vs Background increment). Atmospheric Environment, 35, S23–S33.</w:t>
      </w:r>
    </w:p>
    <w:p>
      <w:pPr>
        <w:pStyle w:val="Normal"/>
        <w:jc w:val="both"/>
      </w:pPr>
      <w:r>
        <w:t xml:space="preserve">[7] Ke, G., et al. (2017). LightGBM: A Highly Efficient Gradient Boosting Decision Tree. NeurIPS, 30 — &amp; Taieb, S. B., et al. (2012). Multi-step ahead forecasting strategies. Expert Systems with Applications, 39(8), 7067–7083.</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cs="Calibri"/>
        <w:sz w:val="22"/>
        <w:szCs w:val="22"/>
        <w:color w:val="1E293B"/>
        <w:lang w:val="fr-FR"/>
      </w:rPr>
    </w:rPrDefault>
    <w:pPrDefault>
      <w:pPr>
        <w:spacing w:after="140" w:line="276" w:lineRule="auto"/>
      </w:pPr>
    </w:pPrDefault>
  </w:docDefaults>
  <w:style w:type="paragraph" w:default="1" w:styleId="Normal">
    <w:name w:val="Normal"/>
    <w:qFormat/>
  </w:style>
  <w:style w:type="paragraph" w:styleId="Title">
    <w:name w:val="Title"/>
    <w:basedOn w:val="Normal"/>
    <w:qFormat/>
    <w:pPr>
      <w:spacing w:before="200" w:after="160" w:line="288" w:lineRule="auto"/>
    </w:pPr>
    <w:rPr>
      <w:b/>
      <w:color w:val="0F172A"/>
      <w:sz w:val="36"/>
    </w:rPr>
  </w:style>
  <w:style w:type="paragraph" w:styleId="Subtitle">
    <w:name w:val="Subtitle"/>
    <w:basedOn w:val="Normal"/>
    <w:qFormat/>
    <w:pPr>
      <w:spacing w:before="100" w:after="80"/>
    </w:pPr>
    <w:rPr>
      <w:b/>
      <w:color w:val="1E3A8A"/>
      <w:sz w:val="22"/>
    </w:rPr>
  </w:style>
  <w:style w:type="paragraph" w:styleId="Heading1">
    <w:name w:val="heading 1"/>
    <w:basedOn w:val="Normal"/>
    <w:next w:val="Normal"/>
    <w:qFormat/>
    <w:pPr>
      <w:keepNext/>
      <w:spacing w:before="280" w:after="120"/>
      <w:pBdr>
        <w:bottom w:val="single" w:sz="12" w:space="4" w:color="1E3A8A"/>
      </w:pBdr>
    </w:pPr>
    <w:rPr>
      <w:b/>
      <w:color w:val="1E3A8A"/>
      <w:sz w:val="29"/>
    </w:rPr>
  </w:style>
  <w:style w:type="paragraph" w:styleId="Heading2">
    <w:name w:val="heading 2"/>
    <w:basedOn w:val="Normal"/>
    <w:next w:val="Normal"/>
    <w:qFormat/>
    <w:pPr>
      <w:keepNext/>
      <w:spacing w:before="200" w:after="90"/>
    </w:pPr>
    <w:rPr>
      <w:b/>
      <w:color w:val="0F172A"/>
      <w:sz w:val="24"/>
    </w:rPr>
  </w:style>
  <w:style w:type="paragraph" w:styleId="Caption">
    <w:name w:val="caption"/>
    <w:basedOn w:val="Normal"/>
    <w:qFormat/>
    <w:pPr>
      <w:spacing w:before="40" w:after="160"/>
    </w:pPr>
    <w:rPr>
      <w:i/>
      <w:color w:val="475569"/>
      <w:sz w:val="19"/>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4" Type="http://schemas.openxmlformats.org/officeDocument/2006/relationships/image" Target="media/fig1_architecture.png"/>
  <Relationship Id="rId5" Type="http://schemas.openxmlformats.org/officeDocument/2006/relationships/image" Target="media/fig3_previsions_ia.png"/>
  <Relationship Id="rId6" Type="http://schemas.openxmlformats.org/officeDocument/2006/relationships/image" Target="media/fig2_cycle_diurne.png"/>
</Relationships>
</file>