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0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ind w:right="-108"/>
              <w:jc w:val="right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4"/>
                <w:szCs w:val="44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Telegram-бот ClothesBot</w:t>
      </w:r>
      <w:r w:rsidDel="00000000" w:rsidR="00000000" w:rsidRPr="00000000">
        <w:rPr>
          <w:rtl w:val="0"/>
        </w:rPr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0"/>
          <w:trHeight w:val="410" w:hRule="atLeast"/>
          <w:tblHeader w:val="0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8" w:hRule="atLeast"/>
          <w:tblHeader w:val="0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Отрубянников Артём Олегович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ГБОУ школа 1492, 10 ”Б”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+79261701271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nenado.t@yandex.ru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883.999999999998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6"/>
        <w:tblGridChange w:id="0">
          <w:tblGrid>
            <w:gridCol w:w="3118"/>
            <w:gridCol w:w="11766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after="240" w:line="276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Онлайн шоппинг в настоящее время становится всё более востребованным по сравнению с обычном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 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after="5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spacing w:after="3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spacing w:after="72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101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  <w:rtl w:val="0"/>
              </w:rPr>
              <w:t xml:space="preserve">В результате был разработан бот в мессенджере Telegram, которой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spacing w:after="101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8"/>
                  <w:szCs w:val="28"/>
                  <w:u w:val="singl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16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