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ck6wxk3w62g" w:id="0"/>
      <w:bookmarkEnd w:id="0"/>
      <w:r w:rsidDel="00000000" w:rsidR="00000000" w:rsidRPr="00000000">
        <w:rPr>
          <w:b w:val="1"/>
          <w:color w:val="000000"/>
          <w:sz w:val="26"/>
          <w:szCs w:val="26"/>
          <w:rtl w:val="0"/>
        </w:rPr>
        <w:t xml:space="preserve">Regras do Basquete: Detalhes e Explicações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5goau7aoxisf" w:id="1"/>
      <w:bookmarkEnd w:id="1"/>
      <w:r w:rsidDel="00000000" w:rsidR="00000000" w:rsidRPr="00000000">
        <w:rPr>
          <w:b w:val="1"/>
          <w:color w:val="000000"/>
          <w:sz w:val="22"/>
          <w:szCs w:val="22"/>
          <w:rtl w:val="0"/>
        </w:rPr>
        <w:t xml:space="preserve">Regras Gerais e Jogo</w:t>
      </w:r>
    </w:p>
    <w:p w:rsidR="00000000" w:rsidDel="00000000" w:rsidP="00000000" w:rsidRDefault="00000000" w:rsidRPr="00000000" w14:paraId="00000003">
      <w:pPr>
        <w:spacing w:after="240" w:before="240" w:lineRule="auto"/>
        <w:rPr/>
      </w:pPr>
      <w:r w:rsidDel="00000000" w:rsidR="00000000" w:rsidRPr="00000000">
        <w:rPr>
          <w:rtl w:val="0"/>
        </w:rPr>
        <w:t xml:space="preserve">As regras do basquete, baseadas nas normas oficiais da FIBA de 2024, regem aspectos como dribles, posicionamento, faltas e tempos. O jogo é dividido em 4 períodos de 10 minutos, com intervalos de 2 minutos entre períodos e 15 minutos no intervalo. Timeouts são limitados a 2 no primeiro tempo e 3 no segundo, cada um de 1 minuto, com um relógio de posse de 24 segundos para arremessos.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l5u2dvs4vhrq" w:id="2"/>
      <w:bookmarkEnd w:id="2"/>
      <w:r w:rsidDel="00000000" w:rsidR="00000000" w:rsidRPr="00000000">
        <w:rPr>
          <w:b w:val="1"/>
          <w:color w:val="000000"/>
          <w:sz w:val="22"/>
          <w:szCs w:val="22"/>
          <w:rtl w:val="0"/>
        </w:rPr>
        <w:t xml:space="preserve">Dribles</w:t>
      </w:r>
    </w:p>
    <w:p w:rsidR="00000000" w:rsidDel="00000000" w:rsidP="00000000" w:rsidRDefault="00000000" w:rsidRPr="00000000" w14:paraId="00000005">
      <w:pPr>
        <w:spacing w:after="240" w:before="240" w:lineRule="auto"/>
        <w:rPr/>
      </w:pPr>
      <w:r w:rsidDel="00000000" w:rsidR="00000000" w:rsidRPr="00000000">
        <w:rPr>
          <w:rtl w:val="0"/>
        </w:rPr>
        <w:t xml:space="preserve">Um jogador deve quicar a bola continuamente com uma mão enquanto se move, sem tocar com ambas as mãos simultaneamente durante o drible. Se parar de driblar, não pode recomeçar, e violações como drible duplo (retomar após segurar a bola) ou carregar a bola (colocar a mão sob a bola) resultam em perda de posse.</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23jgvwtf0nnf" w:id="3"/>
      <w:bookmarkEnd w:id="3"/>
      <w:r w:rsidDel="00000000" w:rsidR="00000000" w:rsidRPr="00000000">
        <w:rPr>
          <w:b w:val="1"/>
          <w:color w:val="000000"/>
          <w:sz w:val="22"/>
          <w:szCs w:val="22"/>
          <w:rtl w:val="0"/>
        </w:rPr>
        <w:t xml:space="preserve">Posição dos Jogadores</w:t>
      </w:r>
    </w:p>
    <w:p w:rsidR="00000000" w:rsidDel="00000000" w:rsidP="00000000" w:rsidRDefault="00000000" w:rsidRPr="00000000" w14:paraId="00000007">
      <w:pPr>
        <w:spacing w:after="240" w:before="240" w:lineRule="auto"/>
        <w:rPr/>
      </w:pPr>
      <w:r w:rsidDel="00000000" w:rsidR="00000000" w:rsidRPr="00000000">
        <w:rPr>
          <w:rtl w:val="0"/>
        </w:rPr>
        <w:t xml:space="preserve">Durante lances livres, jogadores devem estar atrás da linha de lance livre e da linha de divisão até a bola ser lançada. No salto inicial, posições específicas são designadas no círculo central. Em jogo normal, não há posições fixas, mas jogadores ofensivos não podem ficar na área restrita por mais de três segundos consecutivos enquanto sua equipe tem posse.</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visztlmkhw9" w:id="4"/>
      <w:bookmarkEnd w:id="4"/>
      <w:r w:rsidDel="00000000" w:rsidR="00000000" w:rsidRPr="00000000">
        <w:rPr>
          <w:b w:val="1"/>
          <w:color w:val="000000"/>
          <w:sz w:val="22"/>
          <w:szCs w:val="22"/>
          <w:rtl w:val="0"/>
        </w:rPr>
        <w:t xml:space="preserve">Regras de Andar</w:t>
      </w:r>
    </w:p>
    <w:p w:rsidR="00000000" w:rsidDel="00000000" w:rsidP="00000000" w:rsidRDefault="00000000" w:rsidRPr="00000000" w14:paraId="00000009">
      <w:pPr>
        <w:spacing w:after="240" w:before="240" w:lineRule="auto"/>
        <w:rPr/>
      </w:pPr>
      <w:r w:rsidDel="00000000" w:rsidR="00000000" w:rsidRPr="00000000">
        <w:rPr>
          <w:rtl w:val="0"/>
        </w:rPr>
        <w:t xml:space="preserve">Um jogador com a bola pode dar no máximo dois passos sem driblar e, ao parar, pode pivotar sobre um pé (pivô), mantendo o outro fixo. Andar ilegalmente (traveling) ocorre com passos extras ou mover o pé de apoio incorretamente, resultando em violação.</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w9k7sevazzxi" w:id="5"/>
      <w:bookmarkEnd w:id="5"/>
      <w:r w:rsidDel="00000000" w:rsidR="00000000" w:rsidRPr="00000000">
        <w:rPr>
          <w:b w:val="1"/>
          <w:color w:val="000000"/>
          <w:sz w:val="22"/>
          <w:szCs w:val="22"/>
          <w:rtl w:val="0"/>
        </w:rPr>
        <w:t xml:space="preserve">Faltas</w:t>
      </w:r>
    </w:p>
    <w:p w:rsidR="00000000" w:rsidDel="00000000" w:rsidP="00000000" w:rsidRDefault="00000000" w:rsidRPr="00000000" w14:paraId="0000000B">
      <w:pPr>
        <w:spacing w:after="240" w:before="240" w:lineRule="auto"/>
        <w:rPr/>
      </w:pPr>
      <w:r w:rsidDel="00000000" w:rsidR="00000000" w:rsidRPr="00000000">
        <w:rPr>
          <w:rtl w:val="0"/>
        </w:rPr>
        <w:t xml:space="preserve">Faltas pessoais incluem contatos ilegais como empurrar ou segurar, podendo resultar em lances livres (1, 2 ou 3, dependendo da situação) ou perda de posse. Faltas técnicas, por comportamento antidesportivo como xingar árbitros, resultam em um lance livre para o adversário. Faltas desqualificantes, por ações flagrantes, levam à expulsão, com o jogador saindo após cinco faltas pessoais.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dym5u4up0vsj" w:id="6"/>
      <w:bookmarkEnd w:id="6"/>
      <w:r w:rsidDel="00000000" w:rsidR="00000000" w:rsidRPr="00000000">
        <w:rPr>
          <w:b w:val="1"/>
          <w:color w:val="000000"/>
          <w:sz w:val="22"/>
          <w:szCs w:val="22"/>
          <w:rtl w:val="0"/>
        </w:rPr>
        <w:t xml:space="preserve">Papel do Técnico</w:t>
      </w:r>
    </w:p>
    <w:p w:rsidR="00000000" w:rsidDel="00000000" w:rsidP="00000000" w:rsidRDefault="00000000" w:rsidRPr="00000000" w14:paraId="0000000D">
      <w:pPr>
        <w:spacing w:after="240" w:before="240" w:lineRule="auto"/>
        <w:rPr/>
      </w:pPr>
      <w:r w:rsidDel="00000000" w:rsidR="00000000" w:rsidRPr="00000000">
        <w:rPr>
          <w:rtl w:val="0"/>
        </w:rPr>
        <w:t xml:space="preserve">O técnico (treinador) pode chamar timeouts, é responsável pela conduta da equipe e pode ser penalizado com faltas técnicas por mau comportamento. Cada equipe pode ter até 12 jogadores e uma delegação de até 8 pessoas, incluindo assistentes.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ydavqn7nb7w6" w:id="7"/>
      <w:bookmarkEnd w:id="7"/>
      <w:r w:rsidDel="00000000" w:rsidR="00000000" w:rsidRPr="00000000">
        <w:rPr>
          <w:b w:val="1"/>
          <w:color w:val="000000"/>
          <w:sz w:val="22"/>
          <w:szCs w:val="22"/>
          <w:rtl w:val="0"/>
        </w:rPr>
        <w:t xml:space="preserve">Pontuação</w:t>
      </w:r>
    </w:p>
    <w:p w:rsidR="00000000" w:rsidDel="00000000" w:rsidP="00000000" w:rsidRDefault="00000000" w:rsidRPr="00000000" w14:paraId="0000000F">
      <w:pPr>
        <w:spacing w:after="240" w:before="240" w:lineRule="auto"/>
        <w:rPr/>
      </w:pPr>
      <w:r w:rsidDel="00000000" w:rsidR="00000000" w:rsidRPr="00000000">
        <w:rPr>
          <w:rtl w:val="0"/>
        </w:rPr>
        <w:t xml:space="preserve">Cestas dentro da linha de 3 pontos valem 2 pontos, além dela valem 3 pontos, e lances livres valem 1 ponto. A bola deve atravessar o aro completamente para validar a cesta.</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a1gdm1v3rvoz" w:id="8"/>
      <w:bookmarkEnd w:id="8"/>
      <w:r w:rsidDel="00000000" w:rsidR="00000000" w:rsidRPr="00000000">
        <w:rPr>
          <w:b w:val="1"/>
          <w:color w:val="000000"/>
          <w:sz w:val="22"/>
          <w:szCs w:val="22"/>
          <w:rtl w:val="0"/>
        </w:rPr>
        <w:t xml:space="preserve">Início e Arremessos</w:t>
      </w:r>
    </w:p>
    <w:p w:rsidR="00000000" w:rsidDel="00000000" w:rsidP="00000000" w:rsidRDefault="00000000" w:rsidRPr="00000000" w14:paraId="00000011">
      <w:pPr>
        <w:spacing w:after="240" w:before="240" w:lineRule="auto"/>
        <w:rPr/>
      </w:pPr>
      <w:r w:rsidDel="00000000" w:rsidR="00000000" w:rsidRPr="00000000">
        <w:rPr>
          <w:rtl w:val="0"/>
        </w:rPr>
        <w:t xml:space="preserve">O jogo começa com um salto inicial no centro da quadra, onde dois jogadores disputam a posse. Arremessos de campo devem ser tentados dentro de 24 segundos, com lances livres concedidos por faltas em tentativas. Interferência na cesta (goaltending) é proibida quando a bola está em trajetória descendente.</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2g9520i0vufw" w:id="9"/>
      <w:bookmarkEnd w:id="9"/>
      <w:r w:rsidDel="00000000" w:rsidR="00000000" w:rsidRPr="00000000">
        <w:rPr>
          <w:b w:val="1"/>
          <w:color w:val="000000"/>
          <w:sz w:val="22"/>
          <w:szCs w:val="22"/>
          <w:rtl w:val="0"/>
        </w:rPr>
        <w:t xml:space="preserve">Uniformes e Equipamentos</w:t>
      </w:r>
    </w:p>
    <w:p w:rsidR="00000000" w:rsidDel="00000000" w:rsidP="00000000" w:rsidRDefault="00000000" w:rsidRPr="00000000" w14:paraId="00000013">
      <w:pPr>
        <w:spacing w:after="240" w:before="240" w:lineRule="auto"/>
        <w:rPr/>
      </w:pPr>
      <w:r w:rsidDel="00000000" w:rsidR="00000000" w:rsidRPr="00000000">
        <w:rPr>
          <w:rtl w:val="0"/>
        </w:rPr>
        <w:t xml:space="preserve">Os uniformes</w:t>
      </w:r>
      <w:r w:rsidDel="00000000" w:rsidR="00000000" w:rsidRPr="00000000">
        <w:rPr>
          <w:rtl w:val="0"/>
        </w:rPr>
        <w:t xml:space="preserve"> devem ter camisas com números de 0 a 99, cores idênticas para a equipe, sem objetos perigosos como brincos. A quadra mede 28m x 15m para ambos os gêneros, com aro de 45cm de diâmetro e 3,05m de altura, e tabela de 1,80m x 1,20m. A bola para homens tem circunferência de 74,9-78cm e peso de 567-650g; para mulheres, 72,4-73,7cm e 510-567g.</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eml66wqw7h51" w:id="10"/>
      <w:bookmarkEnd w:id="10"/>
      <w:r w:rsidDel="00000000" w:rsidR="00000000" w:rsidRPr="00000000">
        <w:rPr>
          <w:b w:val="1"/>
          <w:color w:val="000000"/>
          <w:sz w:val="22"/>
          <w:szCs w:val="22"/>
          <w:rtl w:val="0"/>
        </w:rPr>
        <w:t xml:space="preserve">Evolução das Regras</w:t>
      </w:r>
    </w:p>
    <w:p w:rsidR="00000000" w:rsidDel="00000000" w:rsidP="00000000" w:rsidRDefault="00000000" w:rsidRPr="00000000" w14:paraId="00000015">
      <w:pPr>
        <w:spacing w:after="240" w:before="240" w:lineRule="auto"/>
        <w:rPr/>
      </w:pPr>
      <w:r w:rsidDel="00000000" w:rsidR="00000000" w:rsidRPr="00000000">
        <w:rPr>
          <w:rtl w:val="0"/>
        </w:rPr>
        <w:t xml:space="preserve">Regras de tamanho, proporção e uniformes alteraram com o tempo. A quadra foi padronizada em 28x15m em 1956, a linha de 3 pontos introduzida em 1984 (6,25m, ajustada para 6,75m em 2010), e o tamanho da bola para mulheres adotado na década de 1970. Os uniformes evoluíram para materiais sintéticos nos anos 1980, com mais personalização recente, enquanto o relógio de posse foi reduzido para 24 segundos em 2000.</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95wknfhm3h3k" w:id="11"/>
      <w:bookmarkEnd w:id="11"/>
      <w:r w:rsidDel="00000000" w:rsidR="00000000" w:rsidRPr="00000000">
        <w:rPr>
          <w:b w:val="1"/>
          <w:color w:val="000000"/>
          <w:sz w:val="26"/>
          <w:szCs w:val="26"/>
          <w:rtl w:val="0"/>
        </w:rPr>
        <w:t xml:space="preserve">Survey Note: Análise Detalhada das Regras do Basquete</w:t>
      </w:r>
    </w:p>
    <w:p w:rsidR="00000000" w:rsidDel="00000000" w:rsidP="00000000" w:rsidRDefault="00000000" w:rsidRPr="00000000" w14:paraId="00000018">
      <w:pPr>
        <w:spacing w:after="240" w:before="240" w:lineRule="auto"/>
        <w:rPr/>
      </w:pPr>
      <w:r w:rsidDel="00000000" w:rsidR="00000000" w:rsidRPr="00000000">
        <w:rPr>
          <w:rtl w:val="0"/>
        </w:rPr>
        <w:t xml:space="preserve">Esta seção expande os detalhes das regras do basquete, com base nas normas oficiais da FIBA de 2024, válidas desde 1º de outubro de 2024, e reflete informações até 2 de junho de 2025. A análise inclui aspectos históricos e técnicos, organizados para oferecer uma visão completa.</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vgi6kf7p3b46" w:id="12"/>
      <w:bookmarkEnd w:id="12"/>
      <w:r w:rsidDel="00000000" w:rsidR="00000000" w:rsidRPr="00000000">
        <w:rPr>
          <w:b w:val="1"/>
          <w:color w:val="000000"/>
          <w:sz w:val="22"/>
          <w:szCs w:val="22"/>
          <w:rtl w:val="0"/>
        </w:rPr>
        <w:t xml:space="preserve">Estrutura do Jogo e Tempo</w:t>
      </w:r>
    </w:p>
    <w:p w:rsidR="00000000" w:rsidDel="00000000" w:rsidP="00000000" w:rsidRDefault="00000000" w:rsidRPr="00000000" w14:paraId="0000001A">
      <w:pPr>
        <w:spacing w:after="240" w:before="240" w:lineRule="auto"/>
        <w:rPr/>
      </w:pPr>
      <w:r w:rsidDel="00000000" w:rsidR="00000000" w:rsidRPr="00000000">
        <w:rPr>
          <w:rtl w:val="0"/>
        </w:rPr>
        <w:t xml:space="preserve">O jogo é estruturado em quatro períodos de 10 minutos cada, com intervalos de 2 minutos entre períodos e 15 minutos no intervalo principal. Overtimes, se necessários, duram 5 minutos cada. Timeouts são limitados a 2 no primeiro tempo e 3 no segundo, cada um de 1 minuto, com regras específicas para os últimos 2 minutos do quarto período, incluindo novas linhas de arremesso introduzidas em 2024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O relógio de posse de 24 segundos, adotado em 2000, exige tentativa de arremesso dentro desse tempo, resetando para 14 segundos em certas condições.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38a59fj4zx3j" w:id="13"/>
      <w:bookmarkEnd w:id="13"/>
      <w:r w:rsidDel="00000000" w:rsidR="00000000" w:rsidRPr="00000000">
        <w:rPr>
          <w:b w:val="1"/>
          <w:color w:val="000000"/>
          <w:sz w:val="22"/>
          <w:szCs w:val="22"/>
          <w:rtl w:val="0"/>
        </w:rPr>
        <w:t xml:space="preserve">Regras de Dribles</w:t>
      </w:r>
    </w:p>
    <w:p w:rsidR="00000000" w:rsidDel="00000000" w:rsidP="00000000" w:rsidRDefault="00000000" w:rsidRPr="00000000" w14:paraId="0000001E">
      <w:pPr>
        <w:spacing w:after="240" w:before="240" w:lineRule="auto"/>
        <w:rPr/>
      </w:pPr>
      <w:r w:rsidDel="00000000" w:rsidR="00000000" w:rsidRPr="00000000">
        <w:rPr>
          <w:rtl w:val="0"/>
        </w:rPr>
        <w:t xml:space="preserve">Driblar envolve quicar a bola continuamente com uma mão, sem tocar com ambas simultaneamente, conforme Artigo 21 das regras. Um jogador que para de driblar perde o direito de recomeçar, devendo passar ou arremessar antes de mover o pé de pivô. Violações incluem drible duplo (retomar após segurar a bola) e carregar a bola (colocar a mão sob a bola), resultando em perda de posse. Historicamente, essas regras têm sido consistentes, com ajustes para clareza em edições recentes.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84x0w5qckyht" w:id="14"/>
      <w:bookmarkEnd w:id="14"/>
      <w:r w:rsidDel="00000000" w:rsidR="00000000" w:rsidRPr="00000000">
        <w:rPr>
          <w:b w:val="1"/>
          <w:color w:val="000000"/>
          <w:sz w:val="22"/>
          <w:szCs w:val="22"/>
          <w:rtl w:val="0"/>
        </w:rPr>
        <w:t xml:space="preserve">Posicionamento dos Jogadores</w:t>
      </w:r>
    </w:p>
    <w:p w:rsidR="00000000" w:rsidDel="00000000" w:rsidP="00000000" w:rsidRDefault="00000000" w:rsidRPr="00000000" w14:paraId="00000020">
      <w:pPr>
        <w:spacing w:after="240" w:before="240" w:lineRule="auto"/>
        <w:rPr/>
      </w:pPr>
      <w:r w:rsidDel="00000000" w:rsidR="00000000" w:rsidRPr="00000000">
        <w:rPr>
          <w:rtl w:val="0"/>
        </w:rPr>
        <w:t xml:space="preserve">Posicionamento é crucial em situações específicas, como lances livres (jogadores atrás da linha de lance livre e divisão até a bola ser lançada) e salto inicial (posições designadas no círculo central). Em jogo normal, a regra dos três segundos (Artigo 24) proíbe jogadores ofensivos de ficarem na área restrita por mais de três segundos consecutivos com posse de bola no frontcourt. Não há regra de três segundos defensiva na FIBA, diferentemente da NBA, mantendo flexibilidade no posicionamento.</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74r651riqb53" w:id="15"/>
      <w:bookmarkEnd w:id="15"/>
      <w:r w:rsidDel="00000000" w:rsidR="00000000" w:rsidRPr="00000000">
        <w:rPr>
          <w:b w:val="1"/>
          <w:color w:val="000000"/>
          <w:sz w:val="22"/>
          <w:szCs w:val="22"/>
          <w:rtl w:val="0"/>
        </w:rPr>
        <w:t xml:space="preserve">Regras de Andar</w:t>
      </w:r>
    </w:p>
    <w:p w:rsidR="00000000" w:rsidDel="00000000" w:rsidP="00000000" w:rsidRDefault="00000000" w:rsidRPr="00000000" w14:paraId="00000022">
      <w:pPr>
        <w:spacing w:after="240" w:before="240" w:lineRule="auto"/>
        <w:rPr/>
      </w:pPr>
      <w:r w:rsidDel="00000000" w:rsidR="00000000" w:rsidRPr="00000000">
        <w:rPr>
          <w:rtl w:val="0"/>
        </w:rPr>
        <w:t xml:space="preserve">Andar ilegal (traveling) ocorre quando um jogador dá mais de dois passos sem driblar ou move o pé de pivô incorretamente, conforme Artigo 25. Um jogador pode pivotar sobre um pé após parar, mas deve passar, arremessar ou recomeçar o drible antes de mover o pé de apoio. Essa regra visa manter o fluxo do jogo, com penalidades por violações resultando em posse para o adversário.</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fenhff1tt8us" w:id="16"/>
      <w:bookmarkEnd w:id="16"/>
      <w:r w:rsidDel="00000000" w:rsidR="00000000" w:rsidRPr="00000000">
        <w:rPr>
          <w:b w:val="1"/>
          <w:color w:val="000000"/>
          <w:sz w:val="22"/>
          <w:szCs w:val="22"/>
          <w:rtl w:val="0"/>
        </w:rPr>
        <w:t xml:space="preserve">Tipos de Faltas</w:t>
      </w:r>
    </w:p>
    <w:p w:rsidR="00000000" w:rsidDel="00000000" w:rsidP="00000000" w:rsidRDefault="00000000" w:rsidRPr="00000000" w14:paraId="00000024">
      <w:pPr>
        <w:spacing w:after="240" w:before="240" w:lineRule="auto"/>
        <w:rPr/>
      </w:pPr>
      <w:r w:rsidDel="00000000" w:rsidR="00000000" w:rsidRPr="00000000">
        <w:rPr>
          <w:rtl w:val="0"/>
        </w:rPr>
        <w:t xml:space="preserve">Faltas são detalhadas em vários artigos, com pessoais (Artigo 32) incluindo contatos como empurrar ou segurar, resultando em lances livres (1, 2 ou 3) ou posse, dependendo do contexto. Faltas técnicas (Artigo 36) cobrem comportamentos antidesportivos, como atrasar o jogo, com penalidade de um lance livre e posse. Faltas desqualificantes (Artigo 38) são para ações flagrantes, levando à expulsão após cinco faltas pessoais ou comportamentos graves. Mudanças recentes, como em 2024, expandiram o tempo para corrigir erros (Artigo 44), melhorando a precisão arbitral.</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nolk15l4h6rz" w:id="17"/>
      <w:bookmarkEnd w:id="17"/>
      <w:r w:rsidDel="00000000" w:rsidR="00000000" w:rsidRPr="00000000">
        <w:rPr>
          <w:b w:val="1"/>
          <w:color w:val="000000"/>
          <w:sz w:val="22"/>
          <w:szCs w:val="22"/>
          <w:rtl w:val="0"/>
        </w:rPr>
        <w:t xml:space="preserve">Papel do Técnico</w:t>
      </w:r>
    </w:p>
    <w:p w:rsidR="00000000" w:rsidDel="00000000" w:rsidP="00000000" w:rsidRDefault="00000000" w:rsidRPr="00000000" w14:paraId="00000026">
      <w:pPr>
        <w:spacing w:after="240" w:before="240" w:lineRule="auto"/>
        <w:rPr/>
      </w:pPr>
      <w:r w:rsidDel="00000000" w:rsidR="00000000" w:rsidRPr="00000000">
        <w:rPr>
          <w:rtl w:val="0"/>
        </w:rPr>
        <w:t xml:space="preserve">O técnico, conforme Artigo 4, lidera a equipe, podendo chamar timeouts e sendo responsável pela conduta. Faltas técnicas podem ser cobradas ao técnico por ações da bancada, com penalidades como um lance livre. A delegação inclui até 12 jogadores e 8 acompanhantes, incluindo assistentes, com regras claras para substituições e comportamento.</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uu937xs48yt8" w:id="18"/>
      <w:bookmarkEnd w:id="18"/>
      <w:r w:rsidDel="00000000" w:rsidR="00000000" w:rsidRPr="00000000">
        <w:rPr>
          <w:b w:val="1"/>
          <w:color w:val="000000"/>
          <w:sz w:val="22"/>
          <w:szCs w:val="22"/>
          <w:rtl w:val="0"/>
        </w:rPr>
        <w:t xml:space="preserve">Pontuação e Início</w:t>
      </w:r>
    </w:p>
    <w:p w:rsidR="00000000" w:rsidDel="00000000" w:rsidP="00000000" w:rsidRDefault="00000000" w:rsidRPr="00000000" w14:paraId="00000028">
      <w:pPr>
        <w:spacing w:after="240" w:before="240" w:lineRule="auto"/>
        <w:rPr/>
      </w:pPr>
      <w:r w:rsidDel="00000000" w:rsidR="00000000" w:rsidRPr="00000000">
        <w:rPr>
          <w:rtl w:val="0"/>
        </w:rPr>
        <w:t xml:space="preserve">Pontuação segue Artigo 2, com 2 pontos para cestas dentro da linha de 3 pontos (6,75m do aro), 3 pontos além dela, e 1 ponto por lance livre. O início do jogo, conforme Artigo 9, é com salto inicial no centro, com dois jogadores disputando a posse, e regras específicas para posicionamento e toque na bola.</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fmtwxx78t7wf" w:id="19"/>
      <w:bookmarkEnd w:id="19"/>
      <w:r w:rsidDel="00000000" w:rsidR="00000000" w:rsidRPr="00000000">
        <w:rPr>
          <w:b w:val="1"/>
          <w:color w:val="000000"/>
          <w:sz w:val="22"/>
          <w:szCs w:val="22"/>
          <w:rtl w:val="0"/>
        </w:rPr>
        <w:t xml:space="preserve">Arremessos e Equipamentos</w:t>
      </w:r>
    </w:p>
    <w:p w:rsidR="00000000" w:rsidDel="00000000" w:rsidP="00000000" w:rsidRDefault="00000000" w:rsidRPr="00000000" w14:paraId="0000002A">
      <w:pPr>
        <w:spacing w:after="240" w:before="240" w:lineRule="auto"/>
        <w:rPr/>
      </w:pPr>
      <w:r w:rsidDel="00000000" w:rsidR="00000000" w:rsidRPr="00000000">
        <w:rPr>
          <w:rtl w:val="0"/>
        </w:rPr>
        <w:t xml:space="preserve">Arremessos de campo devem ser tentados dentro de 24 segundos (Artigo 28), com lances livres detalhados em Artigo 43, incluindo regras para violações como tocar a linha antes do lançamento. Os equipamentos, conforme Artigo 3, incluem quadra de 28m x 15m, aro de 45cm de diâmetro a 3,05m de altura, e tabela de 1,80m x 1,20m, iguais para homens e mulheres. A bola varia: masculino (74,9-78cm, 567-650g), feminino (72,4-73,7cm, 510-567g), refletindo diferenças históricas desde a década de 1970.</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1rz3u179ggql" w:id="20"/>
      <w:bookmarkEnd w:id="20"/>
      <w:r w:rsidDel="00000000" w:rsidR="00000000" w:rsidRPr="00000000">
        <w:rPr>
          <w:b w:val="1"/>
          <w:color w:val="000000"/>
          <w:sz w:val="22"/>
          <w:szCs w:val="22"/>
          <w:rtl w:val="0"/>
        </w:rPr>
        <w:t xml:space="preserve">Uniformes</w:t>
      </w:r>
    </w:p>
    <w:p w:rsidR="00000000" w:rsidDel="00000000" w:rsidP="00000000" w:rsidRDefault="00000000" w:rsidRPr="00000000" w14:paraId="0000002C">
      <w:pPr>
        <w:spacing w:after="240" w:before="240" w:lineRule="auto"/>
        <w:rPr/>
      </w:pPr>
      <w:r w:rsidDel="00000000" w:rsidR="00000000" w:rsidRPr="00000000">
        <w:rPr>
          <w:rtl w:val="0"/>
        </w:rPr>
        <w:t xml:space="preserve">Uniformes, conforme Artigo 4, exigem camisas com números de 0 a 99, cores idênticas, sem objetos perigosos. Evoluíram de algodão nos anos 1970 para materiais sintéticos, com mais personalização em logotipos nas últimas décadas, mantendo segurança e uniformidade.</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md9g54ay9gmi" w:id="21"/>
      <w:bookmarkEnd w:id="21"/>
      <w:r w:rsidDel="00000000" w:rsidR="00000000" w:rsidRPr="00000000">
        <w:rPr>
          <w:b w:val="1"/>
          <w:color w:val="000000"/>
          <w:sz w:val="22"/>
          <w:szCs w:val="22"/>
          <w:rtl w:val="0"/>
        </w:rPr>
        <w:t xml:space="preserve">Histórico de Mudanças</w:t>
      </w:r>
    </w:p>
    <w:p w:rsidR="00000000" w:rsidDel="00000000" w:rsidP="00000000" w:rsidRDefault="00000000" w:rsidRPr="00000000" w14:paraId="0000002E">
      <w:pPr>
        <w:spacing w:after="240" w:before="240" w:lineRule="auto"/>
        <w:rPr/>
      </w:pPr>
      <w:r w:rsidDel="00000000" w:rsidR="00000000" w:rsidRPr="00000000">
        <w:rPr>
          <w:rtl w:val="0"/>
        </w:rPr>
        <w:t xml:space="preserve">Regras de tamanho e proporção alteraram ao longo do tempo. A quadra foi padronizada em 28x15m em 1956, a linha de 3 pontos introduzida em 1984 a 6,25m, ajustada para 6,75m em 2010</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71ysy09p8nz5" w:id="22"/>
      <w:bookmarkEnd w:id="22"/>
      <w:r w:rsidDel="00000000" w:rsidR="00000000" w:rsidRPr="00000000">
        <w:rPr>
          <w:b w:val="1"/>
          <w:color w:val="000000"/>
          <w:sz w:val="22"/>
          <w:szCs w:val="22"/>
          <w:rtl w:val="0"/>
        </w:rPr>
        <w:t xml:space="preserve">Tabela Resumo de Dimensões</w:t>
      </w:r>
    </w:p>
    <w:tbl>
      <w:tblPr>
        <w:tblStyle w:val="Table1"/>
        <w:tblW w:w="5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gridCol w:w="1685"/>
        <w:gridCol w:w="1685"/>
        <w:tblGridChange w:id="0">
          <w:tblGrid>
            <w:gridCol w:w="2285"/>
            <w:gridCol w:w="1685"/>
            <w:gridCol w:w="16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Masculino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Feminino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Quadra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28m x 15m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28m x 15m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Aro (diâmetro/altura)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45cm, 3,05m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45cm, 3,05m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Tabela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1,80m x 1,20m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1,80m x 1,20m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Bola (circunferência)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74,9-78cm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72,4-73,7cm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Bola (peso)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567-650g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510-567g</w:t>
            </w:r>
          </w:p>
        </w:tc>
      </w:tr>
    </w:tbl>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