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
        <w:t>By the ANIMA author team</w:t>
      </w:r>
    </w:p>
    <w:p>
      <w:pPr>
        <w:pStyle w:val="Heading2"/>
        <w:numPr>
          <w:ilvl w:val="1"/>
          <w:numId w:val="3"/>
        </w:numPr>
        <w:bidi w:val="0"/>
        <w:jc w:val="left"/>
        <w:rPr/>
      </w:pPr>
      <w:r>
        <w:rPr/>
        <w:t>Introduction</w:t>
      </w:r>
    </w:p>
    <w:p>
      <w:pPr>
        <w:pStyle w:val="TextBody"/>
        <w:rPr>
          <w:rFonts w:ascii="Times New Roman" w:hAnsi="Times New Roman"/>
          <w:sz w:val="24"/>
          <w:szCs w:val="24"/>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result of the work of the “Autonomic Networking Integrated Model and Approach” (ANIMA) working group of the IETF. These RFCs complete the initial charter of that working group, which was started in late 2014 (see [11] for a summary of its inception ). This foundation allows the industry to build IETF-standardized network solutions for an “Autonomic Networking Infrastructure” (ANI) into every network device.</w:t>
      </w:r>
    </w:p>
    <w:p>
      <w:pPr>
        <w:pStyle w:val="TextBody"/>
        <w:rPr>
          <w:rFonts w:ascii="Times New Roman" w:hAnsi="Times New Roman"/>
          <w:sz w:val="24"/>
          <w:szCs w:val="24"/>
        </w:rPr>
      </w:pPr>
      <w:r>
        <w:rPr>
          <w:rFonts w:ascii="Times New Roman" w:hAnsi="Times New Roman"/>
          <w:sz w:val="24"/>
          <w:szCs w:val="24"/>
        </w:rPr>
        <w:t>What is this all about? One way to sum it up is “plug and play” for the network. This can mean “plug and play for the ISP” or “for the enterprise.”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TextBody"/>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w:t>
      </w:r>
      <w:commentRangeStart w:id="0"/>
      <w:r>
        <w:rPr>
          <w:rFonts w:ascii="Times New Roman" w:hAnsi="Times New Roman"/>
          <w:sz w:val="24"/>
          <w:szCs w:val="24"/>
        </w:rPr>
        <w:t xml:space="preserve">(sometimes called self-X). </w:t>
      </w:r>
      <w:r>
        <w:rPr>
          <w:rFonts w:ascii="Times New Roman" w:hAnsi="Times New Roman"/>
          <w:sz w:val="24"/>
          <w:szCs w:val="24"/>
        </w:rPr>
      </w:r>
      <w:commentRangeEnd w:id="0"/>
      <w:r>
        <w:commentReference w:id="0"/>
      </w:r>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rFonts w:ascii="Times New Roman" w:hAnsi="Times New Roman"/>
          <w:sz w:val="24"/>
          <w:szCs w:val="24"/>
        </w:rPr>
      </w:pPr>
      <w:r>
        <w:rPr>
          <w:rFonts w:ascii="Times New Roman" w:hAnsi="Times New Roman"/>
          <w:sz w:val="24"/>
          <w:szCs w:val="24"/>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 since their original deployment,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standardized about 50 YANG modules, each of which contains sub-modules and many individual parameters.</w:t>
      </w:r>
      <w:r>
        <w:rPr/>
        <w:commentReference w:id="1"/>
      </w:r>
      <w:r>
        <w:rPr>
          <w:rFonts w:ascii="Times New Roman" w:hAnsi="Times New Roman"/>
          <w:sz w:val="24"/>
          <w:szCs w:val="24"/>
        </w:rPr>
        <w:t>)</w:t>
      </w:r>
    </w:p>
    <w:p>
      <w:pPr>
        <w:pStyle w:val="TextBody"/>
        <w:rPr>
          <w:rFonts w:ascii="Times New Roman" w:hAnsi="Times New Roman"/>
          <w:sz w:val="24"/>
          <w:szCs w:val="24"/>
        </w:rPr>
      </w:pPr>
      <w:r>
        <w:rPr>
          <w:rFonts w:ascii="Times New Roman" w:hAnsi="Times New Roman"/>
          <w:sz w:val="24"/>
          <w:szCs w:val="24"/>
        </w:rPr>
        <w:t>In today’s networks, these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but only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
        <w:t xml:space="preserve"> In the metaphor of a network being a car, Figure 1 shows how today’s networks are driven, and how ANIMA would like them to be.</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
        <w:t>Figure 1: The automobile metaphor</w:t>
      </w:r>
    </w:p>
    <w:p>
      <w:pPr>
        <w:pStyle w:val="TextBody"/>
        <w:rPr>
          <w:rFonts w:ascii="Times New Roman" w:hAnsi="Times New Roman"/>
          <w:color w:val="C9211E"/>
          <w:sz w:val="24"/>
          <w:szCs w:val="24"/>
        </w:rPr>
      </w:pPr>
      <w:r>
        <w:rPr>
          <w:rFonts w:ascii="Times New Roman" w:hAnsi="Times New Roman"/>
          <w:color w:val="C9211E"/>
          <w:sz w:val="24"/>
          <w:szCs w:val="24"/>
        </w:rPr>
        <w:t xml:space="preserve">The </w:t>
      </w:r>
      <w:r>
        <w:rPr>
          <w:rFonts w:eastAsia="Times New Roman" w:cs="Times New Roman" w:ascii="Times New Roman" w:hAnsi="Times New Roman"/>
          <w:color w:val="C9211E"/>
          <w:kern w:val="0"/>
          <w:sz w:val="24"/>
          <w:szCs w:val="24"/>
          <w:lang w:val="en-US" w:eastAsia="en-US" w:bidi="ar-SA"/>
        </w:rPr>
        <w:t>risk</w:t>
      </w:r>
      <w:r>
        <w:rPr>
          <w:rFonts w:ascii="Times New Roman" w:hAnsi="Times New Roman"/>
          <w:color w:val="C9211E"/>
          <w:sz w:val="24"/>
          <w:szCs w:val="24"/>
        </w:rPr>
        <w:t xml:space="preserve"> is that this picture is totally outside the IPJ guidelines. Great for a slide show, but in case we can’t use it:</w:t>
      </w:r>
    </w:p>
    <w:p>
      <w:pPr>
        <w:pStyle w:val="TextBody"/>
        <w:rPr>
          <w:rFonts w:ascii="Times New Roman" w:hAnsi="Times New Roman"/>
          <w:sz w:val="24"/>
          <w:szCs w:val="24"/>
        </w:rPr>
      </w:pPr>
      <w:r>
        <w:rPr>
          <w:rFonts w:ascii="Times New Roman" w:hAnsi="Times New Roman"/>
          <w:color w:val="C9211E"/>
          <w:sz w:val="24"/>
          <w:szCs w:val="24"/>
        </w:rPr>
        <w:t>In the metaphor of a network being a car, today’s networks are childrens’ pedal cars guided from behind by an attentive parent, whereas ANIMA wants them to be like a self-driving taxi.</w:t>
      </w:r>
    </w:p>
    <w:p>
      <w:pPr>
        <w:pStyle w:val="TextBody"/>
        <w:rPr/>
      </w:pPr>
      <w:r>
        <w:rPr>
          <w:rFonts w:ascii="Times New Roman" w:hAnsi="Times New Roman"/>
          <w:sz w:val="24"/>
          <w:szCs w:val="24"/>
        </w:rPr>
        <w:t xml:space="preserve">Nevertheless, the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auto"/>
          <w:kern w:val="0"/>
          <w:sz w:val="24"/>
          <w:szCs w:val="24"/>
          <w:lang w:val="en-US" w:eastAsia="en-US" w:bidi="ar-SA"/>
        </w:rPr>
        <w:t>a</w:t>
      </w:r>
      <w:r>
        <w:rPr>
          <w:rFonts w:ascii="Times New Roman" w:hAnsi="Times New Roman"/>
          <w:sz w:val="24"/>
          <w:szCs w:val="24"/>
        </w:rPr>
        <w:t>utonomic networking infrastructure (ANI) as defined in the recent ANIMA RFCs is intended to provide the foundational building blocks. These building blocks are meant to fit seamlessly with existing network and SDN/OAM designs and to improve their managerial 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r>
        <w:rPr/>
        <w:commentReference w:id="2"/>
      </w:r>
      <w:r>
        <w:rPr/>
        <w:commentReference w:id="3"/>
      </w:r>
    </w:p>
    <w:p>
      <w:pPr>
        <w:pStyle w:val="Heading2"/>
        <w:numPr>
          <w:ilvl w:val="1"/>
          <w:numId w:val="2"/>
        </w:numPr>
        <w:rPr>
          <w:rFonts w:ascii="Liberation Sans" w:hAnsi="Liberation Sans"/>
        </w:rPr>
      </w:pPr>
      <w:r>
        <w:rPr>
          <w:rFonts w:ascii="Liberation Sans" w:hAnsi="Liberation Sans"/>
        </w:rPr>
        <w:t>What c</w:t>
      </w:r>
      <w:r>
        <w:rPr>
          <w:rFonts w:ascii="Liberation Sans" w:hAnsi="Liberation Sans"/>
        </w:rPr>
        <w:t>an the Autonomic Networking Infrastructure d</w:t>
      </w:r>
      <w:r>
        <w:rPr>
          <w:rFonts w:ascii="Liberation Sans" w:hAnsi="Liberation Sans"/>
        </w:rPr>
        <w:t>o for Y</w:t>
      </w:r>
      <w:r>
        <w:rPr>
          <w:rFonts w:ascii="Liberation Sans" w:hAnsi="Liberation Sans"/>
        </w:rPr>
        <w:t>ou ?</w:t>
      </w:r>
    </w:p>
    <w:p>
      <w:pPr>
        <w:pStyle w:val="TextBody"/>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r>
        <w:rPr>
          <w:rFonts w:ascii="Times New Roman" w:hAnsi="Times New Roman"/>
          <w:sz w:val="24"/>
          <w:szCs w:val="24"/>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NOC. This setup consists of only three simple steps:</w:t>
      </w:r>
    </w:p>
    <w:p>
      <w:pPr>
        <w:pStyle w:val="TextBody"/>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TextBody"/>
        <w:rPr>
          <w:rFonts w:ascii="Times New Roman" w:hAnsi="Times New Roman"/>
          <w:sz w:val="24"/>
          <w:szCs w:val="24"/>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Notebook for manual access or an SDN controller.</w:t>
      </w:r>
    </w:p>
    <w:p>
      <w:pPr>
        <w:pStyle w:val="TextBody"/>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 xml:space="preserve">egister the certificate of the registrar with the Manufacturer Authorized Signing Authority (MASA)  services of the vendors whose routers and switches are being used in the new network (we will see </w:t>
      </w:r>
      <w:r>
        <w:rPr>
          <w:rFonts w:eastAsia="Times New Roman" w:cs="Times New Roman" w:ascii="Times New Roman" w:hAnsi="Times New Roman"/>
          <w:color w:val="auto"/>
          <w:kern w:val="0"/>
          <w:sz w:val="24"/>
          <w:szCs w:val="24"/>
          <w:lang w:val="en-US" w:eastAsia="en-US" w:bidi="ar-SA"/>
        </w:rPr>
        <w:t>below</w:t>
      </w:r>
      <w:r>
        <w:rPr>
          <w:rFonts w:ascii="Times New Roman" w:hAnsi="Times New Roman"/>
          <w:sz w:val="24"/>
          <w:szCs w:val="24"/>
        </w:rPr>
        <w:t xml:space="preserve"> what that does)</w:t>
      </w:r>
      <w:r>
        <w:rPr/>
        <w:commentReference w:id="4"/>
      </w:r>
      <w:r>
        <w:rPr/>
        <w:t>.</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
        <w:t>Figure 2: An Example Autonomic Network</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Befor</w:t>
      </w:r>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r>
        <w:rPr>
          <w:rFonts w:eastAsia="Times New Roman" w:cs="Times New Roman" w:ascii="Times New Roman" w:hAnsi="Times New Roman"/>
          <w:color w:val="auto"/>
          <w:kern w:val="0"/>
          <w:sz w:val="24"/>
          <w:szCs w:val="24"/>
          <w:lang w:val="en-US" w:eastAsia="en-US" w:bidi="ar-SA"/>
        </w:rPr>
        <w:t>obtain</w:t>
      </w:r>
      <w:r>
        <w:rPr>
          <w:rFonts w:ascii="Times New Roman" w:hAnsi="Times New Roman"/>
          <w:sz w:val="24"/>
          <w:szCs w:val="24"/>
        </w:rPr>
        <w:t xml:space="preserve"> a connection with the ANI registrar and attempt to get enrolled with an ANI certificate by that ANI so it can participate in the ABI. But the registrar needs to prove that it ‘owns’ the ANI device. To do that, the registrar communicates (for example over the Internet) with the MASA of the vendor of that device. That MASA has the information that this pledge is actually owned by this registrar’s network and returns a security voucher back to the pledge, such that the pledge may now trust the registrar. It will therefore accept an ANI certificate from the registrar.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It is known as the Bootstrap of Remote Key Infrastructures (BRSKI) part of ANI.</w:t>
      </w:r>
    </w:p>
    <w:p>
      <w:pPr>
        <w:pStyle w:val="TextBody"/>
        <w:rPr>
          <w:rFonts w:ascii="Times New Roman" w:hAnsi="Times New Roman"/>
          <w:sz w:val="24"/>
          <w:szCs w:val="24"/>
        </w:rPr>
      </w:pPr>
      <w:r>
        <w:rPr>
          <w:rFonts w:ascii="Times New Roman" w:hAnsi="Times New Roman"/>
          <w:sz w:val="24"/>
          <w:szCs w:val="24"/>
        </w:rPr>
        <w:t>Once a new device is enrolled with an ANI certificate it begins to establish  an Autonomic Control Plane (ACP) connection with all its neighbors, authenticated and authorized mutually by the  devices’ ANI certificates. This too happens without any further handholding or configuration.</w:t>
      </w:r>
    </w:p>
    <w:p>
      <w:pPr>
        <w:pStyle w:val="TextBody"/>
        <w:rPr>
          <w:rFonts w:ascii="Times New Roman" w:hAnsi="Times New Roman"/>
          <w:sz w:val="24"/>
          <w:szCs w:val="24"/>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r>
        <w:rPr>
          <w:rFonts w:ascii="Times New Roman" w:hAnsi="Times New Roman"/>
          <w:sz w:val="24"/>
          <w:szCs w:val="24"/>
        </w:rPr>
        <w:t xml:space="preserve">  and the ANI registrar is connected last (after it was configured). Within minutes, all the devices will have run through BSKI,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result, the network operator now has IP</w:t>
      </w:r>
      <w:r>
        <w:rPr/>
        <w:commentReference w:id="5"/>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TextBody"/>
        <w:rPr>
          <w:rFonts w:ascii="Times New Roman" w:hAnsi="Times New Roman"/>
          <w:sz w:val="24"/>
          <w:szCs w:val="24"/>
        </w:rPr>
      </w:pPr>
      <w:r>
        <w:rPr>
          <w:rFonts w:ascii="Times New Roman" w:hAnsi="Times New Roman"/>
          <w:sz w:val="24"/>
          <w:szCs w:val="24"/>
        </w:rPr>
        <w:t xml:space="preserve">All ACP traffic is hop-by-encrypted, therefore also all management traffic that uses the ACP including any legacy, not end-to-end encrypted management protocol cannot be snooped or spoofed by an attacker (4.2). </w:t>
      </w:r>
    </w:p>
    <w:p>
      <w:pPr>
        <w:pStyle w:val="TextBody"/>
        <w:rPr>
          <w:rFonts w:ascii="Times New Roman" w:hAnsi="Times New Roman"/>
          <w:sz w:val="24"/>
          <w:szCs w:val="24"/>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would provide likely undesirable network connectivity to any hosts that attach, like some user or attacker notebook (4.3). Such an attached device would get no connectivity whatsoever. In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s to remotely provision the devices. In later stages, such provisioning will occur autonomically, as we shall see below.</w:t>
      </w:r>
    </w:p>
    <w:p>
      <w:pPr>
        <w:pStyle w:val="TextBody"/>
        <w:rPr>
          <w:rFonts w:ascii="Times New Roman" w:hAnsi="Times New Roman"/>
          <w:sz w:val="24"/>
          <w:szCs w:val="24"/>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TextBody"/>
        <w:rPr>
          <w:rFonts w:ascii="Times New Roman" w:hAnsi="Times New Roman"/>
          <w:sz w:val="24"/>
          <w:szCs w:val="24"/>
        </w:rPr>
      </w:pPr>
      <w:r>
        <w:rPr/>
        <w:commentReference w:id="6"/>
      </w:r>
    </w:p>
    <w:p>
      <w:pPr>
        <w:pStyle w:val="TextBody"/>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r>
        <w:rPr/>
        <w:t xml:space="preserve">According to various dictionaries, there are differences between the terms </w:t>
      </w:r>
      <w:r>
        <w:rPr>
          <w:i/>
          <w:iCs/>
        </w:rPr>
        <w:t>automatic, autonomous</w:t>
      </w:r>
      <w:r>
        <w:rPr>
          <w:i w:val="false"/>
          <w:iCs w:val="false"/>
        </w:rPr>
        <w:t xml:space="preserve"> and </w:t>
      </w:r>
      <w:r>
        <w:rPr>
          <w:i/>
          <w:iCs/>
        </w:rPr>
        <w:t>autonomic.</w:t>
      </w:r>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pPr>
      <w:r>
        <w:rPr>
          <w:i w:val="false"/>
          <w:iCs w:val="false"/>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pPr>
      <w:r>
        <w:rPr/>
        <w:t>Bootstrapping and trust infrastructure. This covers how nodes are authenticated and securely admitted to an autonomic network, and how they establish mutual trust.</w:t>
      </w:r>
    </w:p>
    <w:p>
      <w:pPr>
        <w:pStyle w:val="TextBody"/>
        <w:numPr>
          <w:ilvl w:val="0"/>
          <w:numId w:val="4"/>
        </w:numPr>
        <w:bidi w:val="0"/>
        <w:jc w:val="left"/>
        <w:rPr/>
      </w:pPr>
      <w:r>
        <w:rPr/>
        <w:t>Secure Autonomic Control Plane (ACP). This is an automatically constructed encrypted virtual network, containing only authenticated nodes that rightfully belong to a particular autonomic domain.</w:t>
      </w:r>
    </w:p>
    <w:p>
      <w:pPr>
        <w:pStyle w:val="TextBody"/>
        <w:numPr>
          <w:ilvl w:val="0"/>
          <w:numId w:val="4"/>
        </w:numPr>
        <w:bidi w:val="0"/>
        <w:jc w:val="left"/>
        <w:rPr/>
      </w:pPr>
      <w:r>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pPr>
      <w:r>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pPr>
      <w:r>
        <w:rPr/>
        <w:t>Autonomic functions operate by negotiating and synchronizing data with their peers in other nodes, and by directly configuring manageable devices in their own scope.</w:t>
      </w:r>
    </w:p>
    <w:p>
      <w:pPr>
        <w:pStyle w:val="TextBody"/>
        <w:numPr>
          <w:ilvl w:val="0"/>
          <w:numId w:val="4"/>
        </w:numPr>
        <w:bidi w:val="0"/>
        <w:jc w:val="left"/>
        <w:rPr/>
      </w:pPr>
      <w:r>
        <w:rPr/>
        <w:t>Discovery, synchronization and negotiation proceed by use of the GeneRic Autonomic Signaling Protocol (GRASP).</w:t>
      </w:r>
    </w:p>
    <w:p>
      <w:pPr>
        <w:pStyle w:val="TextBody"/>
        <w:numPr>
          <w:ilvl w:val="0"/>
          <w:numId w:val="4"/>
        </w:numPr>
        <w:bidi w:val="0"/>
        <w:jc w:val="left"/>
        <w:rPr/>
      </w:pPr>
      <w:r>
        <w:rPr/>
        <w:t>Autonomic service agents (ASAs) are composed of one or more autonomic functions.</w:t>
      </w:r>
    </w:p>
    <w:p>
      <w:pPr>
        <w:pStyle w:val="TextBody"/>
        <w:numPr>
          <w:ilvl w:val="0"/>
          <w:numId w:val="4"/>
        </w:numPr>
        <w:bidi w:val="0"/>
        <w:jc w:val="left"/>
        <w:rPr/>
      </w:pPr>
      <w:r>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pPr>
      <w:r>
        <w:rPr/>
        <w:t xml:space="preserve">Figure </w:t>
      </w:r>
      <w:r>
        <w:rPr>
          <w:rFonts w:eastAsia="NSimSun" w:cs="Arial"/>
          <w:color w:val="auto"/>
          <w:kern w:val="2"/>
          <w:sz w:val="24"/>
          <w:szCs w:val="24"/>
          <w:lang w:val="en-US" w:eastAsia="zh-CN" w:bidi="hi-IN"/>
        </w:rPr>
        <w:t>3</w:t>
      </w:r>
      <w:r>
        <w:rPr/>
        <w:t xml:space="preserve"> shows an outline of the model as a whole.</w:t>
      </w:r>
    </w:p>
    <w:p>
      <w:pPr>
        <w:pStyle w:val="TextBody"/>
        <w:numPr>
          <w:ilvl w:val="1"/>
          <w:numId w:val="3"/>
        </w:numPr>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numPr>
          <w:ilvl w:val="1"/>
          <w:numId w:val="3"/>
        </w:numPr>
        <w:rPr/>
      </w:pPr>
      <w:r>
        <w:rPr>
          <w:rFonts w:eastAsia="NSimSun" w:cs="Arial"/>
          <w:color w:val="auto"/>
          <w:kern w:val="2"/>
          <w:sz w:val="24"/>
          <w:szCs w:val="24"/>
          <w:lang w:val="en-US" w:eastAsia="zh-CN" w:bidi="hi-IN"/>
        </w:rPr>
        <w:t>Figure 3: Layered Model of Network with Autonomic Functions</w:t>
      </w:r>
    </w:p>
    <w:p>
      <w:pPr>
        <w:pStyle w:val="Heading2"/>
        <w:numPr>
          <w:ilvl w:val="1"/>
          <w:numId w:val="3"/>
        </w:numPr>
        <w:bidi w:val="0"/>
        <w:jc w:val="left"/>
        <w:rPr/>
      </w:pPr>
      <w:r>
        <w:rPr/>
        <w:t>Self-confi</w:t>
      </w:r>
      <w:r>
        <w:rPr>
          <w:rFonts w:eastAsia="Microsoft YaHei" w:cs="Arial"/>
          <w:b/>
          <w:bCs/>
          <w:color w:val="auto"/>
          <w:kern w:val="2"/>
          <w:sz w:val="32"/>
          <w:szCs w:val="32"/>
          <w:lang w:val="en-US" w:eastAsia="zh-CN" w:bidi="hi-IN"/>
        </w:rPr>
        <w:t>g</w:t>
      </w:r>
      <w:r>
        <w:rPr/>
        <w:t>uring Security</w:t>
      </w:r>
    </w:p>
    <w:p>
      <w:pPr>
        <w:pStyle w:val="TextBody"/>
        <w:bidi w:val="0"/>
        <w:jc w:val="left"/>
        <w:rPr/>
      </w:pPr>
      <w:r>
        <w:rPr/>
        <w:t xml:space="preserve">As mentioned above,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 by </w:t>
      </w:r>
      <w:r>
        <w:rPr>
          <w:rFonts w:eastAsia="NSimSun" w:cs="Arial"/>
          <w:color w:val="auto"/>
          <w:kern w:val="2"/>
          <w:sz w:val="24"/>
          <w:szCs w:val="24"/>
          <w:lang w:val="en-US" w:eastAsia="zh-CN" w:bidi="hi-IN"/>
        </w:rPr>
        <w:t>the</w:t>
      </w:r>
      <w:r>
        <w:rPr/>
        <w:t xml:space="preserve"> method known as BRSKI (pronounced “Brewski”, Bootstrapping Remote Secure Key Infrastructure</w:t>
      </w:r>
      <w:r>
        <w:rPr>
          <w:vertAlign w:val="superscript"/>
        </w:rPr>
        <w:t>[10]</w:t>
      </w:r>
      <w:r>
        <w:rPr/>
        <w:t>). This process uses manufacturer-installed X.509 certificates, in combination with a manufacturer’s authorizing service.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 proxies to find each other and the registrar. Only the registrar needs to be configured in advance.</w:t>
      </w:r>
    </w:p>
    <w:p>
      <w:pPr>
        <w:pStyle w:val="TextBody"/>
        <w:bidi w:val="0"/>
        <w:jc w:val="left"/>
        <w:rPr/>
      </w:pPr>
      <w:r>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Actual packet transmission occurs only as IPv6 link-local packets. This choice was made to ensure that there is no dependency on any pre-existing data plane (either IPv4 or IPv6), because autonomic functions must be able to operate </w:t>
      </w:r>
      <w:r>
        <w:rPr>
          <w:i/>
          <w:iCs/>
        </w:rPr>
        <w:t>even if the normal data plane and normal routing are broken.</w:t>
      </w:r>
      <w:r>
        <w:rPr>
          <w:i w:val="false"/>
          <w:iCs w:val="false"/>
        </w:rPr>
        <w:t xml:space="preserve"> All that is required is for each node to create its own IPv6 link-local address on each physical interface, as any modern network device does by default. The VRF consists of point-to-point IPv6 links and is secured using IPsec (IP Security) or DTLS (Datagram Transport Layer Security), both via IKEv2 (Internet Key Exchange Protocol Version 2).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pPr>
      <w:r>
        <w:rPr>
          <w:i w:val="false"/>
          <w:iCs w:val="false"/>
        </w:rPr>
        <w:t>After the secure control plane has configured itself in this way, the next stage is to bootstrap connectivity for network management. When this has been achieved, conventional mechanisms (such as an SDN controller) can already</w:t>
      </w:r>
      <w:r>
        <w:rPr/>
        <w:t xml:space="preserve"> reliably and securely reach remote nodes and configure them safely without risk of cutting themselves off. In addition, fully autonomic management mechanisms (i.e., ASAs) can start up.  To understand how this works, we need to give more details about the GRASP protocol.</w:t>
      </w:r>
    </w:p>
    <w:p>
      <w:pPr>
        <w:pStyle w:val="Heading2"/>
        <w:numPr>
          <w:ilvl w:val="1"/>
          <w:numId w:val="3"/>
        </w:numPr>
        <w:bidi w:val="0"/>
        <w:jc w:val="left"/>
        <w:rPr/>
      </w:pPr>
      <w:r>
        <w:rPr/>
        <w:t>GRASP</w:t>
      </w:r>
    </w:p>
    <w:p>
      <w:pPr>
        <w:pStyle w:val="TextBody"/>
        <w:bidi w:val="0"/>
        <w:jc w:val="left"/>
        <w:rPr/>
      </w:pPr>
      <w:r>
        <w:rPr/>
        <w:t>GRASP, the GeneRic Autonomic Signaling Protocol</w:t>
      </w:r>
      <w:r>
        <w:rPr>
          <w:vertAlign w:val="superscript"/>
        </w:rPr>
        <w:t>[5]</w:t>
      </w:r>
      <w:r>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i/>
          <w:iCs/>
        </w:rPr>
        <w:t>before</w:t>
      </w:r>
      <w:r>
        <w:rPr>
          <w:i w:val="false"/>
          <w:iCs w:val="false"/>
        </w:rPr>
        <w:t xml:space="preserve"> ACP security is in place, so they use a highly restricted subset of GRASP that is limited to specific link-local operations.</w:t>
      </w:r>
    </w:p>
    <w:p>
      <w:pPr>
        <w:pStyle w:val="TextBody"/>
        <w:bidi w:val="0"/>
        <w:jc w:val="left"/>
        <w:rPr/>
      </w:pPr>
      <w:r>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i w:val="false"/>
          <w:iCs w:val="false"/>
        </w:rPr>
        <w:t>objectives</w:t>
      </w:r>
      <w:r>
        <w:rPr/>
        <w:t xml:space="preserve"> supported by ASAs.</w:t>
      </w:r>
    </w:p>
    <w:p>
      <w:pPr>
        <w:pStyle w:val="TextBody"/>
        <w:bidi w:val="0"/>
        <w:jc w:val="left"/>
        <w:rPr/>
      </w:pPr>
      <w:r>
        <w:rPr/>
        <w: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t>
      </w:r>
    </w:p>
    <w:p>
      <w:pPr>
        <w:pStyle w:val="TextBody"/>
        <w:bidi w:val="0"/>
        <w:jc w:val="left"/>
        <w:rPr/>
      </w:pPr>
      <w:r>
        <w:rPr/>
        <w:t xml:space="preserve">The word “objective” has a special meaning in GRASP. It is a data structure whose main contents are a </w:t>
      </w:r>
      <w:r>
        <w:rPr>
          <w:i/>
          <w:iCs/>
        </w:rPr>
        <w:t>name</w:t>
      </w:r>
      <w:r>
        <w:rPr/>
        <w:t xml:space="preserve"> and a </w:t>
      </w:r>
      <w:r>
        <w:rPr>
          <w:i/>
          <w:iCs/>
        </w:rPr>
        <w:t>value</w:t>
      </w:r>
      <w:r>
        <w:rPr/>
        <w:t>. An objective occurs in three contexts: discovery, negotiation, and synchronization. A single ASA may support multiple independent objectives.</w:t>
      </w:r>
    </w:p>
    <w:p>
      <w:pPr>
        <w:pStyle w:val="TextBody"/>
        <w:bidi w:val="0"/>
        <w:jc w:val="left"/>
        <w:rPr/>
      </w:pPr>
      <w:r>
        <w:rPr/>
        <w:t xml:space="preserve">The </w:t>
      </w:r>
      <w:r>
        <w:rPr>
          <w:i/>
          <w:iCs/>
        </w:rPr>
        <w:t>name</w:t>
      </w:r>
      <w:r>
        <w:rPr>
          <w:i w:val="false"/>
          <w:iCs w:val="false"/>
        </w:rPr>
        <w:t xml:space="preserve"> of an objective is simply a unique string describing its purpose.</w:t>
      </w:r>
    </w:p>
    <w:p>
      <w:pPr>
        <w:pStyle w:val="TextBody"/>
        <w:bidi w:val="0"/>
        <w:jc w:val="left"/>
        <w:rPr/>
      </w:pPr>
      <w:r>
        <w:rPr/>
        <w:t xml:space="preserve">The </w:t>
      </w:r>
      <w:r>
        <w:rPr>
          <w:i/>
          <w:iCs/>
        </w:rPr>
        <w:t>value</w:t>
      </w:r>
      <w:r>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i/>
          <w:iCs/>
        </w:rPr>
        <w:t>value</w:t>
      </w:r>
      <w:r>
        <w:rPr/>
        <w:t xml:space="preserve"> could be expressed in JSON (JavaScript Object Notation). When an objective is shared between ASAs by flooding, synchronization or negotiation, each ASA will maintain its own copy of the objective and its latest value.</w:t>
      </w:r>
    </w:p>
    <w:p>
      <w:pPr>
        <w:pStyle w:val="TextBody"/>
        <w:bidi w:val="0"/>
        <w:jc w:val="left"/>
        <w:rPr/>
      </w:pPr>
      <w:r>
        <w:rPr/>
        <w:t xml:space="preserve">GRASP messages allow for </w:t>
      </w:r>
      <w:r>
        <w:rPr>
          <w:i/>
          <w:iCs/>
        </w:rPr>
        <w:t>discovery</w:t>
      </w:r>
      <w:r>
        <w:rPr/>
        <w:t xml:space="preserve"> of an ASA that handles a given objective name; </w:t>
      </w:r>
      <w:r>
        <w:rPr>
          <w:i/>
          <w:iCs/>
        </w:rPr>
        <w:t>flooding</w:t>
      </w:r>
      <w:r>
        <w:rPr>
          <w:i w:val="false"/>
          <w:iCs w:val="false"/>
        </w:rPr>
        <w:t xml:space="preserve"> a given objective to all ACP nodes (the simplest form of synchronization); </w:t>
      </w:r>
      <w:r>
        <w:rPr>
          <w:i/>
          <w:iCs/>
        </w:rPr>
        <w:t>synchronization</w:t>
      </w:r>
      <w:r>
        <w:rPr>
          <w:i w:val="false"/>
          <w:iCs w:val="false"/>
        </w:rPr>
        <w:t xml:space="preserve"> of the value of a given objective between two peer ASAs; and </w:t>
      </w:r>
      <w:r>
        <w:rPr>
          <w:i/>
          <w:iCs/>
        </w:rPr>
        <w:t>negotiation</w:t>
      </w:r>
      <w:r>
        <w:rPr>
          <w:i w:val="false"/>
          <w:iCs w:val="false"/>
        </w:rPr>
        <w:t xml:space="preserve"> of the value of a given objective with a peer ASA.</w:t>
      </w:r>
    </w:p>
    <w:p>
      <w:pPr>
        <w:pStyle w:val="TextBody"/>
        <w:bidi w:val="0"/>
        <w:jc w:val="left"/>
        <w:rPr/>
      </w:pPr>
      <w:r>
        <w:rPr>
          <w:i w:val="false"/>
          <w:iCs w:val="false"/>
        </w:rPr>
        <w:t>An Application Programming Interface (API) for GRASP has been defined</w:t>
      </w:r>
      <w:r>
        <w:rPr>
          <w:i w:val="false"/>
          <w:iCs w:val="false"/>
          <w:vertAlign w:val="superscript"/>
        </w:rPr>
        <w:t>[6]</w:t>
      </w:r>
      <w:r>
        <w:rPr>
          <w:i w:val="false"/>
          <w:iCs w:val="false"/>
          <w:position w:val="0"/>
          <w:sz w:val="24"/>
          <w:sz w:val="24"/>
          <w:vertAlign w:val="baseline"/>
        </w:rPr>
        <w:t xml:space="preserve"> and implemented as part of a Python 3 prototype. This makes it very easy to implement demonstration ASAs in Python. A partial GRASP implementation has also been made as part of an ACP implementation in the RUST language.</w:t>
      </w:r>
    </w:p>
    <w:p>
      <w:pPr>
        <w:pStyle w:val="Heading2"/>
        <w:numPr>
          <w:ilvl w:val="1"/>
          <w:numId w:val="3"/>
        </w:numPr>
        <w:bidi w:val="0"/>
        <w:jc w:val="left"/>
        <w:rPr/>
      </w:pPr>
      <w:r>
        <w:rPr/>
        <w:t>Talking to the NOC</w:t>
      </w:r>
    </w:p>
    <w:p>
      <w:pPr>
        <w:pStyle w:val="TextBody"/>
        <w:bidi w:val="0"/>
        <w:jc w:val="left"/>
        <w:rPr/>
      </w:pPr>
      <w:r>
        <w:rPr/>
        <w:t>As noted above, a key requirement for the success of ANIMA is smooth integration with existing network management tools and in particular with Network Operations Centers. To this end, an integration mechanism has been documented</w:t>
      </w:r>
      <w:r>
        <w:rPr>
          <w:vertAlign w:val="superscript"/>
        </w:rPr>
        <w:t>[4]</w:t>
      </w:r>
      <w:r>
        <w:rPr/>
        <w:t>. The simplest approach is for trusted edge devices in the ACP to “leak” the (otherwise encrypted)  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pPr>
      <w:r>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i/>
          <w:iCs/>
          <w:color w:val="000000"/>
        </w:rPr>
        <w:t>syslog</w:t>
      </w:r>
      <w:r>
        <w:rPr>
          <w:i/>
          <w:iCs/>
          <w:color w:val="C9211E"/>
        </w:rPr>
        <w:t xml:space="preserve"> </w:t>
      </w:r>
      <w:r>
        <w:rPr>
          <w:i w:val="false"/>
          <w:iCs w:val="false"/>
          <w:color w:val="000000"/>
        </w:rPr>
        <w:t>could be flooded in a GRASP objective named</w:t>
      </w:r>
      <w:r>
        <w:rPr>
          <w:i/>
          <w:iCs/>
          <w:color w:val="000000"/>
        </w:rPr>
        <w:t xml:space="preserve"> SRV.syslog. </w:t>
      </w:r>
      <w:r>
        <w:rPr>
          <w:i w:val="false"/>
          <w:iCs w:val="false"/>
          <w:color w:val="000000"/>
        </w:rPr>
        <w:t>Here, the flexibility of CBOR encoding is of great value since a JSON-like representation of service data is common.</w:t>
      </w:r>
    </w:p>
    <w:p>
      <w:pPr>
        <w:pStyle w:val="TextBody"/>
        <w:bidi w:val="0"/>
        <w:jc w:val="left"/>
        <w:rPr/>
      </w:pPr>
      <w:r>
        <w:rPr>
          <w:i w:val="false"/>
          <w:iCs w:val="false"/>
          <w:color w:val="000000"/>
        </w:rPr>
        <w:t>Extending that point, since GRASP easily allows for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 of an Autonomic Function</w:t>
      </w:r>
    </w:p>
    <w:p>
      <w:pPr>
        <w:pStyle w:val="TextBody"/>
        <w:bidi w:val="0"/>
        <w:jc w:val="left"/>
        <w:rPr/>
      </w:pPr>
      <w:r>
        <w:rPr>
          <w:color w:val="000000"/>
        </w:rPr>
        <w:t xml:space="preserve">A use case that has been fully defined is </w:t>
      </w:r>
      <w:r>
        <w:rPr>
          <w:rFonts w:eastAsia="NSimSun" w:cs="Arial"/>
          <w:color w:val="000000"/>
          <w:kern w:val="2"/>
          <w:sz w:val="24"/>
          <w:szCs w:val="24"/>
          <w:lang w:val="en-US" w:eastAsia="zh-CN" w:bidi="hi-IN"/>
        </w:rPr>
        <w:t>a GRASP-based</w:t>
      </w:r>
      <w:r>
        <w:rPr>
          <w:color w:val="000000"/>
        </w:rPr>
        <w:t xml:space="preserve"> mechanism for managing and assigning IP address prefixes</w:t>
      </w:r>
      <w:r>
        <w:rPr>
          <w:color w:val="000000"/>
          <w:vertAlign w:val="superscript"/>
        </w:rPr>
        <w:t>[7]</w:t>
      </w:r>
      <w:r>
        <w:rPr>
          <w:color w:val="000000"/>
        </w:rPr>
        <w:t xml:space="preserve">. Firstly, we define two </w:t>
      </w:r>
      <w:r>
        <w:rPr>
          <w:rFonts w:eastAsia="NSimSun" w:cs="Arial"/>
          <w:color w:val="000000"/>
          <w:kern w:val="2"/>
          <w:sz w:val="24"/>
          <w:szCs w:val="24"/>
          <w:lang w:val="en-US" w:eastAsia="zh-CN" w:bidi="hi-IN"/>
        </w:rPr>
        <w:t xml:space="preserve">GRASP </w:t>
      </w:r>
      <w:r>
        <w:rPr>
          <w:i/>
          <w:iCs/>
          <w:color w:val="000000"/>
        </w:rPr>
        <w:t>objectives</w:t>
      </w:r>
      <w:r>
        <w:rPr>
          <w:color w:val="000000"/>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rFonts w:ascii="Times New Roman" w:hAnsi="Times New Roman"/>
        </w:rPr>
      </w:pPr>
      <w:r>
        <w:rPr>
          <w:rFonts w:ascii="Times New Roman" w:hAnsi="Times New Roman"/>
          <w:color w:val="000000"/>
        </w:rPr>
        <w:t>The second objective may be flooded to all “prefix manager” ASAs to convey relevant policy.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color w:val="C9211E"/>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functions, the ANI and GRASP provide a solid and flexible foundation for this.</w:t>
      </w:r>
    </w:p>
    <w:p>
      <w:pPr>
        <w:pStyle w:val="Heading2"/>
        <w:numPr>
          <w:ilvl w:val="1"/>
          <w:numId w:val="3"/>
        </w:numPr>
        <w:bidi w:val="0"/>
        <w:jc w:val="left"/>
        <w:rPr/>
      </w:pPr>
      <w:r>
        <w:rPr/>
        <w:t>Conclusion</w:t>
      </w:r>
    </w:p>
    <w:p>
      <w:pPr>
        <w:pStyle w:val="TextBody"/>
        <w:bidi w:val="0"/>
        <w:jc w:val="left"/>
        <w:rPr>
          <w:color w:val="C9211E"/>
        </w:rPr>
      </w:pPr>
      <w:r>
        <w:rPr>
          <w:color w:val="C9211E"/>
        </w:rPr>
        <w:t>TBD</w:t>
      </w:r>
    </w:p>
    <w:p>
      <w:pPr>
        <w:pStyle w:val="Heading2"/>
        <w:numPr>
          <w:ilvl w:val="1"/>
          <w:numId w:val="3"/>
        </w:numPr>
        <w:bidi w:val="0"/>
        <w:jc w:val="left"/>
        <w:rPr>
          <w:rFonts w:eastAsia="Microsoft YaHei" w:cs="Arial"/>
          <w:b/>
          <w:b/>
          <w:bCs/>
          <w:sz w:val="32"/>
          <w:szCs w:val="32"/>
        </w:rPr>
      </w:pPr>
      <w:r>
        <w:rPr>
          <w:rFonts w:eastAsia="Microsoft YaHei" w:cs="Arial"/>
          <w:b/>
          <w:bCs/>
          <w:sz w:val="32"/>
          <w:szCs w:val="32"/>
        </w:rPr>
        <w:t>Rererences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pPr>
      <w:r>
        <w:rPr>
          <w:rFonts w:cs="Times New Roman" w:ascii="Times New Roman" w:hAnsi="Times New Roman"/>
          <w:sz w:val="24"/>
          <w:szCs w:val="24"/>
          <w:lang w:val="en-US"/>
        </w:rPr>
        <w:t xml:space="preserve">THE ANIMA AUTHOR TEAM is a group of participants in the IETF’s ANIMA Working Group, including Michael Behringer, Brian E. Carpenter, Toerless Eckert,  Sheng Jiang, Yizhou Li, </w:t>
      </w:r>
      <w:r>
        <w:rPr>
          <w:lang w:val="en-US"/>
        </w:rPr>
        <w:t xml:space="preserve">Michael Richardson, </w:t>
      </w:r>
      <w:r>
        <w:rPr>
          <w:color w:val="C9211E"/>
          <w:lang w:val="en-US"/>
        </w:rPr>
        <w:t>YOUR NAME HERE</w:t>
      </w:r>
      <w:r>
        <w:rPr>
          <w:lang w:val="en-US"/>
        </w:rPr>
        <w:t>. They may be contacted at anima@ietf.org.</w:t>
      </w:r>
    </w:p>
    <w:p>
      <w:pPr>
        <w:pStyle w:val="Normal"/>
        <w:bidi w:val="0"/>
        <w:jc w:val="left"/>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3"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4"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5"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6"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val="bestFit" w:percent="129"/>
  <w:displayBackgroundShape/>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tru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tru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tru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tru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tru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tru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tru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tru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166</TotalTime>
  <Application>LibreOffice/6.3.3.2$Windows_X86_64 LibreOffice_project/a64200df03143b798afd1ec74a12ab50359878ed</Application>
  <Pages>10</Pages>
  <Words>3902</Words>
  <Characters>21325</Characters>
  <CharactersWithSpaces>25154</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2021-05-27T14:37:24Z</dcterms:modified>
  <cp:revision>32</cp:revision>
  <dc:subject/>
  <dc:title/>
</cp:coreProperties>
</file>