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start"/>
        <w:rPr>
          <w:i/>
          <w:i/>
          <w:iCs/>
        </w:rPr>
      </w:pPr>
      <w:r>
        <w:rPr>
          <w:i/>
          <w:iCs/>
        </w:rPr>
        <w:t>By the ANIMA author team</w:t>
      </w:r>
    </w:p>
    <w:p>
      <w:pPr>
        <w:pStyle w:val="Heading2"/>
        <w:bidi w:val="0"/>
        <w:jc w:val="start"/>
        <w:rPr/>
      </w:pPr>
      <w:r>
        <w:rPr/>
        <w:t>Introduction</w:t>
      </w:r>
    </w:p>
    <w:p>
      <w:pPr>
        <w:pStyle w:val="TextBody"/>
        <w:bidi w:val="0"/>
        <w:jc w:val="start"/>
        <w:rPr/>
      </w:pPr>
      <w:r>
        <w:rPr>
          <w:rFonts w:cs="Times New Roman" w:ascii="Times New Roman" w:hAnsi="Times New Roman"/>
        </w:rPr>
        <w:t>In May 2021, six RFCs about autonomic networking were published</w:t>
      </w:r>
      <w:r>
        <w:rPr>
          <w:rFonts w:cs="Times New Roman" w:ascii="Times New Roman" w:hAnsi="Times New Roman"/>
          <w:vertAlign w:val="superscript"/>
        </w:rPr>
        <w:t>[5,6,7,8,9,10]</w:t>
      </w:r>
      <w:r>
        <w:rPr>
          <w:rFonts w:cs="Times New Roman" w:ascii="Times New Roman" w:hAnsi="Times New Roman"/>
        </w:rPr>
        <w:t>. What’s this all about? One way to sum it up is “plug and play” for the network. Sometimes, that means “plug and play for the ISP” or “plug and play for the enterprise.” This is a step forward from the well known idea of plug and play for home networks.</w:t>
      </w:r>
    </w:p>
    <w:p>
      <w:pPr>
        <w:pStyle w:val="TextBody"/>
        <w:bidi w:val="0"/>
        <w:jc w:val="start"/>
        <w:rPr/>
      </w:pPr>
      <w:r>
        <w:rPr>
          <w:rFonts w:cs="Times New Roman" w:ascii="Times New Roman" w:hAnsi="Times New Roman"/>
        </w:rPr>
        <w:t xml:space="preserve">The term “autonomic computing” was coined as much as 20 years ago by IBM. It led naturally to the idea of autonomic networking, which became a topic of discussion in the IRTF Network Management Research Group some years ago, and has led to both research projects and proprietary implementations. </w:t>
      </w:r>
      <w:r>
        <w:rPr>
          <w:rFonts w:cs="Times New Roman" w:ascii="Times New Roman" w:hAnsi="Times New Roman"/>
          <w:color w:val="C9211E"/>
        </w:rPr>
        <w:t xml:space="preserve">[Short description of some proprietary solutions here?] </w:t>
      </w:r>
      <w:r>
        <w:rPr>
          <w:rFonts w:cs="Times New Roman" w:ascii="Times New Roman" w:hAnsi="Times New Roman"/>
        </w:rPr>
        <w:t>But as always, the need is for interoperability, so proprietary methods have to give way to industry standards. This has been the topic of the IETF’s Autonomic Networking Integrated Model and Approach (ANIMA) working group since late 2014.</w:t>
      </w:r>
    </w:p>
    <w:p>
      <w:pPr>
        <w:pStyle w:val="TextBody"/>
        <w:bidi w:val="0"/>
        <w:jc w:val="start"/>
        <w:rPr/>
      </w:pPr>
      <w:r>
        <w:rPr>
          <w:rFonts w:cs="Times New Roman" w:ascii="Times New Roman" w:hAnsi="Times New Roman"/>
        </w:rPr>
        <w:t>The goal is self-management of networks, including self-configuration, self-optimization, self-healing and self-protection. Autonomic Networking (AN) puts operational intelligence into algorithms at the node level, to minimize dependency on human administrators and central management. Nodes capable of AN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bidi w:val="0"/>
        <w:jc w:val="start"/>
        <w:rPr>
          <w:rFonts w:ascii="Times New Roman" w:hAnsi="Times New Roman" w:cs="Times New Roman"/>
        </w:rPr>
      </w:pPr>
      <w:r>
        <w:rPr>
          <w:rFonts w:cs="Times New Roman" w:ascii="Times New Roman" w:hAnsi="Times New Roman"/>
        </w:rPr>
        <w:t xml:space="preserve">Science fiction? Not really. We’ve had routing protocols that meet the definition of “autonomic” for many years. The new idea is that anything that today requires top-down configuration could be configured autonomically by a discovery and negotiation process, governed by some general rules referred to as policy. Why now? Partly because large operators are suffering more and more from the problems and difficulties caused by central configuration of hundreds or thousands of network elements. Partly because after some years of discussion, ideas about how to achieve autonomic networking are becoming concrete. And partly because it is now economic to provide enough computing power in network elements to support AN. </w:t>
      </w:r>
    </w:p>
    <w:p>
      <w:pPr>
        <w:pStyle w:val="TextBody"/>
        <w:bidi w:val="0"/>
        <w:jc w:val="start"/>
        <w:rPr>
          <w:rFonts w:ascii="Times New Roman" w:hAnsi="Times New Roman" w:cs="Times New Roman"/>
        </w:rPr>
      </w:pPr>
      <w:r>
        <w:rPr>
          <w:rFonts w:cs="Times New Roman" w:ascii="Times New Roman" w:hAnsi="Times New Roman"/>
        </w:rPr>
        <w:t>Of course it’s fundamental that AN techniques must co-exist with and interoperate with standard network management tools and methods; they must be “NOC-friendly,” i.e., fit seamlessly with existing Network Operations Centers. Also, various aspects of security are vital for AN. Exactly as with self-driving cars, a self-managing network needs to be significantly more secure than a manually configured network, or no enterprise will accept it. Indeed, getting security right has been a major part of the ANIMA working group’s job.</w:t>
      </w:r>
    </w:p>
    <w:p>
      <w:pPr>
        <w:pStyle w:val="TextBody"/>
        <w:bidi w:val="0"/>
        <w:jc w:val="start"/>
        <w:rPr/>
      </w:pPr>
      <w:r>
        <w:rPr>
          <w:rFonts w:cs="Times New Roman" w:ascii="Times New Roman" w:hAnsi="Times New Roman"/>
        </w:rPr>
        <w:t>At the same time, continued rapid growth of size and complexity of  home networks is expected. It goes without saying that they need to be completely self-managing, but the role of AN techniques in home networks remains to be explored and is not discussed in this article. More work is also needed on how AN applies to the Internet of Things.</w:t>
      </w:r>
    </w:p>
    <w:p>
      <w:pPr>
        <w:pStyle w:val="Heading2"/>
        <w:bidi w:val="0"/>
        <w:jc w:val="start"/>
        <w:rPr/>
      </w:pPr>
      <w:r>
        <w:rPr/>
        <w:t>Terminology</w:t>
      </w:r>
    </w:p>
    <w:p>
      <w:pPr>
        <w:pStyle w:val="TextBody"/>
        <w:bidi w:val="0"/>
        <w:jc w:val="start"/>
        <w:rPr/>
      </w:pPr>
      <w:r>
        <w:rPr/>
        <w:t xml:space="preserve">According to various dictionaries, there are differences between the terms </w:t>
      </w:r>
      <w:r>
        <w:rPr>
          <w:i/>
          <w:iCs/>
        </w:rPr>
        <w:t>automatic, autonomous</w:t>
      </w:r>
      <w:r>
        <w:rPr>
          <w:i w:val="false"/>
          <w:iCs w:val="false"/>
        </w:rPr>
        <w:t xml:space="preserve"> and </w:t>
      </w:r>
      <w:r>
        <w:rPr>
          <w:i/>
          <w:iCs/>
        </w:rPr>
        <w:t>autonomic.</w:t>
      </w:r>
    </w:p>
    <w:p>
      <w:pPr>
        <w:pStyle w:val="TextBody"/>
        <w:bidi w:val="0"/>
        <w:jc w:val="start"/>
        <w:rPr/>
      </w:pPr>
      <w:r>
        <w:rPr>
          <w:i/>
          <w:iCs/>
        </w:rPr>
        <w:t>Automatic:</w:t>
      </w:r>
      <w:r>
        <w:rPr>
          <w:i w:val="false"/>
          <w:iCs w:val="false"/>
        </w:rPr>
        <w:t xml:space="preserve"> as if done by a machine.</w:t>
      </w:r>
    </w:p>
    <w:p>
      <w:pPr>
        <w:pStyle w:val="TextBody"/>
        <w:bidi w:val="0"/>
        <w:jc w:val="start"/>
        <w:rPr/>
      </w:pPr>
      <w:r>
        <w:rPr>
          <w:i/>
          <w:iCs/>
        </w:rPr>
        <w:t>Autonomous:</w:t>
      </w:r>
      <w:r>
        <w:rPr>
          <w:i w:val="false"/>
          <w:iCs w:val="false"/>
        </w:rPr>
        <w:t xml:space="preserve"> responding and reacting on its own, with no external control.</w:t>
      </w:r>
    </w:p>
    <w:p>
      <w:pPr>
        <w:pStyle w:val="TextBody"/>
        <w:bidi w:val="0"/>
        <w:jc w:val="start"/>
        <w:rPr/>
      </w:pPr>
      <w:r>
        <w:rPr>
          <w:i/>
          <w:iCs/>
        </w:rPr>
        <w:t xml:space="preserve">Autonomic: </w:t>
      </w:r>
      <w:r>
        <w:rPr>
          <w:i w:val="false"/>
          <w:iCs w:val="false"/>
        </w:rPr>
        <w:t>behaving spontaneously due to internal stimuli.</w:t>
      </w:r>
    </w:p>
    <w:p>
      <w:pPr>
        <w:pStyle w:val="TextBody"/>
        <w:bidi w:val="0"/>
        <w:jc w:val="start"/>
        <w:rPr/>
      </w:pPr>
      <w:r>
        <w:rPr>
          <w:i w:val="false"/>
          <w:iCs w:val="false"/>
        </w:rPr>
        <w:t xml:space="preserve">The last two are certainly similar, but following industry practice we prefer </w:t>
      </w:r>
      <w:r>
        <w:rPr>
          <w:i/>
          <w:iCs/>
        </w:rPr>
        <w:t xml:space="preserve">autonomic. </w:t>
      </w:r>
      <w:r>
        <w:rPr>
          <w:i w:val="false"/>
          <w:iCs w:val="false"/>
        </w:rPr>
        <w:t xml:space="preserve">The </w:t>
      </w:r>
      <w:r>
        <w:rPr>
          <w:i/>
          <w:iCs/>
        </w:rPr>
        <w:t xml:space="preserve">autonomic nervous system </w:t>
      </w:r>
      <w:r>
        <w:rPr>
          <w:i w:val="false"/>
          <w:iCs w:val="false"/>
        </w:rPr>
        <w:t xml:space="preserve">acts largely unconsciously and regulates bodily functions such as heart rate. </w:t>
      </w:r>
      <w:r>
        <w:rPr>
          <w:i/>
          <w:iCs/>
        </w:rPr>
        <w:t xml:space="preserve">Autonomic computing </w:t>
      </w:r>
      <w:r>
        <w:rPr>
          <w:i w:val="false"/>
          <w:iCs w:val="false"/>
        </w:rPr>
        <w:t>was defined by IBM in 2001 as referring to</w:t>
      </w:r>
      <w:r>
        <w:rPr>
          <w:i/>
          <w:iCs/>
        </w:rPr>
        <w:t xml:space="preserve"> “</w:t>
      </w:r>
      <w:r>
        <w:rPr>
          <w:i w:val="false"/>
          <w:iCs w:val="false"/>
        </w:rPr>
        <w:t xml:space="preserve">self-managing distributed computing resources, adapting to unpredictable changes while hiding intrinsic complexity from operators and users.” We define an </w:t>
      </w:r>
      <w:r>
        <w:rPr>
          <w:i/>
          <w:iCs/>
        </w:rPr>
        <w:t>autonomic network</w:t>
      </w:r>
      <w:r>
        <w:rPr>
          <w:i w:val="false"/>
          <w:iCs w:val="false"/>
        </w:rPr>
        <w:t xml:space="preserve"> as self-managing (self-configuring, selfprotecting, self-healing, self-optimizing) but allowing high-level guidance by a central entity.</w:t>
      </w:r>
    </w:p>
    <w:p>
      <w:pPr>
        <w:pStyle w:val="TextBody"/>
        <w:bidi w:val="0"/>
        <w:jc w:val="start"/>
        <w:rPr/>
      </w:pPr>
      <w:r>
        <w:rPr>
          <w:i/>
          <w:iCs/>
        </w:rPr>
        <w:t>Autonomic Function:</w:t>
      </w:r>
      <w:r>
        <w:rPr>
          <w:i w:val="false"/>
          <w:iCs w:val="false"/>
        </w:rPr>
        <w:t xml:space="preserve"> A specific self-managing feature or function.</w:t>
      </w:r>
    </w:p>
    <w:p>
      <w:pPr>
        <w:pStyle w:val="TextBody"/>
        <w:bidi w:val="0"/>
        <w:jc w:val="start"/>
        <w:rPr/>
      </w:pPr>
      <w:r>
        <w:rPr>
          <w:i/>
          <w:iCs/>
        </w:rPr>
        <w:t>Autonomic Service Agent (ASA)</w:t>
      </w:r>
      <w:r>
        <w:rPr>
          <w:i w:val="false"/>
          <w:iCs w:val="false"/>
        </w:rPr>
        <w:t>: An agent that implements an autonomic function, in part (for a distributed function) or whole.</w:t>
      </w:r>
    </w:p>
    <w:p>
      <w:pPr>
        <w:pStyle w:val="TextBody"/>
        <w:bidi w:val="0"/>
        <w:jc w:val="start"/>
        <w:rPr/>
      </w:pPr>
      <w:r>
        <w:rPr>
          <w:i/>
          <w:iCs/>
        </w:rPr>
        <w:t>Autonomic Node:</w:t>
      </w:r>
      <w:r>
        <w:rPr>
          <w:i w:val="false"/>
          <w:iCs w:val="false"/>
        </w:rPr>
        <w:t xml:space="preserve"> A node that embodies autonomic functions</w:t>
      </w:r>
    </w:p>
    <w:p>
      <w:pPr>
        <w:pStyle w:val="TextBody"/>
        <w:bidi w:val="0"/>
        <w:jc w:val="start"/>
        <w:rPr/>
      </w:pPr>
      <w:r>
        <w:rPr>
          <w:i/>
          <w:iCs/>
        </w:rPr>
        <w:t>Autonomic Control Plane (ACP):</w:t>
      </w:r>
      <w:r>
        <w:rPr>
          <w:i w:val="false"/>
          <w:iCs w:val="false"/>
        </w:rPr>
        <w:t xml:space="preserve"> A self-configuring, fully secure, virtual network used for all autonomic messaging.</w:t>
      </w:r>
    </w:p>
    <w:p>
      <w:pPr>
        <w:pStyle w:val="TextBody"/>
        <w:bidi w:val="0"/>
        <w:jc w:val="start"/>
        <w:rPr/>
      </w:pPr>
      <w:r>
        <w:rPr>
          <w:i w:val="false"/>
          <w:iCs w:val="false"/>
        </w:rPr>
        <w:t>More details about these terms can be found in RFC7575</w:t>
      </w:r>
      <w:r>
        <w:rPr>
          <w:i w:val="false"/>
          <w:iCs w:val="false"/>
          <w:vertAlign w:val="superscript"/>
        </w:rPr>
        <w:t>[1]</w:t>
      </w:r>
      <w:r>
        <w:rPr>
          <w:i w:val="false"/>
          <w:iCs w:val="false"/>
        </w:rPr>
        <w:t xml:space="preserve"> and RFC8993</w:t>
      </w:r>
      <w:r>
        <w:rPr>
          <w:i w:val="false"/>
          <w:iCs w:val="false"/>
          <w:vertAlign w:val="superscript"/>
        </w:rPr>
        <w:t>[8]</w:t>
      </w:r>
      <w:r>
        <w:rPr>
          <w:i w:val="false"/>
          <w:iCs w:val="false"/>
        </w:rPr>
        <w:t xml:space="preserve">. </w:t>
      </w:r>
    </w:p>
    <w:p>
      <w:pPr>
        <w:pStyle w:val="Heading2"/>
        <w:bidi w:val="0"/>
        <w:jc w:val="start"/>
        <w:rPr/>
      </w:pPr>
      <w:r>
        <w:rPr>
          <w:i w:val="false"/>
          <w:iCs w:val="false"/>
        </w:rPr>
        <w:t>Outline of the ANIMA model</w:t>
      </w:r>
    </w:p>
    <w:p>
      <w:pPr>
        <w:pStyle w:val="TextBody"/>
        <w:bidi w:val="0"/>
        <w:jc w:val="start"/>
        <w:rPr/>
      </w:pPr>
      <w:r>
        <w:rPr>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 The main items in the model are:</w:t>
      </w:r>
    </w:p>
    <w:p>
      <w:pPr>
        <w:pStyle w:val="TextBody"/>
        <w:numPr>
          <w:ilvl w:val="0"/>
          <w:numId w:val="2"/>
        </w:numPr>
        <w:bidi w:val="0"/>
        <w:jc w:val="start"/>
        <w:rPr/>
      </w:pPr>
      <w:r>
        <w:rPr/>
        <w:t>Bootstrapping and trust infrastructure. This covers how nodes are authenticated and securely admitted to an autonomic network, and how they establish mutual trust.</w:t>
      </w:r>
    </w:p>
    <w:p>
      <w:pPr>
        <w:pStyle w:val="TextBody"/>
        <w:numPr>
          <w:ilvl w:val="0"/>
          <w:numId w:val="2"/>
        </w:numPr>
        <w:bidi w:val="0"/>
        <w:jc w:val="start"/>
        <w:rPr/>
      </w:pPr>
      <w:r>
        <w:rPr/>
        <w:t>Secure Autonomic Control Plane (ACP). This is an automatically constructed encrypted virtual network, containing only authenticated nodes that rightfully belong to a particular autonomic domain.</w:t>
      </w:r>
    </w:p>
    <w:p>
      <w:pPr>
        <w:pStyle w:val="TextBody"/>
        <w:numPr>
          <w:ilvl w:val="0"/>
          <w:numId w:val="2"/>
        </w:numPr>
        <w:bidi w:val="0"/>
        <w:jc w:val="start"/>
        <w:rPr/>
      </w:pPr>
      <w:r>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2"/>
        </w:numPr>
        <w:bidi w:val="0"/>
        <w:jc w:val="start"/>
        <w:rPr/>
      </w:pPr>
      <w:r>
        <w:rPr/>
        <w:t>Negotiation and synchronization for autonomic nodes. Once nodes have discovered each other, they can synchronize data between themselves, or actively negotiate parameters and resources.</w:t>
      </w:r>
    </w:p>
    <w:p>
      <w:pPr>
        <w:pStyle w:val="TextBody"/>
        <w:numPr>
          <w:ilvl w:val="0"/>
          <w:numId w:val="2"/>
        </w:numPr>
        <w:bidi w:val="0"/>
        <w:jc w:val="start"/>
        <w:rPr/>
      </w:pPr>
      <w:r>
        <w:rPr/>
        <w:t>Autonomic functions operate by negotiating and synchronizing data with their peers in other nodes, and by directly configuring manageable devices in their own scope.</w:t>
      </w:r>
    </w:p>
    <w:p>
      <w:pPr>
        <w:pStyle w:val="TextBody"/>
        <w:numPr>
          <w:ilvl w:val="0"/>
          <w:numId w:val="2"/>
        </w:numPr>
        <w:bidi w:val="0"/>
        <w:jc w:val="start"/>
        <w:rPr/>
      </w:pPr>
      <w:r>
        <w:rPr/>
        <w:t>Discovery, synchronization and negotiation proceed by use of the GeneRic Autonomic Signaling Protocol (GRASP).</w:t>
      </w:r>
    </w:p>
    <w:p>
      <w:pPr>
        <w:pStyle w:val="TextBody"/>
        <w:numPr>
          <w:ilvl w:val="0"/>
          <w:numId w:val="2"/>
        </w:numPr>
        <w:bidi w:val="0"/>
        <w:jc w:val="start"/>
        <w:rPr/>
      </w:pPr>
      <w:r>
        <w:rPr/>
        <w:t>Autonomic service agents (ASAs) are composed of one or more autonomic functions.</w:t>
      </w:r>
    </w:p>
    <w:p>
      <w:pPr>
        <w:pStyle w:val="TextBody"/>
        <w:numPr>
          <w:ilvl w:val="0"/>
          <w:numId w:val="2"/>
        </w:numPr>
        <w:bidi w:val="0"/>
        <w:jc w:val="start"/>
        <w:rPr/>
      </w:pPr>
      <w:r>
        <w:rPr/>
        <w:t>Centrally defined policy or configuration rules may be obtained by an ASA via GRASP synchronization, or if appropriate by conventional methods such as an interface to NETCONF or DNS-SD (DNS Service Discovery).</w:t>
      </w:r>
    </w:p>
    <w:p>
      <w:pPr>
        <w:pStyle w:val="TextBody"/>
        <w:bidi w:val="0"/>
        <w:jc w:val="start"/>
        <w:rPr/>
      </w:pPr>
      <w:r>
        <w:rPr/>
        <w:t>Figure 1 shows an outline of the model as a whole.</w:t>
      </w:r>
    </w:p>
    <w:p>
      <w:pPr>
        <w:pStyle w:val="TextBody"/>
        <w:bidi w:val="0"/>
        <w:jc w:val="start"/>
        <w:rPr/>
      </w:pPr>
      <w:r>
        <w:rPr>
          <w:i w:val="false"/>
          <w:iCs w:val="false"/>
          <w:color w:val="C9211E"/>
        </w:rPr>
        <w:t>[Old version of figure follows - needs simplifying for IPJ guidelines]</w:t>
      </w:r>
    </w:p>
    <w:p>
      <w:pPr>
        <w:pStyle w:val="TextBody"/>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1585" cy="35591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6331585" cy="3559175"/>
                    </a:xfrm>
                    <a:prstGeom prst="rect">
                      <a:avLst/>
                    </a:prstGeom>
                  </pic:spPr>
                </pic:pic>
              </a:graphicData>
            </a:graphic>
          </wp:anchor>
        </w:drawing>
      </w:r>
    </w:p>
    <w:p>
      <w:pPr>
        <w:pStyle w:val="Heading2"/>
        <w:bidi w:val="0"/>
        <w:jc w:val="start"/>
        <w:rPr/>
      </w:pPr>
      <w:r>
        <w:rPr/>
        <w:t>Security</w:t>
      </w:r>
    </w:p>
    <w:p>
      <w:pPr>
        <w:pStyle w:val="TextBody"/>
        <w:bidi w:val="0"/>
        <w:jc w:val="start"/>
        <w:rPr/>
      </w:pPr>
      <w:r>
        <w:rPr/>
        <w:t>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by a method known as BRSKI (pronounced “Brewski”, Bootstrapping Remote Secure Key Infrastructure</w:t>
      </w:r>
      <w:r>
        <w:rPr>
          <w:vertAlign w:val="superscript"/>
        </w:rPr>
        <w:t>[10]</w:t>
      </w:r>
      <w:r>
        <w:rPr/>
        <w:t>). This process uses manufacturer-installed X.509 certificates, in combination with a manufacturer's authorizing service.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w:t>
      </w:r>
    </w:p>
    <w:p>
      <w:pPr>
        <w:pStyle w:val="TextBody"/>
        <w:bidi w:val="0"/>
        <w:jc w:val="start"/>
        <w:rPr/>
      </w:pPr>
      <w:r>
        <w:rPr/>
        <w:t xml:space="preserve">The ACP forms itself among pledges as soon as they have completed their BRSKI enrolment.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Actual packet transmission occurs only as IPv6 link-local packets. This choice was made to ensure that there is no dependency on any pre-existing data plane (either IPv4 or IPv6), because autonomic functions must be able to operate </w:t>
      </w:r>
      <w:r>
        <w:rPr>
          <w:i/>
          <w:iCs/>
        </w:rPr>
        <w:t>even if the normal data plane and normal routing are broken.</w:t>
      </w:r>
      <w:r>
        <w:rPr>
          <w:i w:val="false"/>
          <w:iCs w:val="false"/>
        </w:rPr>
        <w:t xml:space="preserve"> All that is required is for each node to create its own IPv6 link-local address on each physical interface, as any modern network device does by default. The VRF consists of point-to-point IPv6 links and is secured using IPsec (IP Security) or DTLS (Datagram Transport Layer Security), both via IKEv2 (Internet Key Exchange Protocol Version 2).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start"/>
        <w:rPr/>
      </w:pPr>
      <w:r>
        <w:rPr>
          <w:i w:val="false"/>
          <w:iCs w:val="false"/>
        </w:rPr>
        <w:t>After the secure control plane has configured itself in this way, the next stage is to bootstrap connectivity for network management. When this has been achieved, conventional mechanisms (such as an SDN controller) can already</w:t>
      </w:r>
      <w:r>
        <w:rPr/>
        <w:t xml:space="preserve"> reliably and securely reach remote nodes and configure them safely without risk of cutting themselves off. In addition, fully autonomic management mechanisms (i.e., ASAs) can start up.  To understand how this works, we need to give more details about the GRASP protocol.</w:t>
      </w:r>
    </w:p>
    <w:p>
      <w:pPr>
        <w:pStyle w:val="Heading2"/>
        <w:bidi w:val="0"/>
        <w:jc w:val="start"/>
        <w:rPr/>
      </w:pPr>
      <w:r>
        <w:rPr/>
        <w:t>GRASP</w:t>
      </w:r>
    </w:p>
    <w:p>
      <w:pPr>
        <w:pStyle w:val="TextBody"/>
        <w:bidi w:val="0"/>
        <w:jc w:val="start"/>
        <w:rPr/>
      </w:pPr>
      <w:r>
        <w:rPr/>
        <w:t>GRASP, the GeneRic Autonomic Signaling Protocol</w:t>
      </w:r>
      <w:r>
        <w:rPr>
          <w:vertAlign w:val="superscript"/>
        </w:rPr>
        <w:t>[5]</w:t>
      </w:r>
      <w:r>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i/>
          <w:iCs/>
        </w:rPr>
        <w:t>before</w:t>
      </w:r>
      <w:r>
        <w:rPr>
          <w:i w:val="false"/>
          <w:iCs w:val="false"/>
        </w:rPr>
        <w:t xml:space="preserve"> ACP security is in place, so they use a highly restricted subset of GRASP that is limited to specific link-local operations.</w:t>
      </w:r>
    </w:p>
    <w:p>
      <w:pPr>
        <w:pStyle w:val="TextBody"/>
        <w:bidi w:val="0"/>
        <w:jc w:val="start"/>
        <w:rPr/>
      </w:pPr>
      <w:r>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i w:val="false"/>
          <w:iCs w:val="false"/>
        </w:rPr>
        <w:t>objectives</w:t>
      </w:r>
      <w:r>
        <w:rPr/>
        <w:t xml:space="preserve"> supported by ASAs.</w:t>
      </w:r>
    </w:p>
    <w:p>
      <w:pPr>
        <w:pStyle w:val="TextBody"/>
        <w:bidi w:val="0"/>
        <w:jc w:val="start"/>
        <w:rPr/>
      </w:pPr>
      <w:r>
        <w:rPr/>
        <w:t>Rather than being a traditional type-length-value protocol, GRASP is based on CBOR (Concise Binary Object Representation) messages. This has the advantage of allowing very flexible encoding, and GRASP can therefore accommodate a very wide range of data types, with the possibility of mapping protocol elements directly into various high-level language representations.</w:t>
      </w:r>
    </w:p>
    <w:p>
      <w:pPr>
        <w:pStyle w:val="TextBody"/>
        <w:bidi w:val="0"/>
        <w:jc w:val="start"/>
        <w:rPr/>
      </w:pPr>
      <w:r>
        <w:rPr/>
        <w:t xml:space="preserve">The word “objective” has a special meaning in GRASP. It is a data structure whose main contents are a </w:t>
      </w:r>
      <w:r>
        <w:rPr>
          <w:i/>
          <w:iCs/>
        </w:rPr>
        <w:t>name</w:t>
      </w:r>
      <w:r>
        <w:rPr/>
        <w:t xml:space="preserve"> and a </w:t>
      </w:r>
      <w:r>
        <w:rPr>
          <w:i/>
          <w:iCs/>
        </w:rPr>
        <w:t>value</w:t>
      </w:r>
      <w:r>
        <w:rPr/>
        <w:t>. An objective occurs in three contexts: discovery, negotiation, and synchronization. A single ASA may support multiple independent objectives.</w:t>
      </w:r>
    </w:p>
    <w:p>
      <w:pPr>
        <w:pStyle w:val="TextBody"/>
        <w:bidi w:val="0"/>
        <w:jc w:val="start"/>
        <w:rPr/>
      </w:pPr>
      <w:r>
        <w:rPr/>
        <w:t xml:space="preserve">The </w:t>
      </w:r>
      <w:r>
        <w:rPr>
          <w:i/>
          <w:iCs/>
        </w:rPr>
        <w:t>name</w:t>
      </w:r>
      <w:r>
        <w:rPr>
          <w:i w:val="false"/>
          <w:iCs w:val="false"/>
        </w:rPr>
        <w:t xml:space="preserve"> of an objective is simply a unique string describing its purpose.</w:t>
      </w:r>
    </w:p>
    <w:p>
      <w:pPr>
        <w:pStyle w:val="TextBody"/>
        <w:bidi w:val="0"/>
        <w:jc w:val="start"/>
        <w:rPr/>
      </w:pPr>
      <w:r>
        <w:rPr/>
        <w:t xml:space="preserve">The </w:t>
      </w:r>
      <w:r>
        <w:rPr>
          <w:i/>
          <w:iCs/>
        </w:rPr>
        <w:t>value</w:t>
      </w:r>
      <w:r>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i/>
          <w:iCs/>
        </w:rPr>
        <w:t>value</w:t>
      </w:r>
      <w:r>
        <w:rPr/>
        <w:t xml:space="preserve"> could be expressed in JSON (JavaScript Object Notation). When an objective is shared between ASAs by flooding, synchronization or negotiation, each ASA will maintain its own copy of the objective and its latest value.</w:t>
      </w:r>
    </w:p>
    <w:p>
      <w:pPr>
        <w:pStyle w:val="TextBody"/>
        <w:bidi w:val="0"/>
        <w:jc w:val="start"/>
        <w:rPr/>
      </w:pPr>
      <w:r>
        <w:rPr/>
        <w:t xml:space="preserve">GRASP messages allow for </w:t>
      </w:r>
      <w:r>
        <w:rPr>
          <w:i/>
          <w:iCs/>
        </w:rPr>
        <w:t>discovery</w:t>
      </w:r>
      <w:r>
        <w:rPr/>
        <w:t xml:space="preserve"> of an ASA that handles a given objective name; </w:t>
      </w:r>
      <w:r>
        <w:rPr>
          <w:i/>
          <w:iCs/>
        </w:rPr>
        <w:t>flooding</w:t>
      </w:r>
      <w:r>
        <w:rPr>
          <w:i w:val="false"/>
          <w:iCs w:val="false"/>
        </w:rPr>
        <w:t xml:space="preserve"> a given objective to all ACP nodes (the simplest form of synchronization); </w:t>
      </w:r>
      <w:r>
        <w:rPr>
          <w:i/>
          <w:iCs/>
        </w:rPr>
        <w:t>synchronization</w:t>
      </w:r>
      <w:r>
        <w:rPr>
          <w:i w:val="false"/>
          <w:iCs w:val="false"/>
        </w:rPr>
        <w:t xml:space="preserve"> of the value of a given objective between two peer ASAs; and </w:t>
      </w:r>
      <w:r>
        <w:rPr>
          <w:i/>
          <w:iCs/>
        </w:rPr>
        <w:t>negotiation</w:t>
      </w:r>
      <w:r>
        <w:rPr>
          <w:i w:val="false"/>
          <w:iCs w:val="false"/>
        </w:rPr>
        <w:t xml:space="preserve"> of the value of a given objective with a peer ASA.</w:t>
      </w:r>
    </w:p>
    <w:p>
      <w:pPr>
        <w:pStyle w:val="TextBody"/>
        <w:bidi w:val="0"/>
        <w:jc w:val="start"/>
        <w:rPr/>
      </w:pPr>
      <w:r>
        <w:rPr>
          <w:i w:val="false"/>
          <w:iCs w:val="false"/>
        </w:rPr>
        <w:t>An Application Programming Interface (API) for GRASP has been defined</w:t>
      </w:r>
      <w:r>
        <w:rPr>
          <w:i w:val="false"/>
          <w:iCs w:val="false"/>
          <w:vertAlign w:val="superscript"/>
        </w:rPr>
        <w:t>[6]</w:t>
      </w:r>
      <w:r>
        <w:rPr>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RUST language.</w:t>
      </w:r>
    </w:p>
    <w:p>
      <w:pPr>
        <w:pStyle w:val="Heading2"/>
        <w:bidi w:val="0"/>
        <w:jc w:val="start"/>
        <w:rPr/>
      </w:pPr>
      <w:r>
        <w:rPr/>
        <w:t>Talking to the NOC</w:t>
      </w:r>
    </w:p>
    <w:p>
      <w:pPr>
        <w:pStyle w:val="TextBody"/>
        <w:bidi w:val="0"/>
        <w:jc w:val="start"/>
        <w:rPr/>
      </w:pPr>
      <w:r>
        <w:rPr/>
        <w:t>As noted above, a key requirement for the success of ANIMA is smooth integration with existing network management tools and in particular with Network Operations Centers. To this end, an integration mechanism has been documented</w:t>
      </w:r>
      <w:r>
        <w:rPr>
          <w:vertAlign w:val="superscript"/>
        </w:rPr>
        <w:t>[4]</w:t>
      </w:r>
      <w:r>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start"/>
        <w:rPr/>
      </w:pPr>
      <w:r>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i/>
          <w:iCs/>
          <w:color w:val="000000"/>
        </w:rPr>
        <w:t>syslog</w:t>
      </w:r>
      <w:r>
        <w:rPr>
          <w:i/>
          <w:iCs/>
          <w:color w:val="C9211E"/>
        </w:rPr>
        <w:t xml:space="preserve"> </w:t>
      </w:r>
      <w:r>
        <w:rPr>
          <w:i w:val="false"/>
          <w:iCs w:val="false"/>
          <w:color w:val="000000"/>
        </w:rPr>
        <w:t>could be flooded in a GRASP objective named</w:t>
      </w:r>
      <w:r>
        <w:rPr>
          <w:i/>
          <w:iCs/>
          <w:color w:val="000000"/>
        </w:rPr>
        <w:t xml:space="preserve"> SRV.syslog. </w:t>
      </w:r>
      <w:r>
        <w:rPr>
          <w:i w:val="false"/>
          <w:iCs w:val="false"/>
          <w:color w:val="000000"/>
        </w:rPr>
        <w:t>Here, the flexibility of CBOR encoding is be of great value since a JSON-like representation of service data is common.</w:t>
      </w:r>
    </w:p>
    <w:p>
      <w:pPr>
        <w:pStyle w:val="TextBody"/>
        <w:bidi w:val="0"/>
        <w:jc w:val="start"/>
        <w:rPr/>
      </w:pPr>
      <w:r>
        <w:rPr>
          <w:i w:val="false"/>
          <w:iCs w:val="false"/>
          <w:color w:val="000000"/>
        </w:rPr>
        <w:t>Extending that point, since GRASP easily allows for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bidi w:val="0"/>
        <w:jc w:val="start"/>
        <w:rPr/>
      </w:pPr>
      <w:r>
        <w:rPr/>
        <w:t>Examples</w:t>
      </w:r>
    </w:p>
    <w:p>
      <w:pPr>
        <w:pStyle w:val="TextBody"/>
        <w:bidi w:val="0"/>
        <w:jc w:val="start"/>
        <w:rPr>
          <w:color w:val="C9211E"/>
        </w:rPr>
      </w:pPr>
      <w:r>
        <w:rPr>
          <w:color w:val="C9211E"/>
        </w:rPr>
        <w:t>Prefix management</w:t>
      </w:r>
    </w:p>
    <w:p>
      <w:pPr>
        <w:pStyle w:val="TextBody"/>
        <w:bidi w:val="0"/>
        <w:jc w:val="start"/>
        <w:rPr>
          <w:color w:val="C9211E"/>
        </w:rPr>
      </w:pPr>
      <w:r>
        <w:rPr>
          <w:color w:val="C9211E"/>
        </w:rPr>
        <w:t>Another?</w:t>
      </w:r>
    </w:p>
    <w:p>
      <w:pPr>
        <w:pStyle w:val="Heading2"/>
        <w:bidi w:val="0"/>
        <w:jc w:val="start"/>
        <w:rPr/>
      </w:pPr>
      <w:r>
        <w:rPr/>
        <w:t>Conclusion</w:t>
      </w:r>
    </w:p>
    <w:p>
      <w:pPr>
        <w:pStyle w:val="TextBody"/>
        <w:bidi w:val="0"/>
        <w:jc w:val="start"/>
        <w:rPr>
          <w:color w:val="C9211E"/>
        </w:rPr>
      </w:pPr>
      <w:r>
        <w:rPr>
          <w:color w:val="C9211E"/>
        </w:rPr>
        <w:t>TBD</w:t>
      </w:r>
    </w:p>
    <w:p>
      <w:pPr>
        <w:pStyle w:val="Heading2"/>
        <w:bidi w:val="0"/>
        <w:jc w:val="start"/>
        <w:rPr>
          <w:rFonts w:eastAsia="Microsoft YaHei" w:cs="Arial"/>
          <w:b/>
          <w:b/>
          <w:bCs/>
          <w:sz w:val="32"/>
          <w:szCs w:val="32"/>
        </w:rPr>
      </w:pPr>
      <w:r>
        <w:rPr>
          <w:rFonts w:eastAsia="Microsoft YaHei" w:cs="Arial"/>
          <w:b/>
          <w:bCs/>
          <w:sz w:val="32"/>
          <w:szCs w:val="32"/>
        </w:rPr>
        <w:t>Rererences and Further Reading</w:t>
      </w:r>
    </w:p>
    <w:p>
      <w:pPr>
        <w:pStyle w:val="TextBody"/>
        <w:bidi w:val="0"/>
        <w:jc w:val="star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star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start"/>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star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start"/>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star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start"/>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star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start"/>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star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start"/>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star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start"/>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star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start"/>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star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start"/>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start"/>
        <w:rPr>
          <w:rFonts w:ascii="Times New Roman" w:hAnsi="Times New Roman" w:cs="Times New Roman"/>
          <w:sz w:val="24"/>
          <w:szCs w:val="24"/>
        </w:rPr>
      </w:pPr>
      <w:r>
        <w:rPr>
          <w:rFonts w:cs="Times New Roman" w:ascii="Times New Roman" w:hAnsi="Times New Roman"/>
          <w:sz w:val="24"/>
          <w:szCs w:val="24"/>
        </w:rPr>
      </w:r>
    </w:p>
    <w:p>
      <w:pPr>
        <w:pStyle w:val="Normal"/>
        <w:bidi w:val="0"/>
        <w:jc w:val="start"/>
        <w:rPr/>
      </w:pPr>
      <w:r>
        <w:rPr>
          <w:rFonts w:cs="Times New Roman" w:ascii="Times New Roman" w:hAnsi="Times New Roman"/>
          <w:sz w:val="24"/>
          <w:szCs w:val="24"/>
          <w:lang w:val="en-US"/>
        </w:rPr>
        <w:t xml:space="preserve">THE ANIMA AUTHOR TEAM is a group of participants in the IETF’s ANIMA Working Group, including Michael Behringer, Brian E. Carpenter, Toerless Eckert,  Sheng Jiang, Yizhou Li, </w:t>
      </w:r>
      <w:r>
        <w:rPr>
          <w:lang w:val="en-US"/>
        </w:rPr>
        <w:t xml:space="preserve">Michael Richardson, </w:t>
      </w:r>
      <w:r>
        <w:rPr>
          <w:color w:val="C9211E"/>
          <w:lang w:val="en-US"/>
        </w:rPr>
        <w:t>YOUR NAME HERE</w:t>
      </w:r>
      <w:r>
        <w:rPr>
          <w:lang w:val="en-US"/>
        </w:rPr>
        <w:t>. They may be contacted at anima@ietf.org.</w:t>
      </w:r>
    </w:p>
    <w:p>
      <w:pPr>
        <w:pStyle w:val="Normal"/>
        <w:bidi w:val="0"/>
        <w:jc w:val="start"/>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0" w:characterSet="windows-1252"/>
    <w:family w:val="swiss"/>
    <w:pitch w:val="variable"/>
  </w:font>
  <w:font w:name="ＭＳ Ｐゴシック">
    <w:charset w:val="00" w:characterSet="windows-1252"/>
    <w:family w:val="roman"/>
    <w:pitch w:val="variable"/>
  </w:font>
  <w:font w:name="Noto Sans">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r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num w:numId="1">
    <w:abstractNumId w:val="1"/>
  </w:num>
  <w:num w:numId="2">
    <w:abstractNumId w:val="2"/>
  </w:num>
</w:numbering>
</file>

<file path=word/settings.xml><?xml version="1.0" encoding="utf-8"?>
<w:settings xmlns:w="http://schemas.openxmlformats.org/wordprocessingml/2006/main">
  <w:zoom w:val="bestFit" w:percent="147"/>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Liberation Serif;Times New Roman" w:hAnsi="Liberation Serif;Times New Roman"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0" w:after="0"/>
      <w:jc w:val="star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star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star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kinsoku w:val="true"/>
      <w:overflowPunct w:val="true"/>
      <w:autoSpaceDE w:val="true"/>
      <w:bidi w:val="0"/>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star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star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star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star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0" w:after="0"/>
      <w:jc w:val="star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kinsoku w:val="true"/>
      <w:overflowPunct w:val="true"/>
      <w:autoSpaceDE w:val="true"/>
      <w:bidi w:val="0"/>
      <w:spacing w:lineRule="atLeast" w:line="200" w:before="0" w:after="0"/>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0" w:after="0"/>
      <w:jc w:val="star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star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star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star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star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star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star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star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star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kinsoku w:val="true"/>
      <w:overflowPunct w:val="true"/>
      <w:autoSpaceDE w:val="true"/>
      <w:bidi w:val="0"/>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kinsoku w:val="true"/>
      <w:overflowPunct w:val="true"/>
      <w:autoSpaceDE w:val="true"/>
      <w:bidi w:val="0"/>
      <w:spacing w:lineRule="auto" w:line="240" w:before="115" w:after="0"/>
      <w:jc w:val="star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star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star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star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kinsoku w:val="true"/>
      <w:overflowPunct w:val="true"/>
      <w:autoSpaceDE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kinsoku w:val="true"/>
      <w:overflowPunct w:val="true"/>
      <w:autoSpaceDE w:val="true"/>
      <w:bidi w:val="0"/>
      <w:spacing w:lineRule="auto" w:line="240" w:before="90" w:after="0"/>
      <w:jc w:val="star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kinsoku w:val="true"/>
      <w:overflowPunct w:val="true"/>
      <w:autoSpaceDE w:val="true"/>
      <w:bidi w:val="0"/>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kinsoku w:val="true"/>
      <w:overflowPunct w:val="true"/>
      <w:autoSpaceDE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LibreOffice/6.3.3.2$Windows_X86_64 LibreOffice_project/a64200df03143b798afd1ec74a12ab50359878ed</Application>
  <Pages>3</Pages>
  <Words>2397</Words>
  <Characters>13324</Characters>
  <CharactersWithSpaces>15662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2021-05-25T16:37:23Z</dcterms:modified>
  <cp:revision>20</cp:revision>
  <dc:subject/>
  <dc:title/>
</cp:coreProperties>
</file>