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Especificação Detalhada de Requisitos de Software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detalhados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, na forma de </w:t>
      </w:r>
      <w:r w:rsidDel="00000000" w:rsidR="00000000" w:rsidRPr="00000000">
        <w:rPr>
          <w:color w:val="111111"/>
          <w:rtl w:val="0"/>
        </w:rPr>
        <w:t xml:space="preserve">descrição de casos de uso </w:t>
      </w:r>
      <w:r w:rsidDel="00000000" w:rsidR="00000000" w:rsidRPr="00000000">
        <w:rPr>
          <w:rtl w:val="0"/>
        </w:rPr>
        <w:t xml:space="preserve">do produto. 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Requisitos de Usuário versus Casos de Uso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Nesta seção é apresentada uma correspondência entre requisitos de usuário e casos de uso identificados.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color w:val="1111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Id. do Requisito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Id. do Caso de Uso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Autenticar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Consultar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Exibir Prontuário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Marcar Exames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Exibir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Imprimir Exames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Exibir Vacinas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CU-9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Exibir Medicação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Exibir 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CU-11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Acessar Perfil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CU-12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Exibir Notícias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CU-13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Exibir Campanhas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before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1. Requisitos de Usuarios Versus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3"/>
        </w:numPr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Descrição expandida dos casos de uso</w:t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</w:t>
      </w:r>
      <w:r w:rsidDel="00000000" w:rsidR="00000000" w:rsidRPr="00000000">
        <w:rPr>
          <w:color w:val="111111"/>
          <w:rtl w:val="0"/>
        </w:rPr>
        <w:t xml:space="preserve">os casos de uso do </w:t>
      </w:r>
      <w:r w:rsidDel="00000000" w:rsidR="00000000" w:rsidRPr="00000000">
        <w:rPr>
          <w:rtl w:val="0"/>
        </w:rPr>
        <w:t xml:space="preserve">produto, ordenados por identificador do caso de uso. </w:t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A descrição detalhada de cada caso de uso do sistema deve usar como referência o modelo descrito na Tabela 1. Deve ser notado que deverá ser criada uma tabela segundo o modelo citado para </w:t>
      </w:r>
      <w:r w:rsidDel="00000000" w:rsidR="00000000" w:rsidRPr="00000000">
        <w:rPr>
          <w:color w:val="0000ff"/>
          <w:u w:val="single"/>
          <w:rtl w:val="0"/>
        </w:rPr>
        <w:t xml:space="preserve">cada um dos casos de uso do sistema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Autenticar Usuário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CU-01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ter um cadastro.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preencher os campos: usuário, senha, captcha.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autenticar o Usuário.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após autenticar exibirá uma mensagem informando ao  usuário que está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O sistema deve autenticar o Usuário.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não consegue autenticar o usuário por motivo de usuário, senha ou captcha incorretos.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emite uma Mensagem avisando os itens incorretos.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Retorna ao passo 1 do fluxo Principal.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7xvpd0v5xsj6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Tabela 1 - Descrição do Caso de Uso CU-01.</w:t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widowControl w:val="0"/>
        <w:spacing w:before="0" w:lineRule="auto"/>
        <w:jc w:val="center"/>
        <w:rPr>
          <w:b w:val="1"/>
          <w:color w:val="0000ff"/>
          <w:sz w:val="20"/>
          <w:szCs w:val="20"/>
        </w:rPr>
      </w:pPr>
      <w:bookmarkStart w:colFirst="0" w:colLast="0" w:name="_pssca2xulymg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Tabela 2 - Descrição do Caso de Uso Cu-02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9ika898tq65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Tabela 3 - Descrição do Caso de Uso CU-03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owrlp0y865d8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Tabela 4 - Descrição do Caso de Uso CU-04.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wiv7satu64ca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Tabela 5 - Descrição do Caso de Uso CU-05.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5vjr5ajsmnqu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Tabela 6- Descrição do Caso de Uso CU-06.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0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l212196uurl9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Tabela 7 - Descrição do Caso de Uso CU-07.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1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4yryxhljgplo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Tabela 8 - Descrição do Caso de Uso CU-08.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3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43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j0pzm2s8ic02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Tabela 9 - Descrição do Caso de Uso CU-09.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5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5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5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6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js7rsvs2xavh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Tabela 10 - Descrição do Caso de Uso CU-10.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7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7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7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7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81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hbodlwo9d7q2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Tabela 11 - Descrição do Caso de Uso CU-11.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8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9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9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A0">
      <w:pPr>
        <w:pStyle w:val="Heading2"/>
        <w:widowControl w:val="0"/>
        <w:spacing w:before="0" w:lineRule="auto"/>
        <w:jc w:val="center"/>
        <w:rPr>
          <w:b w:val="1"/>
          <w:sz w:val="20"/>
          <w:szCs w:val="20"/>
        </w:rPr>
      </w:pPr>
      <w:bookmarkStart w:colFirst="0" w:colLast="0" w:name="_rufzdw5v9xu3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Tabela 12 - Descrição do Caso de Uso CU-12.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caso de uso&gt;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único do caso de uso nos artefatos do produto&gt;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antes da execução do caso de uso, e sem as quais seus passos não podem ser executados,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&lt;As condições que devem existir após a execução do caso de uso devem ser descritas aqui.&gt;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Fluxo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passos do fluxo principal representam os passos de uma execução de sucesso do caso de uso. Devem ser descritos seguindo o esquema: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usuário…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sistema...</w:t>
            </w:r>
          </w:p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 ser lembrado sempre que um caso de uso descreve a interação entre um ou mais atores e o sistema. Portanto, não faz sentido que uma descrição detalhada de casos de uso contenha apenas passos do usuário, ou apenas passos do sistema. </w:t>
            </w:r>
          </w:p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Além disso, casos de uso essenciais não contêm descrições relacionadas a detalhes do sistema. Ou seja, não há referências a “botões”, “telas”, “campos”. Há referências a ações do usuário e do sistema, e informações que são trocadas entre eles.</w:t>
            </w:r>
          </w:p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Finalmente, é possível fazer reuso entre casos de uso, via relacionamentos de generalização, de inclusão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include</w:t>
            </w:r>
            <w:r w:rsidDel="00000000" w:rsidR="00000000" w:rsidRPr="00000000">
              <w:rPr>
                <w:color w:val="0000ff"/>
                <w:rtl w:val="0"/>
              </w:rPr>
              <w:t xml:space="preserve">) e de extensão (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extension</w:t>
            </w:r>
            <w:r w:rsidDel="00000000" w:rsidR="00000000" w:rsidRPr="00000000">
              <w:rPr>
                <w:color w:val="0000ff"/>
                <w:rtl w:val="0"/>
              </w:rPr>
              <w:t xml:space="preserve">). A representação gráfica deste tipo de relacionamento deve respeitar as convenções da versão mais atual da UML à época de elaboração do presente documento. Já a representação textual, que deve ser feita na descrição detalhada deve respeitar as seguintes regras: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extensão: incluir a expressão [Estender caso de uso: “Nome do caso de uso extensor” - aplicável até o passo Y], onde Y é o passo a ser retomado do caso de uso estendido;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Relacionamentos de inclusão: incluir a expressão [Incluir caso de uso “Nome do caso de uso incluído”.&gt;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&lt;Os fluxos alternativos descrevem ações alternativas aos passos do fluxo principal. Cada fluxo alternativo deve ter um identificador único e deve indicar claramente o passo do fluxo principal a ele relacionado, segundo o esquema definido abaixo. Nesse esquema, X representa o número do passo do fluxo principal em que ocorreu o desvio para o fluxo alternativo em questão.</w:t>
            </w:r>
          </w:p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 - [Identificador único do fluxo alternativo e seu nome]:</w:t>
            </w:r>
          </w:p>
          <w:p w:rsidR="00000000" w:rsidDel="00000000" w:rsidP="00000000" w:rsidRDefault="00000000" w:rsidRPr="00000000" w14:paraId="000001B9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X.1 - O usuário…</w:t>
            </w:r>
          </w:p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X.2 - O sistema…</w:t>
            </w:r>
          </w:p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X.n Retorna ao passo Y do fluxo principal.</w:t>
            </w:r>
          </w:p>
          <w:p w:rsidR="00000000" w:rsidDel="00000000" w:rsidP="00000000" w:rsidRDefault="00000000" w:rsidRPr="00000000" w14:paraId="000001BD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Onde Y é o passo do fluxo principal a ser retomado após a execução do fluxo alternativo em questão.&gt; </w:t>
            </w:r>
          </w:p>
        </w:tc>
      </w:tr>
    </w:tbl>
    <w:p w:rsidR="00000000" w:rsidDel="00000000" w:rsidP="00000000" w:rsidRDefault="00000000" w:rsidRPr="00000000" w14:paraId="000001BF">
      <w:pPr>
        <w:pStyle w:val="Heading2"/>
        <w:widowControl w:val="0"/>
        <w:spacing w:before="0" w:lineRule="auto"/>
        <w:jc w:val="center"/>
        <w:rPr>
          <w:color w:val="0000ff"/>
        </w:rPr>
      </w:pPr>
      <w:bookmarkStart w:colFirst="0" w:colLast="0" w:name="_ghh0dzjfvahl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Tabela 13 - Descrição do Caso de Uso  CU-13.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440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pStyle w:val="Title"/>
      <w:jc w:val="center"/>
      <w:rPr>
        <w:sz w:val="28"/>
        <w:szCs w:val="28"/>
      </w:rPr>
    </w:pPr>
    <w:bookmarkStart w:colFirst="0" w:colLast="0" w:name="_ja7zb6g0bjpw" w:id="15"/>
    <w:bookmarkEnd w:id="1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pStyle w:val="Title"/>
      <w:jc w:val="center"/>
      <w:rPr/>
    </w:pPr>
    <w:bookmarkStart w:colFirst="0" w:colLast="0" w:name="_w078ehr2v8kl" w:id="16"/>
    <w:bookmarkEnd w:id="16"/>
    <w:r w:rsidDel="00000000" w:rsidR="00000000" w:rsidRPr="00000000">
      <w:rPr/>
      <w:drawing>
        <wp:inline distB="0" distT="0" distL="0" distR="0">
          <wp:extent cx="5731510" cy="990600"/>
          <wp:effectExtent b="0" l="0" r="0" t="0"/>
          <wp:docPr descr="UFMS-timbre_2015.png" id="1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