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Material S1: Missing Data Imputation within Joint Causal Networks</w:t>
      </w:r>
    </w:p>
    <w:p>
      <w:pPr>
        <w:pStyle w:val="Author"/>
      </w:pPr>
      <w:r>
        <w:t xml:space="preserve">The Authors</w:t>
      </w:r>
    </w:p>
    <w:bookmarkStart w:id="11" w:name="Xbfc7d93a15b64090b1d2e1d0cdcf3501aae5dbb"/>
    <w:p>
      <w:pPr>
        <w:pStyle w:val="Heading1"/>
      </w:pPr>
      <w:r>
        <w:t xml:space="preserve">Demonstrating Missing Trait Data Recovery</w:t>
      </w:r>
    </w:p>
    <w:p>
      <w:pPr>
        <w:pStyle w:val="FirstParagraph"/>
      </w:pPr>
      <w:r>
        <w:t xml:space="preserve">A frequent challenge in macroecological meta-analyses is incomplete trait matrices. When dealing with hierarchical observational data (e.g., local species abundances sampled repeatedly across multiple sites), traditional generalized linear mixed models (GLMMs) employ listwise deletion. This forces the algorithm to discard all observational count records associated with any species missing a functional trait, resulting in massive statistical power loss and potentially biased inference if data are not entirely Missing Completely At Random.</w:t>
      </w:r>
    </w:p>
    <w:p>
      <w:pPr>
        <w:pStyle w:val="BodyText"/>
      </w:pPr>
      <w:r>
        <w:t xml:space="preserve">Because the</w:t>
      </w:r>
      <w:r>
        <w:t xml:space="preserve"> </w:t>
      </w:r>
      <w:r>
        <w:rPr>
          <w:rStyle w:val="VerbatimChar"/>
        </w:rPr>
        <w:t xml:space="preserve">because</w:t>
      </w:r>
      <w:r>
        <w:t xml:space="preserve"> </w:t>
      </w:r>
      <w:r>
        <w:t xml:space="preserve">engine evaluates biological systems as a joint generative Maximum Ancestral Graph (MAG), the engine treats missing predictor variables not as an error, but as latent stochastic nodes to be estimated during Markov Chain Monte Carlo (MCMC) sampling.</w:t>
      </w:r>
    </w:p>
    <w:p>
      <w:pPr>
        <w:pStyle w:val="BodyText"/>
      </w:pPr>
      <w:r>
        <w:t xml:space="preserve">To demonstrate this advantage, we simulated a 4-level Butterfly Community interaction (</w:t>
      </w:r>
      <m:oMath>
        <m:sSub>
          <m:e>
            <m:r>
              <m:t>N</m:t>
            </m:r>
          </m:e>
          <m:sub>
            <m:r>
              <m:t>s</m:t>
            </m:r>
            <m:r>
              <m:t>p</m:t>
            </m:r>
            <m:r>
              <m:t>e</m:t>
            </m:r>
            <m:r>
              <m:t>c</m:t>
            </m:r>
            <m:r>
              <m:t>i</m:t>
            </m:r>
            <m:r>
              <m:t>e</m:t>
            </m:r>
            <m:r>
              <m:t>s</m:t>
            </m:r>
          </m:sub>
        </m:sSub>
        <m:r>
          <m:rPr>
            <m:sty m:val="p"/>
          </m:rPr>
          <m:t>=</m:t>
        </m:r>
        <m:r>
          <m:t>50</m:t>
        </m:r>
      </m:oMath>
      <w:r>
        <w:t xml:space="preserve">,</w:t>
      </w:r>
      <w:r>
        <w:t xml:space="preserve"> </w:t>
      </w:r>
      <m:oMath>
        <m:sSub>
          <m:e>
            <m:r>
              <m:t>N</m:t>
            </m:r>
          </m:e>
          <m:sub>
            <m:r>
              <m:t>s</m:t>
            </m:r>
            <m:r>
              <m:t>i</m:t>
            </m:r>
            <m:r>
              <m:t>t</m:t>
            </m:r>
            <m:r>
              <m:t>e</m:t>
            </m:r>
            <m:r>
              <m:t>s</m:t>
            </m:r>
          </m:sub>
        </m:sSub>
        <m:r>
          <m:rPr>
            <m:sty m:val="p"/>
          </m:rPr>
          <m:t>=</m:t>
        </m:r>
        <m:r>
          <m:t>15</m:t>
        </m:r>
      </m:oMath>
      <w:r>
        <w:t xml:space="preserve">,</w:t>
      </w:r>
      <w:r>
        <w:t xml:space="preserve"> </w:t>
      </w:r>
      <m:oMath>
        <m:sSub>
          <m:e>
            <m:r>
              <m:t>N</m:t>
            </m:r>
          </m:e>
          <m:sub>
            <m:r>
              <m:t>s</m:t>
            </m:r>
            <m:r>
              <m:t>u</m:t>
            </m:r>
            <m:r>
              <m:t>r</m:t>
            </m:r>
            <m:r>
              <m:t>v</m:t>
            </m:r>
            <m:r>
              <m:t>e</m:t>
            </m:r>
            <m:r>
              <m:t>y</m:t>
            </m:r>
            <m:r>
              <m:t>s</m:t>
            </m:r>
          </m:sub>
        </m:sSub>
        <m:r>
          <m:rPr>
            <m:sty m:val="p"/>
          </m:rPr>
          <m:t>=</m:t>
        </m:r>
        <m:r>
          <m:t>30</m:t>
        </m:r>
      </m:oMath>
      <w:r>
        <w:t xml:space="preserve">,</w:t>
      </w:r>
      <w:r>
        <w:t xml:space="preserve"> </w:t>
      </w:r>
      <m:oMath>
        <m:sSub>
          <m:e>
            <m:r>
              <m:t>N</m:t>
            </m:r>
          </m:e>
          <m:sub>
            <m:r>
              <m:t>o</m:t>
            </m:r>
            <m:r>
              <m:t>b</m:t>
            </m:r>
            <m:r>
              <m:t>s</m:t>
            </m:r>
          </m:sub>
        </m:sSub>
        <m:r>
          <m:rPr>
            <m:sty m:val="p"/>
          </m:rPr>
          <m:t>=</m:t>
        </m:r>
        <m:r>
          <m:t>1500</m:t>
        </m:r>
      </m:oMath>
      <w:r>
        <w:t xml:space="preserve">) based on the topology described in the main manuscript (Section 5). Count abundance (</w:t>
      </w:r>
      <m:oMath>
        <m:sSub>
          <m:e>
            <m:r>
              <m:t>Y</m:t>
            </m:r>
          </m:e>
          <m:sub>
            <m:r>
              <m:t>i</m:t>
            </m:r>
            <m:r>
              <m:t>k</m:t>
            </m:r>
          </m:sub>
        </m:sSub>
      </m:oMath>
      <w:r>
        <w:t xml:space="preserve">) was driven by, among other factors, the thermal mismatch between the survey’s recorded geographic</w:t>
      </w:r>
      <w:r>
        <w:t xml:space="preserve"> </w:t>
      </w:r>
      <w:r>
        <w:rPr>
          <w:rStyle w:val="VerbatimChar"/>
        </w:rPr>
        <w:t xml:space="preserve">Temperature</w:t>
      </w:r>
      <w:r>
        <w:t xml:space="preserve"> </w:t>
      </w:r>
      <w:r>
        <w:t xml:space="preserve">and the species’ evolutionary</w:t>
      </w:r>
      <w:r>
        <w:t xml:space="preserve"> </w:t>
      </w:r>
      <w:r>
        <w:rPr>
          <w:rStyle w:val="VerbatimChar"/>
        </w:rPr>
        <w:t xml:space="preserve">Thermal_Tolerance</w:t>
      </w:r>
      <w:r>
        <w:t xml:space="preserve">, with a true slope of</w:t>
      </w:r>
      <w:r>
        <w:t xml:space="preserve"> </w:t>
      </w:r>
      <m:oMath>
        <m:sSub>
          <m:e>
            <m:r>
              <m:t>β</m:t>
            </m:r>
          </m:e>
          <m:sub>
            <m:r>
              <m:t>m</m:t>
            </m:r>
            <m:r>
              <m:t>i</m:t>
            </m:r>
            <m:r>
              <m:t>s</m:t>
            </m:r>
            <m:r>
              <m:t>m</m:t>
            </m:r>
            <m:r>
              <m:t>a</m:t>
            </m:r>
            <m:r>
              <m:t>t</m:t>
            </m:r>
            <m:r>
              <m:t>c</m:t>
            </m:r>
            <m:r>
              <m:t>h</m:t>
            </m:r>
          </m:sub>
        </m:sSub>
        <m:r>
          <m:rPr>
            <m:sty m:val="p"/>
          </m:rPr>
          <m:t>=</m:t>
        </m:r>
        <m:r>
          <m:rPr>
            <m:sty m:val="p"/>
          </m:rPr>
          <m:t>−</m:t>
        </m:r>
        <m:r>
          <m:t>0.40</m:t>
        </m:r>
      </m:oMath>
      <w:r>
        <w:t xml:space="preserve">.</w:t>
      </w:r>
    </w:p>
    <w:p>
      <w:pPr>
        <w:pStyle w:val="BodyText"/>
      </w:pPr>
      <w:r>
        <w:t xml:space="preserve">We then artificially induced 20% missingness completely at random (MCAR) in the species-level</w:t>
      </w:r>
      <w:r>
        <w:t xml:space="preserve"> </w:t>
      </w:r>
      <w:r>
        <w:rPr>
          <w:rStyle w:val="VerbatimChar"/>
        </w:rPr>
        <w:t xml:space="preserve">Thermal_Tol</w:t>
      </w:r>
      <w:r>
        <w:t xml:space="preserve"> </w:t>
      </w:r>
      <w:r>
        <w:t xml:space="preserve">trait. This resulted in 300 of the 1,500 observational count records lacking complete predictor data.</w:t>
      </w:r>
    </w:p>
    <w:bookmarkStart w:id="9" w:name="comparative-approach"/>
    <w:p>
      <w:pPr>
        <w:pStyle w:val="Heading3"/>
      </w:pPr>
      <w:r>
        <w:t xml:space="preserve">Comparative Approach</w:t>
      </w:r>
    </w:p>
    <w:p>
      <w:pPr>
        <w:pStyle w:val="Compact"/>
        <w:numPr>
          <w:ilvl w:val="0"/>
          <w:numId w:val="1001"/>
        </w:numPr>
      </w:pPr>
      <w:r>
        <w:rPr>
          <w:b/>
          <w:bCs/>
        </w:rPr>
        <w:t xml:space="preserve">Listwise Deletion (GLMM):</w:t>
      </w:r>
      <w:r>
        <w:t xml:space="preserve"> </w:t>
      </w:r>
      <w:r>
        <w:t xml:space="preserve">We fit a standard Poisson mixed-effects regression (</w:t>
      </w:r>
      <w:r>
        <w:rPr>
          <w:rStyle w:val="VerbatimChar"/>
        </w:rPr>
        <w:t xml:space="preserve">glmer(Abundance ~ Wind_Speed + Thermal_Mismatch + (1|Site) + (1|Survey) + (1|Species))</w:t>
      </w:r>
      <w:r>
        <w:t xml:space="preserve">). The algorithm automatically dropped the 300 incomplete observations, fitting the model to the remaining 1,200 rows.</w:t>
      </w:r>
    </w:p>
    <w:p>
      <w:pPr>
        <w:pStyle w:val="Compact"/>
        <w:numPr>
          <w:ilvl w:val="0"/>
          <w:numId w:val="1001"/>
        </w:numPr>
      </w:pPr>
      <w:r>
        <w:rPr>
          <w:b/>
          <w:bCs/>
        </w:rPr>
        <w:t xml:space="preserve">Full-Information Imputation (because BSEM):</w:t>
      </w:r>
      <w:r>
        <w:t xml:space="preserve"> </w:t>
      </w:r>
      <w:r>
        <w:t xml:space="preserve">We passed the incomplete dataset to the 27,000-node joint causal network. Because</w:t>
      </w:r>
      <w:r>
        <w:t xml:space="preserve"> </w:t>
      </w:r>
      <w:r>
        <w:rPr>
          <w:rStyle w:val="VerbatimChar"/>
        </w:rPr>
        <w:t xml:space="preserve">Thermal_Tol</w:t>
      </w:r>
      <w:r>
        <w:t xml:space="preserve"> </w:t>
      </w:r>
      <w:r>
        <w:t xml:space="preserve">is modeled as a descendant of</w:t>
      </w:r>
      <w:r>
        <w:t xml:space="preserve"> </w:t>
      </w:r>
      <w:r>
        <w:rPr>
          <w:rStyle w:val="VerbatimChar"/>
        </w:rPr>
        <w:t xml:space="preserve">Metabolic_Rate</w:t>
      </w:r>
      <w:r>
        <w:t xml:space="preserve"> </w:t>
      </w:r>
      <w:r>
        <w:t xml:space="preserve">and</w:t>
      </w:r>
      <w:r>
        <w:t xml:space="preserve"> </w:t>
      </w:r>
      <w:r>
        <w:rPr>
          <w:rStyle w:val="VerbatimChar"/>
        </w:rPr>
        <w:t xml:space="preserve">Body_Mass</w:t>
      </w:r>
      <w:r>
        <w:t xml:space="preserve"> </w:t>
      </w:r>
      <w:r>
        <w:t xml:space="preserve">(which possess phylogenetic covariance), the MCMC sampler used the traits and phylogenetic position of the unsampled butterflies—along with their observed count abundances—to simultaneously estimate their missing trait values, retaining all 1,500 rows.</w:t>
      </w:r>
    </w:p>
    <w:bookmarkEnd w:id="9"/>
    <w:bookmarkStart w:id="10" w:name="results"/>
    <w:p>
      <w:pPr>
        <w:pStyle w:val="Heading3"/>
      </w:pPr>
      <w:r>
        <w:t xml:space="preserve">Results</w:t>
      </w:r>
    </w:p>
    <w:p>
      <w:pPr>
        <w:pStyle w:val="FirstParagraph"/>
      </w:pPr>
      <w:r>
        <w:t xml:space="preserve">The</w:t>
      </w:r>
      <w:r>
        <w:t xml:space="preserve"> </w:t>
      </w:r>
      <w:r>
        <w:rPr>
          <w:rStyle w:val="VerbatimChar"/>
        </w:rPr>
        <w:t xml:space="preserve">because</w:t>
      </w:r>
      <w:r>
        <w:t xml:space="preserve"> </w:t>
      </w:r>
      <w:r>
        <w:t xml:space="preserve">joint imputation natively recovered the true generative effect (</w:t>
      </w:r>
      <m:oMath>
        <m:r>
          <m:t>β</m:t>
        </m:r>
        <m:r>
          <m:rPr>
            <m:sty m:val="p"/>
          </m:rPr>
          <m:t>=</m:t>
        </m:r>
        <m:r>
          <m:rPr>
            <m:sty m:val="p"/>
          </m:rPr>
          <m:t>−</m:t>
        </m:r>
        <m:r>
          <m:t>0.40</m:t>
        </m:r>
      </m:oMath>
      <w:r>
        <w:t xml:space="preserve">) without biasing the estimate, while properly incorporating the uncertainty of the unsampled traits into the width of the Bayesian Credibility Intervals.</w:t>
      </w:r>
    </w:p>
    <w:p>
      <w:pPr>
        <w:pStyle w:val="BodyText"/>
      </w:pPr>
      <w:r>
        <w:t xml:space="preserve">In contrast, the standard GLMM relying on listwise deletion suffered from severely compromised statistical representation. The disruption to the hierarchical nested variance partitions (</w:t>
      </w:r>
      <w:r>
        <w:rPr>
          <w:rStyle w:val="VerbatimChar"/>
        </w:rPr>
        <w:t xml:space="preserve">1|Site</w:t>
      </w:r>
      <w:r>
        <w:t xml:space="preserve"> </w:t>
      </w:r>
      <w:r>
        <w:t xml:space="preserve">and</w:t>
      </w:r>
      <w:r>
        <w:t xml:space="preserve"> </w:t>
      </w:r>
      <w:r>
        <w:rPr>
          <w:rStyle w:val="VerbatimChar"/>
        </w:rPr>
        <w:t xml:space="preserve">1|Survey</w:t>
      </w:r>
      <w:r>
        <w:t xml:space="preserve">) caused the GLMM to exhibit a boundary (singular) fit warning, leading to a 48% over-estimation of the thermal mismatch effect (</w:t>
      </w:r>
      <m:oMath>
        <m:r>
          <m:t>β</m:t>
        </m:r>
        <m:r>
          <m:rPr>
            <m:sty m:val="p"/>
          </m:rPr>
          <m:t>=</m:t>
        </m:r>
        <m:r>
          <m:rPr>
            <m:sty m:val="p"/>
          </m:rPr>
          <m:t>−</m:t>
        </m:r>
        <m:r>
          <m:t>0.59</m:t>
        </m:r>
      </m:oMath>
      <w:r>
        <w:t xml:space="preserve"> </w:t>
      </w:r>
      <m:oMath>
        <m:r>
          <m:rPr>
            <m:sty m:val="p"/>
          </m:rPr>
          <m:t>±</m:t>
        </m:r>
      </m:oMath>
      <w:r>
        <w:t xml:space="preserve"> </w:t>
      </w:r>
      <m:oMath>
        <m:r>
          <m:t>0.07</m:t>
        </m:r>
      </m:oMath>
      <w:r>
        <w:t xml:space="preserve"> </w:t>
      </w:r>
      <w:r>
        <w:t xml:space="preserve">SE) and falsely amplifying the perceived severity of the biological constraint.</w:t>
      </w:r>
    </w:p>
    <w:p>
      <w:pPr>
        <w:pStyle w:val="BodyText"/>
      </w:pPr>
      <w:r>
        <w:t xml:space="preserve">These results empirically demonstrate that the ability to synthesize causal trait relationships simultaneously with count-level regressions protects researchers from the catastrophic loss of statistical power traditionally associated with piecemeal macroecological datasets.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S1: Missing Data Imputation within Joint Causal Networks</dc:title>
  <dc:creator>The Authors</dc:creator>
  <cp:keywords/>
  <dcterms:created xsi:type="dcterms:W3CDTF">2026-02-26T17:23:20Z</dcterms:created>
  <dcterms:modified xsi:type="dcterms:W3CDTF">2026-02-26T17:23:20Z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rmarkdown::word_document</vt:lpwstr>
  </property>
</Properties>
</file>