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schema  if exists easyCheck;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schema easyCheck;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easyCheck;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produto(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cod_produto int not null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descricao varchar(150),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valor_unit double,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primary key (cod_produto)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fornecedor(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cpf_cnpj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idFornecedor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nome varchar(150),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endereco varchar(150),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cep varchar(50),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primary key (idFornecedor)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escola(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idEscola int not null auto_increment,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nomeEscola varchar(150),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cpf_cnpj varchar(50),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endereco varchar(150),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telefone varchar(50),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primary key(idEscola)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create view as escolaDados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e.nomeEscola, e.endereco, e.telefone from escola 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inner join login l on l.idEscola = e.idEscola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l.idEscola = 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select * from escola;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notaFiscal(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numNotaF bigint,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dataPedido date,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idEscola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idFornecedor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primary key(numNotaF),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(idFornecedor) references fornecedor(idFornecedor),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foreign key (idEscola) references escola(idEscola)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item_notaFiscal(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idNotaF bigint,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idProduto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quant 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precoUnitario double,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precoTotal double,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(idNotaF) references notaFiscal(numNotaF),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(idProduto) references produto(cod_produto)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login(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tipo enum('1','0')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login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senha varchar(50),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idEscola int,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 (idEscola) references escola(idEscola)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