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Processo de acordar - Portugol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O relógio de pulso vibra com o despertador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Abre os olhos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Desliga o despertador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 Espreguiçar na cama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 Sentar na cama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 Pega o celular na mesinha de cabeceira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7- Abrir o Whatsapp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8- Se houver mensagens: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9- Se não houver mensagens: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fechar o whatsapp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10- Colocar o celular de volta na mesinha de cabeceira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11- Calçar os chinelos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12- Levantar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13- Ir para o banheiro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14 - Parar na frente da pia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15 - Se olhar no espelho do banheiro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16 - Colocar a mão na torneira da pia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17 - Abrir a torneira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18 - Fechar a mão em formato de concha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19 - Deixar encher com agua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20- Levar a água até o rosto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21 - Lavar o rosto.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22- Botar a mão na torneira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23- Fechar a torneira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24- Ir até a toalha de rosto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25-Pegar a toalha de rosto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26- Secar o rosto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27- Botar a toalha de volta no lugar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28- Sair do banheiro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29 - Ir para a cozinha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30- Tomar café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