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Default Extension="gif" ContentType="image/gif"/>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260F" w14:textId="44060400" w:rsidR="00116DC3" w:rsidRDefault="00E455B9" w:rsidP="004B559C">
      <w:pPr>
        <w:pStyle w:val="Cover"/>
      </w:pPr>
      <w:r>
        <w:rPr>
          <w:noProof/>
        </w:rPr>
        <w:drawing>
          <wp:anchor distT="0" distB="0" distL="114300" distR="114300" simplePos="0" relativeHeight="251659264" behindDoc="1" locked="0" layoutInCell="1" allowOverlap="1" wp14:anchorId="6F2259AB" wp14:editId="4B0A209C">
            <wp:simplePos x="0" y="0"/>
            <wp:positionH relativeFrom="column">
              <wp:posOffset>-722630</wp:posOffset>
            </wp:positionH>
            <wp:positionV relativeFrom="page">
              <wp:posOffset>0</wp:posOffset>
            </wp:positionV>
            <wp:extent cx="5333365" cy="7555865"/>
            <wp:effectExtent l="0" t="0" r="635" b="6985"/>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33365" cy="7555865"/>
                    </a:xfrm>
                    <a:prstGeom prst="rect">
                      <a:avLst/>
                    </a:prstGeom>
                  </pic:spPr>
                </pic:pic>
              </a:graphicData>
            </a:graphic>
            <wp14:sizeRelH relativeFrom="margin">
              <wp14:pctWidth>0</wp14:pctWidth>
            </wp14:sizeRelH>
            <wp14:sizeRelV relativeFrom="margin">
              <wp14:pctHeight>0</wp14:pctHeight>
            </wp14:sizeRelV>
          </wp:anchor>
        </w:drawing>
      </w:r>
    </w:p>
    <w:p w14:paraId="4EA14A83" w14:textId="4A3AE488" w:rsidR="00871395" w:rsidRDefault="00871395" w:rsidP="00956233"/>
    <w:p w14:paraId="275AF5E8" w14:textId="77777777" w:rsidR="00100D66" w:rsidRDefault="00100D66" w:rsidP="00B97D74">
      <w:pPr>
        <w:pStyle w:val="Cover"/>
      </w:pPr>
      <w:bookmarkStart w:id="0" w:name="cover_text"/>
      <w:bookmarkStart w:id="1" w:name="cover_text_new"/>
      <w:bookmarkEnd w:id="0"/>
      <w:bookmarkEnd w:id="1"/>
    </w:p>
    <w:p xmlns:w="http://schemas.openxmlformats.org/wordprocessingml/2006/main" xmlns:wp="http://schemas.openxmlformats.org/drawingml/2006/wordprocessingDrawing" xmlns:r="http://schemas.openxmlformats.org/officeDocument/2006/relationships" xmlns:w14="http://schemas.microsoft.com/office/word/2010/wordml">
      <w:pPr>
        <w:pStyle w:val="Cover"/>
      </w:pPr>
      <w:r>
        <w:t xml:space="preserve">Justice in Numbers pocketbook</w:t>
      </w:r>
    </w:p>
    <w:p xmlns:w="http://schemas.openxmlformats.org/wordprocessingml/2006/main" xmlns:wp="http://schemas.openxmlformats.org/drawingml/2006/wordprocessingDrawing" xmlns:r="http://schemas.openxmlformats.org/officeDocument/2006/relationships" xmlns:w14="http://schemas.microsoft.com/office/word/2010/wordml">
      <w:pPr>
        <w:pStyle w:val="Cover"/>
      </w:pPr>
      <w:r>
        <w:t xml:space="preserve">July 2023</w:t>
      </w:r>
    </w:p>
    <w:p w14:paraId="0266FDD9" w14:textId="55148E43" w:rsidR="00AA2744" w:rsidRDefault="00AA2744" w:rsidP="00956233">
      <w:pPr>
        <w:sectPr w:rsidR="00AA2744" w:rsidSect="00116DC3">
          <w:footerReference w:type="default" r:id="rId9"/>
          <w:headerReference w:type="first" r:id="rId10"/>
          <w:type w:val="continuous"/>
          <w:pgSz w:w="8419" w:h="11906" w:orient="landscape" w:code="9"/>
          <w:pgMar w:top="1138" w:right="1138" w:bottom="1138" w:left="1138" w:header="562" w:footer="562" w:gutter="0"/>
          <w:pgNumType w:start="0"/>
          <w:cols w:space="708"/>
          <w:titlePg/>
          <w:docGrid w:linePitch="360"/>
        </w:sectPr>
      </w:pPr>
    </w:p>
    <w:p w14:paraId="5DFE13CD" w14:textId="774A8F43" w:rsidR="00493C3D" w:rsidRPr="00956233" w:rsidRDefault="00493C3D" w:rsidP="00956233">
      <w:bookmarkStart w:id="2" w:name="text_start"/>
      <w:bookmarkEnd w:id="2"/>
      <w:r xmlns:w="http://schemas.openxmlformats.org/wordprocessingml/2006/main" xmlns:wp="http://schemas.openxmlformats.org/drawingml/2006/wordprocessingDrawing" xmlns:r="http://schemas.openxmlformats.org/officeDocument/2006/relationships" xmlns:w14="http://schemas.microsoft.com/office/word/2010/wordml">
        <w:rPr>
          <w:rStyle w:val="ContentsHeadingChar"/>
        </w:rPr>
        <w:t xml:space="preserve">Contents</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0"/>
          <w:szCs w:val="20"/>
          <w:color w:val="000000"/>
        </w:rPr>
        <w:t xml:space="preserve">The information in this edition of the pocketbook represents the latest information available from </w:t>
      </w:r>
      <w:hyperlink r:id="rId13">
        <w:r>
          <w:rPr>
            <w:rFonts w:ascii="Arial" w:hAnsi="Arial" w:eastAsia="Arial" w:cs="Arial"/>
            <w:i w:val="false"/>
            <w:b w:val="false"/>
            <w:u w:val="none"/>
            <w:sz w:val="20"/>
            <w:szCs w:val="20"/>
            <w:color w:val="000000"/>
          </w:rPr>
          <w:t xml:space="preserve">Justice in Numbers</w:t>
        </w:r>
      </w:hyperlink>
      <w:r>
        <w:rPr>
          <w:rFonts w:ascii="Arial" w:hAnsi="Arial" w:eastAsia="Arial" w:cs="Arial"/>
          <w:i w:val="false"/>
          <w:b w:val="false"/>
          <w:u w:val="none"/>
          <w:sz w:val="20"/>
          <w:szCs w:val="20"/>
          <w:color w:val="000000"/>
        </w:rPr>
        <w:t xml:space="preserve"> on </w:t>
      </w:r>
      <w:r>
        <w:rPr>
          <w:rFonts w:ascii="Arial" w:hAnsi="Arial" w:eastAsia="Arial" w:cs="Arial"/>
          <w:i w:val="false"/>
          <w:b w:val="true"/>
          <w:u w:val="none"/>
          <w:sz w:val="20"/>
          <w:szCs w:val="20"/>
          <w:color w:val="000000"/>
        </w:rPr>
        <w:t xml:space="preserve">27 July 2023</w:t>
      </w:r>
      <w:r>
        <w:rPr>
          <w:rFonts w:ascii="Arial" w:hAnsi="Arial" w:eastAsia="Arial" w:cs="Arial"/>
          <w:i w:val="false"/>
          <w:b w:val="false"/>
          <w:u w:val="none"/>
          <w:sz w:val="20"/>
          <w:szCs w:val="20"/>
          <w:color w:val="000000"/>
        </w:rPr>
        <w:t xml:space="preserve">.</w:t>
      </w:r>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Guidance</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0"/>
          <w:szCs w:val="20"/>
          <w:color w:val="000000"/>
        </w:rPr>
        <w:t xml:space="preserve">This pocketbook contains a printable version of the information presented in </w:t>
      </w:r>
      <w:hyperlink r:id="rId13">
        <w:r>
          <w:rPr>
            <w:rFonts w:ascii="Arial" w:hAnsi="Arial" w:eastAsia="Arial" w:cs="Arial"/>
            <w:i w:val="false"/>
            <w:b w:val="false"/>
            <w:u w:val="none"/>
            <w:sz w:val="20"/>
            <w:szCs w:val="20"/>
            <w:color w:val="000000"/>
          </w:rPr>
          <w:t xml:space="preserve">Justice in Numbers</w:t>
        </w:r>
      </w:hyperlink>
      <w:r>
        <w:rPr>
          <w:rFonts w:ascii="Arial" w:hAnsi="Arial" w:eastAsia="Arial" w:cs="Arial"/>
          <w:i w:val="false"/>
          <w:b w:val="false"/>
          <w:u w:val="none"/>
          <w:sz w:val="20"/>
          <w:szCs w:val="20"/>
          <w:color w:val="000000"/>
        </w:rPr>
        <w:t xml:space="preserve">. The QR code beneath each measure will take you to the relevant section of Justice in Numbers, where you can find additional trend data, as well as  links to source material where additional context and caveats can be found to aid interpretation.</w:t>
      </w:r>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0"/>
          <w:szCs w:val="20"/>
          <w:color w:val="000000"/>
        </w:rPr>
        <w:t xml:space="preserve">Some measures are presented as an annual trend, with data reported at fixed intervals. In some cases, more recent intermediate quarterly figures are published which do not align with these annual periods. These are highlighted in the 'Latest published data point' column of the Summary Tables, and above the relevant trend charts where applicable. The most recent and next publication dates are also listed for each measure. In cases where there is no next publication date listed, this is because a future publication date has not been announced.</w:t>
      </w:r>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0"/>
          <w:szCs w:val="20"/>
          <w:color w:val="000000"/>
        </w:rPr>
        <w:t xml:space="preserve">Justice in Numbers can be accessed at </w:t>
      </w:r>
      <w:hyperlink r:id="rId13">
        <w:r>
          <w:rPr>
            <w:rFonts w:ascii="Arial" w:hAnsi="Arial" w:eastAsia="Arial" w:cs="Arial"/>
            <w:i w:val="false"/>
            <w:b w:val="false"/>
            <w:u w:val="none"/>
            <w:sz w:val="20"/>
            <w:szCs w:val="20"/>
            <w:color w:val="000000"/>
          </w:rPr>
          <w:t xml:space="preserve">https://data.justice.gov.uk/justice-in-numbers</w:t>
        </w:r>
      </w:hyperlink>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r xmlns:w="http://schemas.openxmlformats.org/wordprocessingml/2006/main" xmlns:wp="http://schemas.openxmlformats.org/drawingml/2006/wordprocessingDrawing" xmlns:r="http://schemas.openxmlformats.org/officeDocument/2006/relationships" xmlns:w14="http://schemas.microsoft.com/office/word/2010/wordml">
        <w:rPr>
          <w:rStyle w:val="Heading2Char"/>
        </w:rPr>
        <w:t xml:space="preserve">Summary 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Headline measures</w:t>
      </w:r>
    </w:p>
    <w:tbl xmlns:w="http://schemas.openxmlformats.org/wordprocessingml/2006/main" xmlns:wp="http://schemas.openxmlformats.org/drawingml/2006/wordprocessingDrawing" xmlns:r="http://schemas.openxmlformats.org/officeDocument/2006/relationships">
      <w:tblPr>
        <w:tblStyle w:val="TableGrid"/>
        <w:tblLayout w:type="autofit"/>
        <w:jc w:val="left"/>
        <w:tblLook w:firstRow="1" w:lastRow="0" w:firstColumn="0" w:lastColumn="0" w:noHBand="0" w:noVBand="1"/>
      </w:tblPr>
      <w:tr>
        <w:trPr>
          <w:tblHeader/>
        </w:trPr>
        <w:tc>
          <w:p>
            <w:pPr>
              <w:pStyle w:val="SummaryTable"/>
              <w:jc w:val="left"/>
            </w:pPr>
            <w:r>
              <w:t>Description</w:t>
            </w:r>
          </w:p>
        </w:tc>
        <w:tc>
          <w:p>
            <w:pPr>
              <w:pStyle w:val="SummaryTable"/>
              <w:jc w:val="left"/>
            </w:pPr>
            <w:r>
              <w:t>Latest trend period</w:t>
            </w:r>
          </w:p>
        </w:tc>
        <w:tc>
          <w:p>
            <w:pPr>
              <w:pStyle w:val="SummaryTable"/>
              <w:jc w:val="right"/>
            </w:pPr>
            <w:r>
              <w:t>Latest trend value</w:t>
            </w:r>
          </w:p>
        </w:tc>
        <w:tc>
          <w:p>
            <w:pPr>
              <w:pStyle w:val="SummaryTable"/>
              <w:jc w:val="left"/>
            </w:pPr>
            <w:r>
              <w:t>Previous trend period</w:t>
            </w:r>
          </w:p>
        </w:tc>
        <w:tc>
          <w:p>
            <w:pPr>
              <w:pStyle w:val="SummaryTable"/>
              <w:jc w:val="right"/>
            </w:pPr>
            <w:r>
              <w:t>Previous trend value</w:t>
            </w:r>
          </w:p>
        </w:tc>
        <w:tc>
          <w:p>
            <w:pPr>
              <w:pStyle w:val="SummaryTable"/>
              <w:jc w:val="left"/>
            </w:pPr>
            <w:r>
              <w:t>Latest published data point</w:t>
            </w:r>
          </w:p>
        </w:tc>
        <w:tc>
          <w:p>
            <w:pPr>
              <w:pStyle w:val="SummaryTable"/>
              <w:jc w:val="left"/>
            </w:pPr>
            <w:r>
              <w:t>Last published</w:t>
            </w:r>
          </w:p>
        </w:tc>
        <w:tc>
          <w:p>
            <w:pPr>
              <w:pStyle w:val="SummaryTable"/>
              <w:jc w:val="left"/>
            </w:pPr>
            <w:r>
              <w:t>Next published</w:t>
            </w:r>
          </w:p>
        </w:tc>
      </w:tr>
      <w:tr>
        <w:tc>
          <w:p>
            <w:pPr>
              <w:pStyle w:val="SummaryTable"/>
              <w:jc w:val="left"/>
            </w:pPr>
            <w:r>
              <w:t>Crime figures from Crime Survey of England and Wales</w:t>
            </w:r>
          </w:p>
        </w:tc>
        <w:tc>
          <w:p>
            <w:pPr>
              <w:pStyle w:val="SummaryTable"/>
              <w:jc w:val="left"/>
            </w:pPr>
            <w:r>
              <w:t>Apr 2019 to Mar 2020</w:t>
            </w:r>
          </w:p>
        </w:tc>
        <w:tc>
          <w:p>
            <w:pPr>
              <w:pStyle w:val="SummaryTable"/>
              <w:jc w:val="right"/>
            </w:pPr>
            <w:r>
              <w:t>10.2 million</w:t>
            </w:r>
          </w:p>
        </w:tc>
        <w:tc>
          <w:p>
            <w:pPr>
              <w:pStyle w:val="SummaryTable"/>
              <w:jc w:val="left"/>
            </w:pPr>
            <w:r>
              <w:t>Apr 2018 to Mar 2019</w:t>
            </w:r>
          </w:p>
        </w:tc>
        <w:tc>
          <w:p>
            <w:pPr>
              <w:pStyle w:val="SummaryTable"/>
              <w:jc w:val="right"/>
            </w:pPr>
            <w:r>
              <w:t>11.2 million</w:t>
            </w:r>
          </w:p>
        </w:tc>
        <w:tc>
          <w:p>
            <w:pPr>
              <w:pStyle w:val="SummaryTable"/>
              <w:jc w:val="left"/>
            </w:pPr>
            <w:r>
              <w:t>Dec 2022</w:t>
            </w:r>
          </w:p>
        </w:tc>
        <w:tc>
          <w:p>
            <w:pPr>
              <w:pStyle w:val="SummaryTable"/>
              <w:jc w:val="left"/>
            </w:pPr>
            <w:r>
              <w:t>27 April 2023</w:t>
            </w:r>
          </w:p>
        </w:tc>
        <w:tc>
          <w:p>
            <w:pPr>
              <w:pStyle w:val="SummaryTable"/>
              <w:jc w:val="left"/>
            </w:pPr>
            <w:r>
              <w:t>20 July 2023 9:30am</w:t>
            </w:r>
          </w:p>
        </w:tc>
      </w:tr>
      <w:tr>
        <w:tc>
          <w:p>
            <w:pPr>
              <w:pStyle w:val="SummaryTable"/>
              <w:jc w:val="left"/>
            </w:pPr>
            <w:r>
              <w:t>Police recorded crime in England and Wales</w:t>
            </w:r>
          </w:p>
        </w:tc>
        <w:tc>
          <w:p>
            <w:pPr>
              <w:pStyle w:val="SummaryTable"/>
              <w:jc w:val="left"/>
            </w:pPr>
            <w:r>
              <w:t>Apr 2021 to Mar 2022</w:t>
            </w:r>
          </w:p>
        </w:tc>
        <w:tc>
          <w:p>
            <w:pPr>
              <w:pStyle w:val="SummaryTable"/>
              <w:jc w:val="right"/>
            </w:pPr>
            <w:r>
              <w:t>6.2 million</w:t>
            </w:r>
          </w:p>
        </w:tc>
        <w:tc>
          <w:p>
            <w:pPr>
              <w:pStyle w:val="SummaryTable"/>
              <w:jc w:val="left"/>
            </w:pPr>
            <w:r>
              <w:t>Apr 2020 to Mar 2021</w:t>
            </w:r>
          </w:p>
        </w:tc>
        <w:tc>
          <w:p>
            <w:pPr>
              <w:pStyle w:val="SummaryTable"/>
              <w:jc w:val="right"/>
            </w:pPr>
            <w:r>
              <w:t>5.3 million</w:t>
            </w:r>
          </w:p>
        </w:tc>
        <w:tc>
          <w:p>
            <w:pPr>
              <w:pStyle w:val="SummaryTable"/>
              <w:jc w:val="left"/>
            </w:pPr>
            <w:r>
              <w:t>Dec 2022</w:t>
            </w:r>
          </w:p>
        </w:tc>
        <w:tc>
          <w:p>
            <w:pPr>
              <w:pStyle w:val="SummaryTable"/>
              <w:jc w:val="left"/>
            </w:pPr>
            <w:r>
              <w:t>27 April 2023</w:t>
            </w:r>
          </w:p>
        </w:tc>
        <w:tc>
          <w:p>
            <w:pPr>
              <w:pStyle w:val="SummaryTable"/>
              <w:jc w:val="left"/>
            </w:pPr>
            <w:r>
              <w:t>20 July 2023 9:30am</w:t>
            </w:r>
          </w:p>
        </w:tc>
      </w:tr>
      <w:tr>
        <w:tc>
          <w:p>
            <w:pPr>
              <w:pStyle w:val="SummaryTable"/>
              <w:jc w:val="left"/>
            </w:pPr>
            <w:r>
              <w:t>Estimated total cost of crime in England and Wales</w:t>
            </w:r>
          </w:p>
        </w:tc>
        <w:tc>
          <w:p>
            <w:pPr>
              <w:pStyle w:val="SummaryTable"/>
              <w:jc w:val="left"/>
            </w:pPr>
            <w:r>
              <w:t>2015/16</w:t>
            </w:r>
          </w:p>
        </w:tc>
        <w:tc>
          <w:p>
            <w:pPr>
              <w:pStyle w:val="SummaryTable"/>
              <w:jc w:val="right"/>
            </w:pPr>
            <w:r>
              <w:t>£58.9bn</w:t>
            </w:r>
          </w:p>
        </w:tc>
        <w:tc>
          <w:p>
            <w:pPr>
              <w:pStyle w:val="SummaryTable"/>
              <w:jc w:val="left"/>
            </w:pPr>
            <w:r>
              <w:t/>
            </w:r>
          </w:p>
        </w:tc>
        <w:tc>
          <w:p>
            <w:pPr>
              <w:pStyle w:val="SummaryTable"/>
              <w:jc w:val="right"/>
            </w:pPr>
            <w:r>
              <w:t/>
            </w:r>
          </w:p>
        </w:tc>
        <w:tc>
          <w:p>
            <w:pPr>
              <w:pStyle w:val="SummaryTable"/>
              <w:jc w:val="left"/>
            </w:pPr>
            <w:r>
              <w:t/>
            </w:r>
          </w:p>
        </w:tc>
        <w:tc>
          <w:p>
            <w:pPr>
              <w:pStyle w:val="SummaryTable"/>
              <w:jc w:val="left"/>
            </w:pPr>
            <w:r>
              <w:t>23 July 2018</w:t>
            </w:r>
          </w:p>
        </w:tc>
        <w:tc>
          <w:p>
            <w:pPr>
              <w:pStyle w:val="SummaryTable"/>
              <w:jc w:val="left"/>
            </w:pPr>
            <w:r>
              <w:t/>
            </w:r>
          </w:p>
        </w:tc>
      </w:tr>
      <w:tr>
        <w:tc>
          <w:p>
            <w:pPr>
              <w:pStyle w:val="SummaryTable"/>
              <w:jc w:val="left"/>
            </w:pPr>
            <w:r>
              <w:t>Prison population</w:t>
            </w:r>
          </w:p>
        </w:tc>
        <w:tc>
          <w:p>
            <w:pPr>
              <w:pStyle w:val="SummaryTable"/>
              <w:jc w:val="left"/>
            </w:pPr>
            <w:r>
              <w:t>30-Jun-2022</w:t>
            </w:r>
          </w:p>
        </w:tc>
        <w:tc>
          <w:p>
            <w:pPr>
              <w:pStyle w:val="SummaryTable"/>
              <w:jc w:val="right"/>
            </w:pPr>
            <w:r>
              <w:t>80,659</w:t>
            </w:r>
          </w:p>
        </w:tc>
        <w:tc>
          <w:p>
            <w:pPr>
              <w:pStyle w:val="SummaryTable"/>
              <w:jc w:val="left"/>
            </w:pPr>
            <w:r>
              <w:t>30-Jun-2021</w:t>
            </w:r>
          </w:p>
        </w:tc>
        <w:tc>
          <w:p>
            <w:pPr>
              <w:pStyle w:val="SummaryTable"/>
              <w:jc w:val="right"/>
            </w:pPr>
            <w:r>
              <w:t>78,324</w:t>
            </w:r>
          </w:p>
        </w:tc>
        <w:tc>
          <w:p>
            <w:pPr>
              <w:pStyle w:val="SummaryTable"/>
              <w:jc w:val="left"/>
            </w:pPr>
            <w:r>
              <w:t>31-Mar-2023</w:t>
            </w:r>
          </w:p>
        </w:tc>
        <w:tc>
          <w:p>
            <w:pPr>
              <w:pStyle w:val="SummaryTable"/>
              <w:jc w:val="left"/>
            </w:pPr>
            <w:r>
              <w:t>27 April 2023</w:t>
            </w:r>
          </w:p>
        </w:tc>
        <w:tc>
          <w:p>
            <w:pPr>
              <w:pStyle w:val="SummaryTable"/>
              <w:jc w:val="left"/>
            </w:pPr>
            <w:r>
              <w:t>27 July 2023 9:30am</w:t>
            </w:r>
          </w:p>
        </w:tc>
      </w:tr>
      <w:tr>
        <w:tc>
          <w:p>
            <w:pPr>
              <w:pStyle w:val="SummaryTable"/>
              <w:jc w:val="left"/>
            </w:pPr>
            <w:r>
              <w:t>Probation caseload</w:t>
            </w:r>
          </w:p>
        </w:tc>
        <w:tc>
          <w:p>
            <w:pPr>
              <w:pStyle w:val="SummaryTable"/>
              <w:jc w:val="left"/>
            </w:pPr>
            <w:r>
              <w:t>31 Dec 2022</w:t>
            </w:r>
          </w:p>
        </w:tc>
        <w:tc>
          <w:p>
            <w:pPr>
              <w:pStyle w:val="SummaryTable"/>
              <w:jc w:val="right"/>
            </w:pPr>
            <w:r>
              <w:t>240,431</w:t>
            </w:r>
          </w:p>
        </w:tc>
        <w:tc>
          <w:p>
            <w:pPr>
              <w:pStyle w:val="SummaryTable"/>
              <w:jc w:val="left"/>
            </w:pPr>
            <w:r>
              <w:t>30 Sep 2022</w:t>
            </w:r>
          </w:p>
        </w:tc>
        <w:tc>
          <w:p>
            <w:pPr>
              <w:pStyle w:val="SummaryTable"/>
              <w:jc w:val="right"/>
            </w:pPr>
            <w:r>
              <w:t>240,674</w:t>
            </w:r>
          </w:p>
        </w:tc>
        <w:tc>
          <w:p>
            <w:pPr>
              <w:pStyle w:val="SummaryTable"/>
              <w:jc w:val="left"/>
            </w:pPr>
            <w:r>
              <w:t/>
            </w:r>
          </w:p>
        </w:tc>
        <w:tc>
          <w:p>
            <w:pPr>
              <w:pStyle w:val="SummaryTable"/>
              <w:jc w:val="left"/>
            </w:pPr>
            <w:r>
              <w:t>27 April 2023</w:t>
            </w:r>
          </w:p>
        </w:tc>
        <w:tc>
          <w:p>
            <w:pPr>
              <w:pStyle w:val="SummaryTable"/>
              <w:jc w:val="left"/>
            </w:pPr>
            <w:r>
              <w:t>27 July 2023 9:30am</w:t>
            </w:r>
          </w:p>
        </w:tc>
      </w:tr>
      <w:tr>
        <w:tc>
          <w:p>
            <w:pPr>
              <w:pStyle w:val="SummaryTable"/>
              <w:jc w:val="left"/>
            </w:pPr>
            <w:r>
              <w:t>Proven reoffending rate</w:t>
            </w:r>
          </w:p>
        </w:tc>
        <w:tc>
          <w:p>
            <w:pPr>
              <w:pStyle w:val="SummaryTable"/>
              <w:jc w:val="left"/>
            </w:pPr>
            <w:r>
              <w:t>Apr - Jun 2021</w:t>
            </w:r>
          </w:p>
        </w:tc>
        <w:tc>
          <w:p>
            <w:pPr>
              <w:pStyle w:val="SummaryTable"/>
              <w:jc w:val="right"/>
            </w:pPr>
            <w:r>
              <w:t>24.8%</w:t>
            </w:r>
          </w:p>
        </w:tc>
        <w:tc>
          <w:p>
            <w:pPr>
              <w:pStyle w:val="SummaryTable"/>
              <w:jc w:val="left"/>
            </w:pPr>
            <w:r>
              <w:t>Jan - Mar 2021</w:t>
            </w:r>
          </w:p>
        </w:tc>
        <w:tc>
          <w:p>
            <w:pPr>
              <w:pStyle w:val="SummaryTable"/>
              <w:jc w:val="right"/>
            </w:pPr>
            <w:r>
              <w:t>24.3%</w:t>
            </w:r>
          </w:p>
        </w:tc>
        <w:tc>
          <w:p>
            <w:pPr>
              <w:pStyle w:val="SummaryTable"/>
              <w:jc w:val="left"/>
            </w:pPr>
            <w:r>
              <w:t/>
            </w:r>
          </w:p>
        </w:tc>
        <w:tc>
          <w:p>
            <w:pPr>
              <w:pStyle w:val="SummaryTable"/>
              <w:jc w:val="left"/>
            </w:pPr>
            <w:r>
              <w:t>27 April 2023</w:t>
            </w:r>
          </w:p>
        </w:tc>
        <w:tc>
          <w:p>
            <w:pPr>
              <w:pStyle w:val="SummaryTable"/>
              <w:jc w:val="left"/>
            </w:pPr>
            <w:r>
              <w:t>27 July 2023 9:30am</w:t>
            </w:r>
          </w:p>
        </w:tc>
      </w:tr>
      <w:tr>
        <w:tc>
          <w:p>
            <w:pPr>
              <w:pStyle w:val="SummaryTable"/>
              <w:jc w:val="left"/>
            </w:pPr>
            <w:r>
              <w:t>Crown court disposals</w:t>
            </w:r>
          </w:p>
        </w:tc>
        <w:tc>
          <w:p>
            <w:pPr>
              <w:pStyle w:val="SummaryTable"/>
              <w:jc w:val="left"/>
            </w:pPr>
            <w:r>
              <w:t>Jan - Dec 2022</w:t>
            </w:r>
          </w:p>
        </w:tc>
        <w:tc>
          <w:p>
            <w:pPr>
              <w:pStyle w:val="SummaryTable"/>
              <w:jc w:val="right"/>
            </w:pPr>
            <w:r>
              <w:t>91,609</w:t>
            </w:r>
          </w:p>
        </w:tc>
        <w:tc>
          <w:p>
            <w:pPr>
              <w:pStyle w:val="SummaryTable"/>
              <w:jc w:val="left"/>
            </w:pPr>
            <w:r>
              <w:t>Jan - Dec 2021</w:t>
            </w:r>
          </w:p>
        </w:tc>
        <w:tc>
          <w:p>
            <w:pPr>
              <w:pStyle w:val="SummaryTable"/>
              <w:jc w:val="right"/>
            </w:pPr>
            <w:r>
              <w:t>95,768</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Crown court outstanding</w:t>
            </w:r>
          </w:p>
        </w:tc>
        <w:tc>
          <w:p>
            <w:pPr>
              <w:pStyle w:val="SummaryTable"/>
              <w:jc w:val="left"/>
            </w:pPr>
            <w:r>
              <w:t>31 Dec 2022</w:t>
            </w:r>
          </w:p>
        </w:tc>
        <w:tc>
          <w:p>
            <w:pPr>
              <w:pStyle w:val="SummaryTable"/>
              <w:jc w:val="right"/>
            </w:pPr>
            <w:r>
              <w:t>62,511</w:t>
            </w:r>
          </w:p>
        </w:tc>
        <w:tc>
          <w:p>
            <w:pPr>
              <w:pStyle w:val="SummaryTable"/>
              <w:jc w:val="left"/>
            </w:pPr>
            <w:r>
              <w:t>31 Dec 2021</w:t>
            </w:r>
          </w:p>
        </w:tc>
        <w:tc>
          <w:p>
            <w:pPr>
              <w:pStyle w:val="SummaryTable"/>
              <w:jc w:val="right"/>
            </w:pPr>
            <w:r>
              <w:t>58,388</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Magistrates' courts disposals</w:t>
            </w:r>
          </w:p>
        </w:tc>
        <w:tc>
          <w:p>
            <w:pPr>
              <w:pStyle w:val="SummaryTable"/>
              <w:jc w:val="left"/>
            </w:pPr>
            <w:r>
              <w:t>Jan - Dec 2022</w:t>
            </w:r>
          </w:p>
        </w:tc>
        <w:tc>
          <w:p>
            <w:pPr>
              <w:pStyle w:val="SummaryTable"/>
              <w:jc w:val="right"/>
            </w:pPr>
            <w:r>
              <w:t>1,266,872</w:t>
            </w:r>
          </w:p>
        </w:tc>
        <w:tc>
          <w:p>
            <w:pPr>
              <w:pStyle w:val="SummaryTable"/>
              <w:jc w:val="left"/>
            </w:pPr>
            <w:r>
              <w:t>Jan - Dec 2021</w:t>
            </w:r>
          </w:p>
        </w:tc>
        <w:tc>
          <w:p>
            <w:pPr>
              <w:pStyle w:val="SummaryTable"/>
              <w:jc w:val="right"/>
            </w:pPr>
            <w:r>
              <w:t>1,175,179</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Civil courts - total judgments</w:t>
            </w:r>
          </w:p>
        </w:tc>
        <w:tc>
          <w:p>
            <w:pPr>
              <w:pStyle w:val="SummaryTable"/>
              <w:jc w:val="left"/>
            </w:pPr>
            <w:r>
              <w:t>Jan - Dec 2022</w:t>
            </w:r>
          </w:p>
        </w:tc>
        <w:tc>
          <w:p>
            <w:pPr>
              <w:pStyle w:val="SummaryTable"/>
              <w:jc w:val="right"/>
            </w:pPr>
            <w:r>
              <w:t>901,278</w:t>
            </w:r>
          </w:p>
        </w:tc>
        <w:tc>
          <w:p>
            <w:pPr>
              <w:pStyle w:val="SummaryTable"/>
              <w:jc w:val="left"/>
            </w:pPr>
            <w:r>
              <w:t>Jan - Dec 2021</w:t>
            </w:r>
          </w:p>
        </w:tc>
        <w:tc>
          <w:p>
            <w:pPr>
              <w:pStyle w:val="SummaryTable"/>
              <w:jc w:val="right"/>
            </w:pPr>
            <w:r>
              <w:t>980,474</w:t>
            </w:r>
          </w:p>
        </w:tc>
        <w:tc>
          <w:p>
            <w:pPr>
              <w:pStyle w:val="SummaryTable"/>
              <w:jc w:val="left"/>
            </w:pPr>
            <w:r>
              <w:t/>
            </w:r>
          </w:p>
        </w:tc>
        <w:tc>
          <w:p>
            <w:pPr>
              <w:pStyle w:val="SummaryTable"/>
              <w:jc w:val="left"/>
            </w:pPr>
            <w:r>
              <w:t>1 June 2023</w:t>
            </w:r>
          </w:p>
        </w:tc>
        <w:tc>
          <w:p>
            <w:pPr>
              <w:pStyle w:val="SummaryTable"/>
              <w:jc w:val="left"/>
            </w:pPr>
            <w:r>
              <w:t>7 September 2023 9:30am</w:t>
            </w:r>
          </w:p>
        </w:tc>
      </w:tr>
      <w:tr>
        <w:tc>
          <w:p>
            <w:pPr>
              <w:pStyle w:val="SummaryTable"/>
              <w:jc w:val="left"/>
            </w:pPr>
            <w:r>
              <w:t>Family court - total cases disposed</w:t>
            </w:r>
          </w:p>
        </w:tc>
        <w:tc>
          <w:p>
            <w:pPr>
              <w:pStyle w:val="SummaryTable"/>
              <w:jc w:val="left"/>
            </w:pPr>
            <w:r>
              <w:t>Jan - Dec 2022</w:t>
            </w:r>
          </w:p>
        </w:tc>
        <w:tc>
          <w:p>
            <w:pPr>
              <w:pStyle w:val="SummaryTable"/>
              <w:jc w:val="right"/>
            </w:pPr>
            <w:r>
              <w:t>205,088</w:t>
            </w:r>
          </w:p>
        </w:tc>
        <w:tc>
          <w:p>
            <w:pPr>
              <w:pStyle w:val="SummaryTable"/>
              <w:jc w:val="left"/>
            </w:pPr>
            <w:r>
              <w:t>Jan - Dec 2021</w:t>
            </w:r>
          </w:p>
        </w:tc>
        <w:tc>
          <w:p>
            <w:pPr>
              <w:pStyle w:val="SummaryTable"/>
              <w:jc w:val="right"/>
            </w:pPr>
            <w:r>
              <w:t>249,529</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Tribunals disposals - overall</w:t>
            </w:r>
          </w:p>
        </w:tc>
        <w:tc>
          <w:p>
            <w:pPr>
              <w:pStyle w:val="SummaryTable"/>
              <w:jc w:val="left"/>
            </w:pPr>
            <w:r>
              <w:t>Apr 2020 - Mar 2021</w:t>
            </w:r>
          </w:p>
        </w:tc>
        <w:tc>
          <w:p>
            <w:pPr>
              <w:pStyle w:val="SummaryTable"/>
              <w:jc w:val="right"/>
            </w:pPr>
            <w:r>
              <w:t>265,628</w:t>
            </w:r>
          </w:p>
        </w:tc>
        <w:tc>
          <w:p>
            <w:pPr>
              <w:pStyle w:val="SummaryTable"/>
              <w:jc w:val="left"/>
            </w:pPr>
            <w:r>
              <w:t>Apr 2019 - Mar 2020</w:t>
            </w:r>
          </w:p>
        </w:tc>
        <w:tc>
          <w:p>
            <w:pPr>
              <w:pStyle w:val="SummaryTable"/>
              <w:jc w:val="right"/>
            </w:pPr>
            <w:r>
              <w:t>378,629</w:t>
            </w:r>
          </w:p>
        </w:tc>
        <w:tc>
          <w:p>
            <w:pPr>
              <w:pStyle w:val="SummaryTable"/>
              <w:jc w:val="left"/>
            </w:pPr>
            <w:r>
              <w:t/>
            </w:r>
          </w:p>
        </w:tc>
        <w:tc>
          <w:p>
            <w:pPr>
              <w:pStyle w:val="SummaryTable"/>
              <w:jc w:val="left"/>
            </w:pPr>
            <w:r>
              <w:t>8 June 2023</w:t>
            </w:r>
          </w:p>
        </w:tc>
        <w:tc>
          <w:p>
            <w:pPr>
              <w:pStyle w:val="SummaryTable"/>
              <w:jc w:val="left"/>
            </w:pPr>
            <w:r>
              <w:t>14 September 2023 9:30am</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ummaryTable"/>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Public protection</w:t>
      </w:r>
    </w:p>
    <w:tbl xmlns:w="http://schemas.openxmlformats.org/wordprocessingml/2006/main" xmlns:wp="http://schemas.openxmlformats.org/drawingml/2006/wordprocessingDrawing" xmlns:r="http://schemas.openxmlformats.org/officeDocument/2006/relationships">
      <w:tblPr>
        <w:tblStyle w:val="TableGrid"/>
        <w:tblLayout w:type="autofit"/>
        <w:jc w:val="left"/>
        <w:tblLook w:firstRow="1" w:lastRow="0" w:firstColumn="0" w:lastColumn="0" w:noHBand="0" w:noVBand="1"/>
      </w:tblPr>
      <w:tr>
        <w:trPr>
          <w:tblHeader/>
        </w:trPr>
        <w:tc>
          <w:p>
            <w:pPr>
              <w:pStyle w:val="SummaryTable"/>
              <w:jc w:val="left"/>
            </w:pPr>
            <w:r>
              <w:t>Description</w:t>
            </w:r>
          </w:p>
        </w:tc>
        <w:tc>
          <w:p>
            <w:pPr>
              <w:pStyle w:val="SummaryTable"/>
              <w:jc w:val="left"/>
            </w:pPr>
            <w:r>
              <w:t>Latest trend period</w:t>
            </w:r>
          </w:p>
        </w:tc>
        <w:tc>
          <w:p>
            <w:pPr>
              <w:pStyle w:val="SummaryTable"/>
              <w:jc w:val="right"/>
            </w:pPr>
            <w:r>
              <w:t>Latest trend value</w:t>
            </w:r>
          </w:p>
        </w:tc>
        <w:tc>
          <w:p>
            <w:pPr>
              <w:pStyle w:val="SummaryTable"/>
              <w:jc w:val="left"/>
            </w:pPr>
            <w:r>
              <w:t>Previous trend period</w:t>
            </w:r>
          </w:p>
        </w:tc>
        <w:tc>
          <w:p>
            <w:pPr>
              <w:pStyle w:val="SummaryTable"/>
              <w:jc w:val="right"/>
            </w:pPr>
            <w:r>
              <w:t>Previous trend value</w:t>
            </w:r>
          </w:p>
        </w:tc>
        <w:tc>
          <w:p>
            <w:pPr>
              <w:pStyle w:val="SummaryTable"/>
              <w:jc w:val="left"/>
            </w:pPr>
            <w:r>
              <w:t>Latest published data point</w:t>
            </w:r>
          </w:p>
        </w:tc>
        <w:tc>
          <w:p>
            <w:pPr>
              <w:pStyle w:val="SummaryTable"/>
              <w:jc w:val="left"/>
            </w:pPr>
            <w:r>
              <w:t>Last published</w:t>
            </w:r>
          </w:p>
        </w:tc>
        <w:tc>
          <w:p>
            <w:pPr>
              <w:pStyle w:val="SummaryTable"/>
              <w:jc w:val="left"/>
            </w:pPr>
            <w:r>
              <w:t>Next published</w:t>
            </w:r>
          </w:p>
        </w:tc>
      </w:tr>
      <w:tr>
        <w:tc>
          <w:p>
            <w:pPr>
              <w:pStyle w:val="SummaryTable"/>
              <w:jc w:val="left"/>
            </w:pPr>
            <w:r>
              <w:t>Prison first receptions (quarterly)</w:t>
            </w:r>
          </w:p>
        </w:tc>
        <w:tc>
          <w:p>
            <w:pPr>
              <w:pStyle w:val="SummaryTable"/>
              <w:jc w:val="left"/>
            </w:pPr>
            <w:r>
              <w:t>Oct-Dec 2022</w:t>
            </w:r>
          </w:p>
        </w:tc>
        <w:tc>
          <w:p>
            <w:pPr>
              <w:pStyle w:val="SummaryTable"/>
              <w:jc w:val="right"/>
            </w:pPr>
            <w:r>
              <w:t>16,422</w:t>
            </w:r>
          </w:p>
        </w:tc>
        <w:tc>
          <w:p>
            <w:pPr>
              <w:pStyle w:val="SummaryTable"/>
              <w:jc w:val="left"/>
            </w:pPr>
            <w:r>
              <w:t>Jul-Sep 2022</w:t>
            </w:r>
          </w:p>
        </w:tc>
        <w:tc>
          <w:p>
            <w:pPr>
              <w:pStyle w:val="SummaryTable"/>
              <w:jc w:val="right"/>
            </w:pPr>
            <w:r>
              <w:t>15,817</w:t>
            </w:r>
          </w:p>
        </w:tc>
        <w:tc>
          <w:p>
            <w:pPr>
              <w:pStyle w:val="SummaryTable"/>
              <w:jc w:val="left"/>
            </w:pPr>
            <w:r>
              <w:t/>
            </w:r>
          </w:p>
        </w:tc>
        <w:tc>
          <w:p>
            <w:pPr>
              <w:pStyle w:val="SummaryTable"/>
              <w:jc w:val="left"/>
            </w:pPr>
            <w:r>
              <w:t>27 April 2023</w:t>
            </w:r>
          </w:p>
        </w:tc>
        <w:tc>
          <w:p>
            <w:pPr>
              <w:pStyle w:val="SummaryTable"/>
              <w:jc w:val="left"/>
            </w:pPr>
            <w:r>
              <w:t>27 July 2023 9:30am</w:t>
            </w:r>
          </w:p>
        </w:tc>
      </w:tr>
      <w:tr>
        <w:tc>
          <w:p>
            <w:pPr>
              <w:pStyle w:val="SummaryTable"/>
              <w:jc w:val="left"/>
            </w:pPr>
            <w:r>
              <w:t>Prison population</w:t>
            </w:r>
          </w:p>
        </w:tc>
        <w:tc>
          <w:p>
            <w:pPr>
              <w:pStyle w:val="SummaryTable"/>
              <w:jc w:val="left"/>
            </w:pPr>
            <w:r>
              <w:t>30-Jun-2022</w:t>
            </w:r>
          </w:p>
        </w:tc>
        <w:tc>
          <w:p>
            <w:pPr>
              <w:pStyle w:val="SummaryTable"/>
              <w:jc w:val="right"/>
            </w:pPr>
            <w:r>
              <w:t>80,659</w:t>
            </w:r>
          </w:p>
        </w:tc>
        <w:tc>
          <w:p>
            <w:pPr>
              <w:pStyle w:val="SummaryTable"/>
              <w:jc w:val="left"/>
            </w:pPr>
            <w:r>
              <w:t>30-Jun-2021</w:t>
            </w:r>
          </w:p>
        </w:tc>
        <w:tc>
          <w:p>
            <w:pPr>
              <w:pStyle w:val="SummaryTable"/>
              <w:jc w:val="right"/>
            </w:pPr>
            <w:r>
              <w:t>78,324</w:t>
            </w:r>
          </w:p>
        </w:tc>
        <w:tc>
          <w:p>
            <w:pPr>
              <w:pStyle w:val="SummaryTable"/>
              <w:jc w:val="left"/>
            </w:pPr>
            <w:r>
              <w:t>31-Mar-2023</w:t>
            </w:r>
          </w:p>
        </w:tc>
        <w:tc>
          <w:p>
            <w:pPr>
              <w:pStyle w:val="SummaryTable"/>
              <w:jc w:val="left"/>
            </w:pPr>
            <w:r>
              <w:t>27 April 2023</w:t>
            </w:r>
          </w:p>
        </w:tc>
        <w:tc>
          <w:p>
            <w:pPr>
              <w:pStyle w:val="SummaryTable"/>
              <w:jc w:val="left"/>
            </w:pPr>
            <w:r>
              <w:t>27 July 2023 9:30am</w:t>
            </w:r>
          </w:p>
        </w:tc>
      </w:tr>
      <w:tr>
        <w:tc>
          <w:p>
            <w:pPr>
              <w:pStyle w:val="SummaryTable"/>
              <w:jc w:val="left"/>
            </w:pPr>
            <w:r>
              <w:t>Prison releases (quarterly)</w:t>
            </w:r>
          </w:p>
        </w:tc>
        <w:tc>
          <w:p>
            <w:pPr>
              <w:pStyle w:val="SummaryTable"/>
              <w:jc w:val="left"/>
            </w:pPr>
            <w:r>
              <w:t>Oct - Dec 2022</w:t>
            </w:r>
          </w:p>
        </w:tc>
        <w:tc>
          <w:p>
            <w:pPr>
              <w:pStyle w:val="SummaryTable"/>
              <w:jc w:val="right"/>
            </w:pPr>
            <w:r>
              <w:t>11,467</w:t>
            </w:r>
          </w:p>
        </w:tc>
        <w:tc>
          <w:p>
            <w:pPr>
              <w:pStyle w:val="SummaryTable"/>
              <w:jc w:val="left"/>
            </w:pPr>
            <w:r>
              <w:t>Jul - Sep 2022</w:t>
            </w:r>
          </w:p>
        </w:tc>
        <w:tc>
          <w:p>
            <w:pPr>
              <w:pStyle w:val="SummaryTable"/>
              <w:jc w:val="right"/>
            </w:pPr>
            <w:r>
              <w:t>11,545</w:t>
            </w:r>
          </w:p>
        </w:tc>
        <w:tc>
          <w:p>
            <w:pPr>
              <w:pStyle w:val="SummaryTable"/>
              <w:jc w:val="left"/>
            </w:pPr>
            <w:r>
              <w:t/>
            </w:r>
          </w:p>
        </w:tc>
        <w:tc>
          <w:p>
            <w:pPr>
              <w:pStyle w:val="SummaryTable"/>
              <w:jc w:val="left"/>
            </w:pPr>
            <w:r>
              <w:t>27 April 2023</w:t>
            </w:r>
          </w:p>
        </w:tc>
        <w:tc>
          <w:p>
            <w:pPr>
              <w:pStyle w:val="SummaryTable"/>
              <w:jc w:val="left"/>
            </w:pPr>
            <w:r>
              <w:t>27 July 2023 9:30am</w:t>
            </w:r>
          </w:p>
        </w:tc>
      </w:tr>
      <w:tr>
        <w:tc>
          <w:p>
            <w:pPr>
              <w:pStyle w:val="SummaryTable"/>
              <w:jc w:val="left"/>
            </w:pPr>
            <w:r>
              <w:t>Individuals released on temporary licence</w:t>
            </w:r>
          </w:p>
        </w:tc>
        <w:tc>
          <w:p>
            <w:pPr>
              <w:pStyle w:val="SummaryTable"/>
              <w:jc w:val="left"/>
            </w:pPr>
            <w:r>
              <w:t>Oct-Dec 2022</w:t>
            </w:r>
          </w:p>
        </w:tc>
        <w:tc>
          <w:p>
            <w:pPr>
              <w:pStyle w:val="SummaryTable"/>
              <w:jc w:val="right"/>
            </w:pPr>
            <w:r>
              <w:t>4,255</w:t>
            </w:r>
          </w:p>
        </w:tc>
        <w:tc>
          <w:p>
            <w:pPr>
              <w:pStyle w:val="SummaryTable"/>
              <w:jc w:val="left"/>
            </w:pPr>
            <w:r>
              <w:t>Jul-Sep 2022</w:t>
            </w:r>
          </w:p>
        </w:tc>
        <w:tc>
          <w:p>
            <w:pPr>
              <w:pStyle w:val="SummaryTable"/>
              <w:jc w:val="right"/>
            </w:pPr>
            <w:r>
              <w:t>4,257</w:t>
            </w:r>
          </w:p>
        </w:tc>
        <w:tc>
          <w:p>
            <w:pPr>
              <w:pStyle w:val="SummaryTable"/>
              <w:jc w:val="left"/>
            </w:pPr>
            <w:r>
              <w:t/>
            </w:r>
          </w:p>
        </w:tc>
        <w:tc>
          <w:p>
            <w:pPr>
              <w:pStyle w:val="SummaryTable"/>
              <w:jc w:val="left"/>
            </w:pPr>
            <w:r>
              <w:t>27 April 2023</w:t>
            </w:r>
          </w:p>
        </w:tc>
        <w:tc>
          <w:p>
            <w:pPr>
              <w:pStyle w:val="SummaryTable"/>
              <w:jc w:val="left"/>
            </w:pPr>
            <w:r>
              <w:t>27 July 2023 9:30am</w:t>
            </w:r>
          </w:p>
        </w:tc>
      </w:tr>
      <w:tr>
        <w:tc>
          <w:p>
            <w:pPr>
              <w:pStyle w:val="SummaryTable"/>
              <w:jc w:val="left"/>
            </w:pPr>
            <w:r>
              <w:t>Prison operational capacity</w:t>
            </w:r>
          </w:p>
        </w:tc>
        <w:tc>
          <w:p>
            <w:pPr>
              <w:pStyle w:val="SummaryTable"/>
              <w:jc w:val="left"/>
            </w:pPr>
            <w:r>
              <w:t>Jun 2022</w:t>
            </w:r>
          </w:p>
        </w:tc>
        <w:tc>
          <w:p>
            <w:pPr>
              <w:pStyle w:val="SummaryTable"/>
              <w:jc w:val="right"/>
            </w:pPr>
            <w:r>
              <w:t>82,759</w:t>
            </w:r>
          </w:p>
        </w:tc>
        <w:tc>
          <w:p>
            <w:pPr>
              <w:pStyle w:val="SummaryTable"/>
              <w:jc w:val="left"/>
            </w:pPr>
            <w:r>
              <w:t>Jun 2021</w:t>
            </w:r>
          </w:p>
        </w:tc>
        <w:tc>
          <w:p>
            <w:pPr>
              <w:pStyle w:val="SummaryTable"/>
              <w:jc w:val="right"/>
            </w:pPr>
            <w:r>
              <w:t>81,154</w:t>
            </w:r>
          </w:p>
        </w:tc>
        <w:tc>
          <w:p>
            <w:pPr>
              <w:pStyle w:val="SummaryTable"/>
              <w:jc w:val="left"/>
            </w:pPr>
            <w:r>
              <w:t>30-Sep-2022</w:t>
            </w:r>
          </w:p>
        </w:tc>
        <w:tc>
          <w:p>
            <w:pPr>
              <w:pStyle w:val="SummaryTable"/>
              <w:jc w:val="left"/>
            </w:pPr>
            <w:r>
              <w:t>28 October 2022</w:t>
            </w:r>
          </w:p>
        </w:tc>
        <w:tc>
          <w:p>
            <w:pPr>
              <w:pStyle w:val="SummaryTable"/>
              <w:jc w:val="left"/>
            </w:pPr>
            <w:r>
              <w:t/>
            </w:r>
          </w:p>
        </w:tc>
      </w:tr>
      <w:tr>
        <w:tc>
          <w:p>
            <w:pPr>
              <w:pStyle w:val="SummaryTable"/>
              <w:jc w:val="left"/>
            </w:pPr>
            <w:r>
              <w:t>Prison staff in post (bands 3-5)</w:t>
            </w:r>
          </w:p>
        </w:tc>
        <w:tc>
          <w:p>
            <w:pPr>
              <w:pStyle w:val="SummaryTable"/>
              <w:jc w:val="left"/>
            </w:pPr>
            <w:r>
              <w:t>March 2023</w:t>
            </w:r>
          </w:p>
        </w:tc>
        <w:tc>
          <w:p>
            <w:pPr>
              <w:pStyle w:val="SummaryTable"/>
              <w:jc w:val="right"/>
            </w:pPr>
            <w:r>
              <w:t>22,288</w:t>
            </w:r>
          </w:p>
        </w:tc>
        <w:tc>
          <w:p>
            <w:pPr>
              <w:pStyle w:val="SummaryTable"/>
              <w:jc w:val="left"/>
            </w:pPr>
            <w:r>
              <w:t>March 2022</w:t>
            </w:r>
          </w:p>
        </w:tc>
        <w:tc>
          <w:p>
            <w:pPr>
              <w:pStyle w:val="SummaryTable"/>
              <w:jc w:val="right"/>
            </w:pPr>
            <w:r>
              <w:t>22,001</w:t>
            </w:r>
          </w:p>
        </w:tc>
        <w:tc>
          <w:p>
            <w:pPr>
              <w:pStyle w:val="SummaryTable"/>
              <w:jc w:val="left"/>
            </w:pPr>
            <w:r>
              <w:t/>
            </w:r>
          </w:p>
        </w:tc>
        <w:tc>
          <w:p>
            <w:pPr>
              <w:pStyle w:val="SummaryTable"/>
              <w:jc w:val="left"/>
            </w:pPr>
            <w:r>
              <w:t>22 May 2023</w:t>
            </w:r>
          </w:p>
        </w:tc>
        <w:tc>
          <w:p>
            <w:pPr>
              <w:pStyle w:val="SummaryTable"/>
              <w:jc w:val="left"/>
            </w:pPr>
            <w:r>
              <w:t>17 August 2023 9:30am</w:t>
            </w:r>
          </w:p>
        </w:tc>
      </w:tr>
      <w:tr>
        <w:tc>
          <w:p>
            <w:pPr>
              <w:pStyle w:val="SummaryTable"/>
              <w:jc w:val="left"/>
            </w:pPr>
            <w:r>
              <w:t>Crowding</w:t>
            </w:r>
          </w:p>
        </w:tc>
        <w:tc>
          <w:p>
            <w:pPr>
              <w:pStyle w:val="SummaryTable"/>
              <w:jc w:val="left"/>
            </w:pPr>
            <w:r>
              <w:t>Apr 2021 to Mar 2022</w:t>
            </w:r>
          </w:p>
        </w:tc>
        <w:tc>
          <w:p>
            <w:pPr>
              <w:pStyle w:val="SummaryTable"/>
              <w:jc w:val="right"/>
            </w:pPr>
            <w:r>
              <w:t>20.6 %</w:t>
            </w:r>
          </w:p>
        </w:tc>
        <w:tc>
          <w:p>
            <w:pPr>
              <w:pStyle w:val="SummaryTable"/>
              <w:jc w:val="left"/>
            </w:pPr>
            <w:r>
              <w:t>Apr 2020 to Mar 2021</w:t>
            </w:r>
          </w:p>
        </w:tc>
        <w:tc>
          <w:p>
            <w:pPr>
              <w:pStyle w:val="SummaryTable"/>
              <w:jc w:val="right"/>
            </w:pPr>
            <w:r>
              <w:t>20.2 %</w:t>
            </w:r>
          </w:p>
        </w:tc>
        <w:tc>
          <w:p>
            <w:pPr>
              <w:pStyle w:val="SummaryTable"/>
              <w:jc w:val="left"/>
            </w:pPr>
            <w:r>
              <w:t/>
            </w:r>
          </w:p>
        </w:tc>
        <w:tc>
          <w:p>
            <w:pPr>
              <w:pStyle w:val="SummaryTable"/>
              <w:jc w:val="left"/>
            </w:pPr>
            <w:r>
              <w:t>28 July 2022</w:t>
            </w:r>
          </w:p>
        </w:tc>
        <w:tc>
          <w:p>
            <w:pPr>
              <w:pStyle w:val="SummaryTable"/>
              <w:jc w:val="left"/>
            </w:pPr>
            <w:r>
              <w:t/>
            </w:r>
          </w:p>
        </w:tc>
      </w:tr>
      <w:tr>
        <w:tc>
          <w:p>
            <w:pPr>
              <w:pStyle w:val="SummaryTable"/>
              <w:jc w:val="left"/>
            </w:pPr>
            <w:r>
              <w:t>Prisoner on prisoner assaults per 1,000 prisoners</w:t>
            </w:r>
          </w:p>
        </w:tc>
        <w:tc>
          <w:p>
            <w:pPr>
              <w:pStyle w:val="SummaryTable"/>
              <w:jc w:val="left"/>
            </w:pPr>
            <w:r>
              <w:t>Apr 2021 to Mar 2022</w:t>
            </w:r>
          </w:p>
        </w:tc>
        <w:tc>
          <w:p>
            <w:pPr>
              <w:pStyle w:val="SummaryTable"/>
              <w:jc w:val="right"/>
            </w:pPr>
            <w:r>
              <w:t>174</w:t>
            </w:r>
          </w:p>
        </w:tc>
        <w:tc>
          <w:p>
            <w:pPr>
              <w:pStyle w:val="SummaryTable"/>
              <w:jc w:val="left"/>
            </w:pPr>
            <w:r>
              <w:t>Apr 2020 to Mar 2021</w:t>
            </w:r>
          </w:p>
        </w:tc>
        <w:tc>
          <w:p>
            <w:pPr>
              <w:pStyle w:val="SummaryTable"/>
              <w:jc w:val="right"/>
            </w:pPr>
            <w:r>
              <w:t>159</w:t>
            </w:r>
          </w:p>
        </w:tc>
        <w:tc>
          <w:p>
            <w:pPr>
              <w:pStyle w:val="SummaryTable"/>
              <w:jc w:val="left"/>
            </w:pPr>
            <w:r>
              <w:t>Dec-2022</w:t>
            </w:r>
          </w:p>
        </w:tc>
        <w:tc>
          <w:p>
            <w:pPr>
              <w:pStyle w:val="SummaryTable"/>
              <w:jc w:val="left"/>
            </w:pPr>
            <w:r>
              <w:t>27 April 2023</w:t>
            </w:r>
          </w:p>
        </w:tc>
        <w:tc>
          <w:p>
            <w:pPr>
              <w:pStyle w:val="SummaryTable"/>
              <w:jc w:val="left"/>
            </w:pPr>
            <w:r>
              <w:t>27 July 2023 9:30am</w:t>
            </w:r>
          </w:p>
        </w:tc>
      </w:tr>
      <w:tr>
        <w:tc>
          <w:p>
            <w:pPr>
              <w:pStyle w:val="SummaryTable"/>
              <w:jc w:val="left"/>
            </w:pPr>
            <w:r>
              <w:t>Assaults on staff per 1,000 prisoners</w:t>
            </w:r>
          </w:p>
        </w:tc>
        <w:tc>
          <w:p>
            <w:pPr>
              <w:pStyle w:val="SummaryTable"/>
              <w:jc w:val="left"/>
            </w:pPr>
            <w:r>
              <w:t>Apr 2021 to Mar 2022</w:t>
            </w:r>
          </w:p>
        </w:tc>
        <w:tc>
          <w:p>
            <w:pPr>
              <w:pStyle w:val="SummaryTable"/>
              <w:jc w:val="right"/>
            </w:pPr>
            <w:r>
              <w:t>90</w:t>
            </w:r>
          </w:p>
        </w:tc>
        <w:tc>
          <w:p>
            <w:pPr>
              <w:pStyle w:val="SummaryTable"/>
              <w:jc w:val="left"/>
            </w:pPr>
            <w:r>
              <w:t>Apr 2020 to Mar 2021</w:t>
            </w:r>
          </w:p>
        </w:tc>
        <w:tc>
          <w:p>
            <w:pPr>
              <w:pStyle w:val="SummaryTable"/>
              <w:jc w:val="right"/>
            </w:pPr>
            <w:r>
              <w:t>97</w:t>
            </w:r>
          </w:p>
        </w:tc>
        <w:tc>
          <w:p>
            <w:pPr>
              <w:pStyle w:val="SummaryTable"/>
              <w:jc w:val="left"/>
            </w:pPr>
            <w:r>
              <w:t>Dec-2022</w:t>
            </w:r>
          </w:p>
        </w:tc>
        <w:tc>
          <w:p>
            <w:pPr>
              <w:pStyle w:val="SummaryTable"/>
              <w:jc w:val="left"/>
            </w:pPr>
            <w:r>
              <w:t>27 April 2023</w:t>
            </w:r>
          </w:p>
        </w:tc>
        <w:tc>
          <w:p>
            <w:pPr>
              <w:pStyle w:val="SummaryTable"/>
              <w:jc w:val="left"/>
            </w:pPr>
            <w:r>
              <w:t>27 July 2023 9:30am</w:t>
            </w:r>
          </w:p>
        </w:tc>
      </w:tr>
      <w:tr>
        <w:tc>
          <w:p>
            <w:pPr>
              <w:pStyle w:val="SummaryTable"/>
              <w:jc w:val="left"/>
            </w:pPr>
            <w:r>
              <w:t>Self-harm incidents per 1,000 prisoners</w:t>
            </w:r>
          </w:p>
        </w:tc>
        <w:tc>
          <w:p>
            <w:pPr>
              <w:pStyle w:val="SummaryTable"/>
              <w:jc w:val="left"/>
            </w:pPr>
            <w:r>
              <w:t>Apr 2021 to Mar 2022</w:t>
            </w:r>
          </w:p>
        </w:tc>
        <w:tc>
          <w:p>
            <w:pPr>
              <w:pStyle w:val="SummaryTable"/>
              <w:jc w:val="right"/>
            </w:pPr>
            <w:r>
              <w:t>687</w:t>
            </w:r>
          </w:p>
        </w:tc>
        <w:tc>
          <w:p>
            <w:pPr>
              <w:pStyle w:val="SummaryTable"/>
              <w:jc w:val="left"/>
            </w:pPr>
            <w:r>
              <w:t>Apr 2020 to Mar 2021</w:t>
            </w:r>
          </w:p>
        </w:tc>
        <w:tc>
          <w:p>
            <w:pPr>
              <w:pStyle w:val="SummaryTable"/>
              <w:jc w:val="right"/>
            </w:pPr>
            <w:r>
              <w:t>685</w:t>
            </w:r>
          </w:p>
        </w:tc>
        <w:tc>
          <w:p>
            <w:pPr>
              <w:pStyle w:val="SummaryTable"/>
              <w:jc w:val="left"/>
            </w:pPr>
            <w:r>
              <w:t>Dec-2022</w:t>
            </w:r>
          </w:p>
        </w:tc>
        <w:tc>
          <w:p>
            <w:pPr>
              <w:pStyle w:val="SummaryTable"/>
              <w:jc w:val="left"/>
            </w:pPr>
            <w:r>
              <w:t>27 April 2023</w:t>
            </w:r>
          </w:p>
        </w:tc>
        <w:tc>
          <w:p>
            <w:pPr>
              <w:pStyle w:val="SummaryTable"/>
              <w:jc w:val="left"/>
            </w:pPr>
            <w:r>
              <w:t>27 July 2023 9:30am</w:t>
            </w:r>
          </w:p>
        </w:tc>
      </w:tr>
      <w:tr>
        <w:tc>
          <w:p>
            <w:pPr>
              <w:pStyle w:val="SummaryTable"/>
              <w:jc w:val="left"/>
            </w:pPr>
            <w:r>
              <w:t>Self inflicted deaths</w:t>
            </w:r>
          </w:p>
        </w:tc>
        <w:tc>
          <w:p>
            <w:pPr>
              <w:pStyle w:val="SummaryTable"/>
              <w:jc w:val="left"/>
            </w:pPr>
            <w:r>
              <w:t>Apr 2022 to Mar 2023</w:t>
            </w:r>
          </w:p>
        </w:tc>
        <w:tc>
          <w:p>
            <w:pPr>
              <w:pStyle w:val="SummaryTable"/>
              <w:jc w:val="right"/>
            </w:pPr>
            <w:r>
              <w:t>82</w:t>
            </w:r>
          </w:p>
        </w:tc>
        <w:tc>
          <w:p>
            <w:pPr>
              <w:pStyle w:val="SummaryTable"/>
              <w:jc w:val="left"/>
            </w:pPr>
            <w:r>
              <w:t>Apr 2021 to Mar 2022</w:t>
            </w:r>
          </w:p>
        </w:tc>
        <w:tc>
          <w:p>
            <w:pPr>
              <w:pStyle w:val="SummaryTable"/>
              <w:jc w:val="right"/>
            </w:pPr>
            <w:r>
              <w:t>79</w:t>
            </w:r>
          </w:p>
        </w:tc>
        <w:tc>
          <w:p>
            <w:pPr>
              <w:pStyle w:val="SummaryTable"/>
              <w:jc w:val="left"/>
            </w:pPr>
            <w:r>
              <w:t>Mar-2023</w:t>
            </w:r>
          </w:p>
        </w:tc>
        <w:tc>
          <w:p>
            <w:pPr>
              <w:pStyle w:val="SummaryTable"/>
              <w:jc w:val="left"/>
            </w:pPr>
            <w:r>
              <w:t>27 April 2023</w:t>
            </w:r>
          </w:p>
        </w:tc>
        <w:tc>
          <w:p>
            <w:pPr>
              <w:pStyle w:val="SummaryTable"/>
              <w:jc w:val="left"/>
            </w:pPr>
            <w:r>
              <w:t>27 July 2023 9:30am</w:t>
            </w:r>
          </w:p>
        </w:tc>
      </w:tr>
      <w:tr>
        <w:tc>
          <w:p>
            <w:pPr>
              <w:pStyle w:val="SummaryTable"/>
              <w:jc w:val="left"/>
            </w:pPr>
            <w:r>
              <w:t>Random mandatory drug testing (traditional drugs)</w:t>
            </w:r>
          </w:p>
        </w:tc>
        <w:tc>
          <w:p>
            <w:pPr>
              <w:pStyle w:val="SummaryTable"/>
              <w:jc w:val="left"/>
            </w:pPr>
            <w:r>
              <w:t>Apr 2019 to Mar 2020</w:t>
            </w:r>
          </w:p>
        </w:tc>
        <w:tc>
          <w:p>
            <w:pPr>
              <w:pStyle w:val="SummaryTable"/>
              <w:jc w:val="right"/>
            </w:pPr>
            <w:r>
              <w:t>10.5 %</w:t>
            </w:r>
          </w:p>
        </w:tc>
        <w:tc>
          <w:p>
            <w:pPr>
              <w:pStyle w:val="SummaryTable"/>
              <w:jc w:val="left"/>
            </w:pPr>
            <w:r>
              <w:t>Apr 2018 to Mar 2019</w:t>
            </w:r>
          </w:p>
        </w:tc>
        <w:tc>
          <w:p>
            <w:pPr>
              <w:pStyle w:val="SummaryTable"/>
              <w:jc w:val="right"/>
            </w:pPr>
            <w:r>
              <w:t>10.4 %</w:t>
            </w:r>
          </w:p>
        </w:tc>
        <w:tc>
          <w:p>
            <w:pPr>
              <w:pStyle w:val="SummaryTable"/>
              <w:jc w:val="left"/>
            </w:pPr>
            <w:r>
              <w:t/>
            </w:r>
          </w:p>
        </w:tc>
        <w:tc>
          <w:p>
            <w:pPr>
              <w:pStyle w:val="SummaryTable"/>
              <w:jc w:val="left"/>
            </w:pPr>
            <w:r>
              <w:t>28 July 2022</w:t>
            </w:r>
          </w:p>
        </w:tc>
        <w:tc>
          <w:p>
            <w:pPr>
              <w:pStyle w:val="SummaryTable"/>
              <w:jc w:val="left"/>
            </w:pPr>
            <w:r>
              <w:t/>
            </w:r>
          </w:p>
        </w:tc>
      </w:tr>
      <w:tr>
        <w:tc>
          <w:p>
            <w:pPr>
              <w:pStyle w:val="SummaryTable"/>
              <w:jc w:val="left"/>
            </w:pPr>
            <w:r>
              <w:t>Barricades or prevention of access</w:t>
            </w:r>
          </w:p>
        </w:tc>
        <w:tc>
          <w:p>
            <w:pPr>
              <w:pStyle w:val="SummaryTable"/>
              <w:jc w:val="left"/>
            </w:pPr>
            <w:r>
              <w:t>Apr 2021 to Mar 2022</w:t>
            </w:r>
          </w:p>
        </w:tc>
        <w:tc>
          <w:p>
            <w:pPr>
              <w:pStyle w:val="SummaryTable"/>
              <w:jc w:val="right"/>
            </w:pPr>
            <w:r>
              <w:t>1,273</w:t>
            </w:r>
          </w:p>
        </w:tc>
        <w:tc>
          <w:p>
            <w:pPr>
              <w:pStyle w:val="SummaryTable"/>
              <w:jc w:val="left"/>
            </w:pPr>
            <w:r>
              <w:t>Apr 2020 to Mar 2021</w:t>
            </w:r>
          </w:p>
        </w:tc>
        <w:tc>
          <w:p>
            <w:pPr>
              <w:pStyle w:val="SummaryTable"/>
              <w:jc w:val="right"/>
            </w:pPr>
            <w:r>
              <w:t>1,217</w:t>
            </w:r>
          </w:p>
        </w:tc>
        <w:tc>
          <w:p>
            <w:pPr>
              <w:pStyle w:val="SummaryTable"/>
              <w:jc w:val="left"/>
            </w:pPr>
            <w:r>
              <w:t/>
            </w:r>
          </w:p>
        </w:tc>
        <w:tc>
          <w:p>
            <w:pPr>
              <w:pStyle w:val="SummaryTable"/>
              <w:jc w:val="left"/>
            </w:pPr>
            <w:r>
              <w:t>28 July 2022</w:t>
            </w:r>
          </w:p>
        </w:tc>
        <w:tc>
          <w:p>
            <w:pPr>
              <w:pStyle w:val="SummaryTable"/>
              <w:jc w:val="left"/>
            </w:pPr>
            <w:r>
              <w:t/>
            </w:r>
          </w:p>
        </w:tc>
      </w:tr>
      <w:tr>
        <w:tc>
          <w:p>
            <w:pPr>
              <w:pStyle w:val="SummaryTable"/>
              <w:jc w:val="left"/>
            </w:pPr>
            <w:r>
              <w:t>Escapes from prison establishments and HMPPS escort</w:t>
            </w:r>
          </w:p>
        </w:tc>
        <w:tc>
          <w:p>
            <w:pPr>
              <w:pStyle w:val="SummaryTable"/>
              <w:jc w:val="left"/>
            </w:pPr>
            <w:r>
              <w:t>Apr 2021 to Mar 2022</w:t>
            </w:r>
          </w:p>
        </w:tc>
        <w:tc>
          <w:p>
            <w:pPr>
              <w:pStyle w:val="SummaryTable"/>
              <w:jc w:val="right"/>
            </w:pPr>
            <w:r>
              <w:t>1</w:t>
            </w:r>
          </w:p>
        </w:tc>
        <w:tc>
          <w:p>
            <w:pPr>
              <w:pStyle w:val="SummaryTable"/>
              <w:jc w:val="left"/>
            </w:pPr>
            <w:r>
              <w:t>Apr 2020 to Mar 2021</w:t>
            </w:r>
          </w:p>
        </w:tc>
        <w:tc>
          <w:p>
            <w:pPr>
              <w:pStyle w:val="SummaryTable"/>
              <w:jc w:val="right"/>
            </w:pPr>
            <w:r>
              <w:t>0</w:t>
            </w:r>
          </w:p>
        </w:tc>
        <w:tc>
          <w:p>
            <w:pPr>
              <w:pStyle w:val="SummaryTable"/>
              <w:jc w:val="left"/>
            </w:pPr>
            <w:r>
              <w:t/>
            </w:r>
          </w:p>
        </w:tc>
        <w:tc>
          <w:p>
            <w:pPr>
              <w:pStyle w:val="SummaryTable"/>
              <w:jc w:val="left"/>
            </w:pPr>
            <w:r>
              <w:t>28 July 2022</w:t>
            </w:r>
          </w:p>
        </w:tc>
        <w:tc>
          <w:p>
            <w:pPr>
              <w:pStyle w:val="SummaryTable"/>
              <w:jc w:val="left"/>
            </w:pPr>
            <w:r>
              <w:t/>
            </w:r>
          </w:p>
        </w:tc>
      </w:tr>
      <w:tr>
        <w:tc>
          <w:p>
            <w:pPr>
              <w:pStyle w:val="SummaryTable"/>
              <w:jc w:val="left"/>
            </w:pPr>
            <w:r>
              <w:t>Absconds</w:t>
            </w:r>
          </w:p>
        </w:tc>
        <w:tc>
          <w:p>
            <w:pPr>
              <w:pStyle w:val="SummaryTable"/>
              <w:jc w:val="left"/>
            </w:pPr>
            <w:r>
              <w:t>Apr 2021 to Mar 2022</w:t>
            </w:r>
          </w:p>
        </w:tc>
        <w:tc>
          <w:p>
            <w:pPr>
              <w:pStyle w:val="SummaryTable"/>
              <w:jc w:val="right"/>
            </w:pPr>
            <w:r>
              <w:t>95</w:t>
            </w:r>
          </w:p>
        </w:tc>
        <w:tc>
          <w:p>
            <w:pPr>
              <w:pStyle w:val="SummaryTable"/>
              <w:jc w:val="left"/>
            </w:pPr>
            <w:r>
              <w:t>Apr 2020 to Mar 2021</w:t>
            </w:r>
          </w:p>
        </w:tc>
        <w:tc>
          <w:p>
            <w:pPr>
              <w:pStyle w:val="SummaryTable"/>
              <w:jc w:val="right"/>
            </w:pPr>
            <w:r>
              <w:t>101</w:t>
            </w:r>
          </w:p>
        </w:tc>
        <w:tc>
          <w:p>
            <w:pPr>
              <w:pStyle w:val="SummaryTable"/>
              <w:jc w:val="left"/>
            </w:pPr>
            <w:r>
              <w:t/>
            </w:r>
          </w:p>
        </w:tc>
        <w:tc>
          <w:p>
            <w:pPr>
              <w:pStyle w:val="SummaryTable"/>
              <w:jc w:val="left"/>
            </w:pPr>
            <w:r>
              <w:t>28 July 2022</w:t>
            </w:r>
          </w:p>
        </w:tc>
        <w:tc>
          <w:p>
            <w:pPr>
              <w:pStyle w:val="SummaryTable"/>
              <w:jc w:val="left"/>
            </w:pPr>
            <w:r>
              <w:t/>
            </w:r>
          </w:p>
        </w:tc>
      </w:tr>
      <w:tr>
        <w:tc>
          <w:p>
            <w:pPr>
              <w:pStyle w:val="SummaryTable"/>
              <w:jc w:val="left"/>
            </w:pPr>
            <w:r>
              <w:t>Electronic monitoring caseload</w:t>
            </w:r>
          </w:p>
        </w:tc>
        <w:tc>
          <w:p>
            <w:pPr>
              <w:pStyle w:val="SummaryTable"/>
              <w:jc w:val="left"/>
            </w:pPr>
            <w:r>
              <w:t>31 March 2023</w:t>
            </w:r>
          </w:p>
        </w:tc>
        <w:tc>
          <w:p>
            <w:pPr>
              <w:pStyle w:val="SummaryTable"/>
              <w:jc w:val="right"/>
            </w:pPr>
            <w:r>
              <w:t>17,350</w:t>
            </w:r>
          </w:p>
        </w:tc>
        <w:tc>
          <w:p>
            <w:pPr>
              <w:pStyle w:val="SummaryTable"/>
              <w:jc w:val="left"/>
            </w:pPr>
            <w:r>
              <w:t>31 March 2022</w:t>
            </w:r>
          </w:p>
        </w:tc>
        <w:tc>
          <w:p>
            <w:pPr>
              <w:pStyle w:val="SummaryTable"/>
              <w:jc w:val="right"/>
            </w:pPr>
            <w:r>
              <w:t>15,394</w:t>
            </w:r>
          </w:p>
        </w:tc>
        <w:tc>
          <w:p>
            <w:pPr>
              <w:pStyle w:val="SummaryTable"/>
              <w:jc w:val="left"/>
            </w:pPr>
            <w:r>
              <w:t/>
            </w:r>
          </w:p>
        </w:tc>
        <w:tc>
          <w:p>
            <w:pPr>
              <w:pStyle w:val="SummaryTable"/>
              <w:jc w:val="left"/>
            </w:pPr>
            <w:r>
              <w:t>27 April 2023</w:t>
            </w:r>
          </w:p>
        </w:tc>
        <w:tc>
          <w:p>
            <w:pPr>
              <w:pStyle w:val="SummaryTable"/>
              <w:jc w:val="left"/>
            </w:pPr>
            <w:r>
              <w:t>20 July 2023 9:30am</w:t>
            </w:r>
          </w:p>
        </w:tc>
      </w:tr>
      <w:tr>
        <w:tc>
          <w:p>
            <w:pPr>
              <w:pStyle w:val="SummaryTable"/>
              <w:jc w:val="left"/>
            </w:pPr>
            <w:r>
              <w:t>Probation caseload</w:t>
            </w:r>
          </w:p>
        </w:tc>
        <w:tc>
          <w:p>
            <w:pPr>
              <w:pStyle w:val="SummaryTable"/>
              <w:jc w:val="left"/>
            </w:pPr>
            <w:r>
              <w:t>31 Dec 2022</w:t>
            </w:r>
          </w:p>
        </w:tc>
        <w:tc>
          <w:p>
            <w:pPr>
              <w:pStyle w:val="SummaryTable"/>
              <w:jc w:val="right"/>
            </w:pPr>
            <w:r>
              <w:t>240,431</w:t>
            </w:r>
          </w:p>
        </w:tc>
        <w:tc>
          <w:p>
            <w:pPr>
              <w:pStyle w:val="SummaryTable"/>
              <w:jc w:val="left"/>
            </w:pPr>
            <w:r>
              <w:t>30 Sep 2022</w:t>
            </w:r>
          </w:p>
        </w:tc>
        <w:tc>
          <w:p>
            <w:pPr>
              <w:pStyle w:val="SummaryTable"/>
              <w:jc w:val="right"/>
            </w:pPr>
            <w:r>
              <w:t>240,674</w:t>
            </w:r>
          </w:p>
        </w:tc>
        <w:tc>
          <w:p>
            <w:pPr>
              <w:pStyle w:val="SummaryTable"/>
              <w:jc w:val="left"/>
            </w:pPr>
            <w:r>
              <w:t/>
            </w:r>
          </w:p>
        </w:tc>
        <w:tc>
          <w:p>
            <w:pPr>
              <w:pStyle w:val="SummaryTable"/>
              <w:jc w:val="left"/>
            </w:pPr>
            <w:r>
              <w:t>27 April 2023</w:t>
            </w:r>
          </w:p>
        </w:tc>
        <w:tc>
          <w:p>
            <w:pPr>
              <w:pStyle w:val="SummaryTable"/>
              <w:jc w:val="left"/>
            </w:pPr>
            <w:r>
              <w:t>27 July 2023 9:30am</w:t>
            </w:r>
          </w:p>
        </w:tc>
      </w:tr>
      <w:tr>
        <w:tc>
          <w:p>
            <w:pPr>
              <w:pStyle w:val="SummaryTable"/>
              <w:jc w:val="left"/>
            </w:pPr>
            <w:r>
              <w:t>Staff in post (Probation Service)</w:t>
            </w:r>
          </w:p>
        </w:tc>
        <w:tc>
          <w:p>
            <w:pPr>
              <w:pStyle w:val="SummaryTable"/>
              <w:jc w:val="left"/>
            </w:pPr>
            <w:r>
              <w:t>March 2023</w:t>
            </w:r>
          </w:p>
        </w:tc>
        <w:tc>
          <w:p>
            <w:pPr>
              <w:pStyle w:val="SummaryTable"/>
              <w:jc w:val="right"/>
            </w:pPr>
            <w:r>
              <w:t>19,850</w:t>
            </w:r>
          </w:p>
        </w:tc>
        <w:tc>
          <w:p>
            <w:pPr>
              <w:pStyle w:val="SummaryTable"/>
              <w:jc w:val="left"/>
            </w:pPr>
            <w:r>
              <w:t>March 2022</w:t>
            </w:r>
          </w:p>
        </w:tc>
        <w:tc>
          <w:p>
            <w:pPr>
              <w:pStyle w:val="SummaryTable"/>
              <w:jc w:val="right"/>
            </w:pPr>
            <w:r>
              <w:t>17,648</w:t>
            </w:r>
          </w:p>
        </w:tc>
        <w:tc>
          <w:p>
            <w:pPr>
              <w:pStyle w:val="SummaryTable"/>
              <w:jc w:val="left"/>
            </w:pPr>
            <w:r>
              <w:t/>
            </w:r>
          </w:p>
        </w:tc>
        <w:tc>
          <w:p>
            <w:pPr>
              <w:pStyle w:val="SummaryTable"/>
              <w:jc w:val="left"/>
            </w:pPr>
            <w:r>
              <w:t>22 May 2023</w:t>
            </w:r>
          </w:p>
        </w:tc>
        <w:tc>
          <w:p>
            <w:pPr>
              <w:pStyle w:val="SummaryTable"/>
              <w:jc w:val="left"/>
            </w:pPr>
            <w:r>
              <w:t>17 August 2023 9:30am</w:t>
            </w:r>
          </w:p>
        </w:tc>
      </w:tr>
      <w:tr>
        <w:tc>
          <w:p>
            <w:pPr>
              <w:pStyle w:val="SummaryTable"/>
              <w:jc w:val="left"/>
            </w:pPr>
            <w:r>
              <w:t>Serious further offence convictions</w:t>
            </w:r>
          </w:p>
        </w:tc>
        <w:tc>
          <w:p>
            <w:pPr>
              <w:pStyle w:val="SummaryTable"/>
              <w:jc w:val="left"/>
            </w:pPr>
            <w:r>
              <w:t>Apr 2020- Mar 2021</w:t>
            </w:r>
          </w:p>
        </w:tc>
        <w:tc>
          <w:p>
            <w:pPr>
              <w:pStyle w:val="SummaryTable"/>
              <w:jc w:val="right"/>
            </w:pPr>
            <w:r>
              <w:t>245</w:t>
            </w:r>
          </w:p>
        </w:tc>
        <w:tc>
          <w:p>
            <w:pPr>
              <w:pStyle w:val="SummaryTable"/>
              <w:jc w:val="left"/>
            </w:pPr>
            <w:r>
              <w:t>Apr 2019 - Mar 2020</w:t>
            </w:r>
          </w:p>
        </w:tc>
        <w:tc>
          <w:p>
            <w:pPr>
              <w:pStyle w:val="SummaryTable"/>
              <w:jc w:val="right"/>
            </w:pPr>
            <w:r>
              <w:t>314</w:t>
            </w:r>
          </w:p>
        </w:tc>
        <w:tc>
          <w:p>
            <w:pPr>
              <w:pStyle w:val="SummaryTable"/>
              <w:jc w:val="left"/>
            </w:pPr>
            <w:r>
              <w:t/>
            </w:r>
          </w:p>
        </w:tc>
        <w:tc>
          <w:p>
            <w:pPr>
              <w:pStyle w:val="SummaryTable"/>
              <w:jc w:val="left"/>
            </w:pPr>
            <w:r>
              <w:t>27 April 2023</w:t>
            </w:r>
          </w:p>
        </w:tc>
        <w:tc>
          <w:p>
            <w:pPr>
              <w:pStyle w:val="SummaryTable"/>
              <w:jc w:val="left"/>
            </w:pPr>
            <w:r>
              <w:t>27 July 2023 9:30am</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ummaryTable"/>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Reduce reoffending</w:t>
      </w:r>
    </w:p>
    <w:tbl xmlns:w="http://schemas.openxmlformats.org/wordprocessingml/2006/main" xmlns:wp="http://schemas.openxmlformats.org/drawingml/2006/wordprocessingDrawing" xmlns:r="http://schemas.openxmlformats.org/officeDocument/2006/relationships">
      <w:tblPr>
        <w:tblStyle w:val="TableGrid"/>
        <w:tblLayout w:type="autofit"/>
        <w:jc w:val="left"/>
        <w:tblLook w:firstRow="1" w:lastRow="0" w:firstColumn="0" w:lastColumn="0" w:noHBand="0" w:noVBand="1"/>
      </w:tblPr>
      <w:tr>
        <w:trPr>
          <w:tblHeader/>
        </w:trPr>
        <w:tc>
          <w:p>
            <w:pPr>
              <w:pStyle w:val="SummaryTable"/>
              <w:jc w:val="left"/>
            </w:pPr>
            <w:r>
              <w:t>Description</w:t>
            </w:r>
          </w:p>
        </w:tc>
        <w:tc>
          <w:p>
            <w:pPr>
              <w:pStyle w:val="SummaryTable"/>
              <w:jc w:val="left"/>
            </w:pPr>
            <w:r>
              <w:t>Latest trend period</w:t>
            </w:r>
          </w:p>
        </w:tc>
        <w:tc>
          <w:p>
            <w:pPr>
              <w:pStyle w:val="SummaryTable"/>
              <w:jc w:val="right"/>
            </w:pPr>
            <w:r>
              <w:t>Latest trend value</w:t>
            </w:r>
          </w:p>
        </w:tc>
        <w:tc>
          <w:p>
            <w:pPr>
              <w:pStyle w:val="SummaryTable"/>
              <w:jc w:val="left"/>
            </w:pPr>
            <w:r>
              <w:t>Previous trend period</w:t>
            </w:r>
          </w:p>
        </w:tc>
        <w:tc>
          <w:p>
            <w:pPr>
              <w:pStyle w:val="SummaryTable"/>
              <w:jc w:val="right"/>
            </w:pPr>
            <w:r>
              <w:t>Previous trend value</w:t>
            </w:r>
          </w:p>
        </w:tc>
        <w:tc>
          <w:p>
            <w:pPr>
              <w:pStyle w:val="SummaryTable"/>
              <w:jc w:val="left"/>
            </w:pPr>
            <w:r>
              <w:t>Latest published data point</w:t>
            </w:r>
          </w:p>
        </w:tc>
        <w:tc>
          <w:p>
            <w:pPr>
              <w:pStyle w:val="SummaryTable"/>
              <w:jc w:val="left"/>
            </w:pPr>
            <w:r>
              <w:t>Last published</w:t>
            </w:r>
          </w:p>
        </w:tc>
        <w:tc>
          <w:p>
            <w:pPr>
              <w:pStyle w:val="SummaryTable"/>
              <w:jc w:val="left"/>
            </w:pPr>
            <w:r>
              <w:t>Next published</w:t>
            </w:r>
          </w:p>
        </w:tc>
      </w:tr>
      <w:tr>
        <w:tc>
          <w:p>
            <w:pPr>
              <w:pStyle w:val="SummaryTable"/>
              <w:jc w:val="left"/>
            </w:pPr>
            <w:r>
              <w:t>Proven reoffending rate</w:t>
            </w:r>
          </w:p>
        </w:tc>
        <w:tc>
          <w:p>
            <w:pPr>
              <w:pStyle w:val="SummaryTable"/>
              <w:jc w:val="left"/>
            </w:pPr>
            <w:r>
              <w:t>Apr - Jun 2021</w:t>
            </w:r>
          </w:p>
        </w:tc>
        <w:tc>
          <w:p>
            <w:pPr>
              <w:pStyle w:val="SummaryTable"/>
              <w:jc w:val="right"/>
            </w:pPr>
            <w:r>
              <w:t>24.8%</w:t>
            </w:r>
          </w:p>
        </w:tc>
        <w:tc>
          <w:p>
            <w:pPr>
              <w:pStyle w:val="SummaryTable"/>
              <w:jc w:val="left"/>
            </w:pPr>
            <w:r>
              <w:t>Jan - Mar 2021</w:t>
            </w:r>
          </w:p>
        </w:tc>
        <w:tc>
          <w:p>
            <w:pPr>
              <w:pStyle w:val="SummaryTable"/>
              <w:jc w:val="right"/>
            </w:pPr>
            <w:r>
              <w:t>24.3%</w:t>
            </w:r>
          </w:p>
        </w:tc>
        <w:tc>
          <w:p>
            <w:pPr>
              <w:pStyle w:val="SummaryTable"/>
              <w:jc w:val="left"/>
            </w:pPr>
            <w:r>
              <w:t/>
            </w:r>
          </w:p>
        </w:tc>
        <w:tc>
          <w:p>
            <w:pPr>
              <w:pStyle w:val="SummaryTable"/>
              <w:jc w:val="left"/>
            </w:pPr>
            <w:r>
              <w:t>27 April 2023</w:t>
            </w:r>
          </w:p>
        </w:tc>
        <w:tc>
          <w:p>
            <w:pPr>
              <w:pStyle w:val="SummaryTable"/>
              <w:jc w:val="left"/>
            </w:pPr>
            <w:r>
              <w:t>27 July 2023 9:30am</w:t>
            </w:r>
          </w:p>
        </w:tc>
      </w:tr>
      <w:tr>
        <w:tc>
          <w:p>
            <w:pPr>
              <w:pStyle w:val="SummaryTable"/>
              <w:jc w:val="left"/>
            </w:pPr>
            <w:r>
              <w:t>Housed on release from custody (SL014)</w:t>
            </w:r>
          </w:p>
        </w:tc>
        <w:tc>
          <w:p>
            <w:pPr>
              <w:pStyle w:val="SummaryTable"/>
              <w:jc w:val="left"/>
            </w:pPr>
            <w:r>
              <w:t>Jan-Mar 2022 </w:t>
            </w:r>
          </w:p>
        </w:tc>
        <w:tc>
          <w:p>
            <w:pPr>
              <w:pStyle w:val="SummaryTable"/>
              <w:jc w:val="right"/>
            </w:pPr>
            <w:r>
              <w:t>77.6%</w:t>
            </w:r>
          </w:p>
        </w:tc>
        <w:tc>
          <w:p>
            <w:pPr>
              <w:pStyle w:val="SummaryTable"/>
              <w:jc w:val="left"/>
            </w:pPr>
            <w:r>
              <w:t>Oct-Dec 2021 </w:t>
            </w:r>
          </w:p>
        </w:tc>
        <w:tc>
          <w:p>
            <w:pPr>
              <w:pStyle w:val="SummaryTable"/>
              <w:jc w:val="right"/>
            </w:pPr>
            <w:r>
              <w:t>76.4%</w:t>
            </w:r>
          </w:p>
        </w:tc>
        <w:tc>
          <w:p>
            <w:pPr>
              <w:pStyle w:val="SummaryTable"/>
              <w:jc w:val="left"/>
            </w:pPr>
            <w:r>
              <w:t/>
            </w:r>
          </w:p>
        </w:tc>
        <w:tc>
          <w:p>
            <w:pPr>
              <w:pStyle w:val="SummaryTable"/>
              <w:jc w:val="left"/>
            </w:pPr>
            <w:r>
              <w:t>26 August 2022</w:t>
            </w:r>
          </w:p>
        </w:tc>
        <w:tc>
          <w:p>
            <w:pPr>
              <w:pStyle w:val="SummaryTable"/>
              <w:jc w:val="left"/>
            </w:pPr>
            <w:r>
              <w:t>27 July 2023 9:30am</w:t>
            </w:r>
          </w:p>
        </w:tc>
      </w:tr>
      <w:tr>
        <w:tc>
          <w:p>
            <w:pPr>
              <w:pStyle w:val="SummaryTable"/>
              <w:jc w:val="left"/>
            </w:pPr>
            <w:r>
              <w:t>Settled accommodation at 3 months post release from custody (SL015a)</w:t>
            </w:r>
          </w:p>
        </w:tc>
        <w:tc>
          <w:p>
            <w:pPr>
              <w:pStyle w:val="SummaryTable"/>
              <w:jc w:val="left"/>
            </w:pPr>
            <w:r>
              <w:t>Jan-Mar 2022 </w:t>
            </w:r>
          </w:p>
        </w:tc>
        <w:tc>
          <w:p>
            <w:pPr>
              <w:pStyle w:val="SummaryTable"/>
              <w:jc w:val="right"/>
            </w:pPr>
            <w:r>
              <w:t>71.0%</w:t>
            </w:r>
          </w:p>
        </w:tc>
        <w:tc>
          <w:p>
            <w:pPr>
              <w:pStyle w:val="SummaryTable"/>
              <w:jc w:val="left"/>
            </w:pPr>
            <w:r>
              <w:t>Oct-Dec 2021 </w:t>
            </w:r>
          </w:p>
        </w:tc>
        <w:tc>
          <w:p>
            <w:pPr>
              <w:pStyle w:val="SummaryTable"/>
              <w:jc w:val="right"/>
            </w:pPr>
            <w:r>
              <w:t>67.9%</w:t>
            </w:r>
          </w:p>
        </w:tc>
        <w:tc>
          <w:p>
            <w:pPr>
              <w:pStyle w:val="SummaryTable"/>
              <w:jc w:val="left"/>
            </w:pPr>
            <w:r>
              <w:t/>
            </w:r>
          </w:p>
        </w:tc>
        <w:tc>
          <w:p>
            <w:pPr>
              <w:pStyle w:val="SummaryTable"/>
              <w:jc w:val="left"/>
            </w:pPr>
            <w:r>
              <w:t>26 August 2022</w:t>
            </w:r>
          </w:p>
        </w:tc>
        <w:tc>
          <w:p>
            <w:pPr>
              <w:pStyle w:val="SummaryTable"/>
              <w:jc w:val="left"/>
            </w:pPr>
            <w:r>
              <w:t>27 July 2023 9:30am</w:t>
            </w:r>
          </w:p>
        </w:tc>
      </w:tr>
      <w:tr>
        <w:tc>
          <w:p>
            <w:pPr>
              <w:pStyle w:val="SummaryTable"/>
              <w:jc w:val="left"/>
            </w:pPr>
            <w:r>
              <w:t>Settled accommodation at 3 months post community (SL015b)</w:t>
            </w:r>
          </w:p>
        </w:tc>
        <w:tc>
          <w:p>
            <w:pPr>
              <w:pStyle w:val="SummaryTable"/>
              <w:jc w:val="left"/>
            </w:pPr>
            <w:r>
              <w:t>Jan-Mar 2022 </w:t>
            </w:r>
          </w:p>
        </w:tc>
        <w:tc>
          <w:p>
            <w:pPr>
              <w:pStyle w:val="SummaryTable"/>
              <w:jc w:val="right"/>
            </w:pPr>
            <w:r>
              <w:t>80.8%</w:t>
            </w:r>
          </w:p>
        </w:tc>
        <w:tc>
          <w:p>
            <w:pPr>
              <w:pStyle w:val="SummaryTable"/>
              <w:jc w:val="left"/>
            </w:pPr>
            <w:r>
              <w:t>Oct-Dec 2021 </w:t>
            </w:r>
          </w:p>
        </w:tc>
        <w:tc>
          <w:p>
            <w:pPr>
              <w:pStyle w:val="SummaryTable"/>
              <w:jc w:val="right"/>
            </w:pPr>
            <w:r>
              <w:t>78.7%</w:t>
            </w:r>
          </w:p>
        </w:tc>
        <w:tc>
          <w:p>
            <w:pPr>
              <w:pStyle w:val="SummaryTable"/>
              <w:jc w:val="left"/>
            </w:pPr>
            <w:r>
              <w:t/>
            </w:r>
          </w:p>
        </w:tc>
        <w:tc>
          <w:p>
            <w:pPr>
              <w:pStyle w:val="SummaryTable"/>
              <w:jc w:val="left"/>
            </w:pPr>
            <w:r>
              <w:t>26 August 2022</w:t>
            </w:r>
          </w:p>
        </w:tc>
        <w:tc>
          <w:p>
            <w:pPr>
              <w:pStyle w:val="SummaryTable"/>
              <w:jc w:val="left"/>
            </w:pPr>
            <w:r>
              <w:t>27 July 2023 9:30am</w:t>
            </w:r>
          </w:p>
        </w:tc>
      </w:tr>
      <w:tr>
        <w:tc>
          <w:p>
            <w:pPr>
              <w:pStyle w:val="SummaryTable"/>
              <w:jc w:val="left"/>
            </w:pPr>
            <w:r>
              <w:t>Employed at 6 weeks post release from custody (SL016)</w:t>
            </w:r>
          </w:p>
        </w:tc>
        <w:tc>
          <w:p>
            <w:pPr>
              <w:pStyle w:val="SummaryTable"/>
              <w:jc w:val="left"/>
            </w:pPr>
            <w:r>
              <w:t>Jan-Mar 2022 </w:t>
            </w:r>
          </w:p>
        </w:tc>
        <w:tc>
          <w:p>
            <w:pPr>
              <w:pStyle w:val="SummaryTable"/>
              <w:jc w:val="right"/>
            </w:pPr>
            <w:r>
              <w:t>12.7%</w:t>
            </w:r>
          </w:p>
        </w:tc>
        <w:tc>
          <w:p>
            <w:pPr>
              <w:pStyle w:val="SummaryTable"/>
              <w:jc w:val="left"/>
            </w:pPr>
            <w:r>
              <w:t>Oct-Dec 2021 </w:t>
            </w:r>
          </w:p>
        </w:tc>
        <w:tc>
          <w:p>
            <w:pPr>
              <w:pStyle w:val="SummaryTable"/>
              <w:jc w:val="right"/>
            </w:pPr>
            <w:r>
              <w:t>11.9%</w:t>
            </w:r>
          </w:p>
        </w:tc>
        <w:tc>
          <w:p>
            <w:pPr>
              <w:pStyle w:val="SummaryTable"/>
              <w:jc w:val="left"/>
            </w:pPr>
            <w:r>
              <w:t/>
            </w:r>
          </w:p>
        </w:tc>
        <w:tc>
          <w:p>
            <w:pPr>
              <w:pStyle w:val="SummaryTable"/>
              <w:jc w:val="left"/>
            </w:pPr>
            <w:r>
              <w:t>26 August 2022</w:t>
            </w:r>
          </w:p>
        </w:tc>
        <w:tc>
          <w:p>
            <w:pPr>
              <w:pStyle w:val="SummaryTable"/>
              <w:jc w:val="left"/>
            </w:pPr>
            <w:r>
              <w:t>27 July 2023 9:30am</w:t>
            </w:r>
          </w:p>
        </w:tc>
      </w:tr>
      <w:tr>
        <w:tc>
          <w:p>
            <w:pPr>
              <w:pStyle w:val="SummaryTable"/>
              <w:jc w:val="left"/>
            </w:pPr>
            <w:r>
              <w:t>Employed at 6 months post release from custody (SL017a)</w:t>
            </w:r>
          </w:p>
        </w:tc>
        <w:tc>
          <w:p>
            <w:pPr>
              <w:pStyle w:val="SummaryTable"/>
              <w:jc w:val="left"/>
            </w:pPr>
            <w:r>
              <w:t>Jan-Mar 2022 </w:t>
            </w:r>
          </w:p>
        </w:tc>
        <w:tc>
          <w:p>
            <w:pPr>
              <w:pStyle w:val="SummaryTable"/>
              <w:jc w:val="right"/>
            </w:pPr>
            <w:r>
              <w:t>19.8%</w:t>
            </w:r>
          </w:p>
        </w:tc>
        <w:tc>
          <w:p>
            <w:pPr>
              <w:pStyle w:val="SummaryTable"/>
              <w:jc w:val="left"/>
            </w:pPr>
            <w:r>
              <w:t>Oct-Dec 2021 </w:t>
            </w:r>
          </w:p>
        </w:tc>
        <w:tc>
          <w:p>
            <w:pPr>
              <w:pStyle w:val="SummaryTable"/>
              <w:jc w:val="right"/>
            </w:pPr>
            <w:r>
              <w:t>16.6%</w:t>
            </w:r>
          </w:p>
        </w:tc>
        <w:tc>
          <w:p>
            <w:pPr>
              <w:pStyle w:val="SummaryTable"/>
              <w:jc w:val="left"/>
            </w:pPr>
            <w:r>
              <w:t/>
            </w:r>
          </w:p>
        </w:tc>
        <w:tc>
          <w:p>
            <w:pPr>
              <w:pStyle w:val="SummaryTable"/>
              <w:jc w:val="left"/>
            </w:pPr>
            <w:r>
              <w:t>26 August 2022</w:t>
            </w:r>
          </w:p>
        </w:tc>
        <w:tc>
          <w:p>
            <w:pPr>
              <w:pStyle w:val="SummaryTable"/>
              <w:jc w:val="left"/>
            </w:pPr>
            <w:r>
              <w:t>27 July 2023 9:30am</w:t>
            </w:r>
          </w:p>
        </w:tc>
      </w:tr>
      <w:tr>
        <w:tc>
          <w:p>
            <w:pPr>
              <w:pStyle w:val="SummaryTable"/>
              <w:jc w:val="left"/>
            </w:pPr>
            <w:r>
              <w:t>Employed at 6 months post community disposal (SL017b)</w:t>
            </w:r>
          </w:p>
        </w:tc>
        <w:tc>
          <w:p>
            <w:pPr>
              <w:pStyle w:val="SummaryTable"/>
              <w:jc w:val="left"/>
            </w:pPr>
            <w:r>
              <w:t>Jan-Mar 2022 </w:t>
            </w:r>
          </w:p>
        </w:tc>
        <w:tc>
          <w:p>
            <w:pPr>
              <w:pStyle w:val="SummaryTable"/>
              <w:jc w:val="right"/>
            </w:pPr>
            <w:r>
              <w:t>38.9%</w:t>
            </w:r>
          </w:p>
        </w:tc>
        <w:tc>
          <w:p>
            <w:pPr>
              <w:pStyle w:val="SummaryTable"/>
              <w:jc w:val="left"/>
            </w:pPr>
            <w:r>
              <w:t>Oct-Dec 2021 </w:t>
            </w:r>
          </w:p>
        </w:tc>
        <w:tc>
          <w:p>
            <w:pPr>
              <w:pStyle w:val="SummaryTable"/>
              <w:jc w:val="right"/>
            </w:pPr>
            <w:r>
              <w:t>36.2%</w:t>
            </w:r>
          </w:p>
        </w:tc>
        <w:tc>
          <w:p>
            <w:pPr>
              <w:pStyle w:val="SummaryTable"/>
              <w:jc w:val="left"/>
            </w:pPr>
            <w:r>
              <w:t/>
            </w:r>
          </w:p>
        </w:tc>
        <w:tc>
          <w:p>
            <w:pPr>
              <w:pStyle w:val="SummaryTable"/>
              <w:jc w:val="left"/>
            </w:pPr>
            <w:r>
              <w:t>26 August 2022</w:t>
            </w:r>
          </w:p>
        </w:tc>
        <w:tc>
          <w:p>
            <w:pPr>
              <w:pStyle w:val="SummaryTable"/>
              <w:jc w:val="left"/>
            </w:pPr>
            <w:r>
              <w:t>27 July 2023 9:30am</w:t>
            </w:r>
          </w:p>
        </w:tc>
      </w:tr>
      <w:tr>
        <w:tc>
          <w:p>
            <w:pPr>
              <w:pStyle w:val="SummaryTable"/>
              <w:jc w:val="left"/>
            </w:pPr>
            <w:r>
              <w:t>Random mandatory drug testing (traditional drugs)</w:t>
            </w:r>
          </w:p>
        </w:tc>
        <w:tc>
          <w:p>
            <w:pPr>
              <w:pStyle w:val="SummaryTable"/>
              <w:jc w:val="left"/>
            </w:pPr>
            <w:r>
              <w:t>Apr 2019 to Mar 2020</w:t>
            </w:r>
          </w:p>
        </w:tc>
        <w:tc>
          <w:p>
            <w:pPr>
              <w:pStyle w:val="SummaryTable"/>
              <w:jc w:val="right"/>
            </w:pPr>
            <w:r>
              <w:t>10.5 %</w:t>
            </w:r>
          </w:p>
        </w:tc>
        <w:tc>
          <w:p>
            <w:pPr>
              <w:pStyle w:val="SummaryTable"/>
              <w:jc w:val="left"/>
            </w:pPr>
            <w:r>
              <w:t>Apr 2018 to Mar 2019</w:t>
            </w:r>
          </w:p>
        </w:tc>
        <w:tc>
          <w:p>
            <w:pPr>
              <w:pStyle w:val="SummaryTable"/>
              <w:jc w:val="right"/>
            </w:pPr>
            <w:r>
              <w:t>10.4 %</w:t>
            </w:r>
          </w:p>
        </w:tc>
        <w:tc>
          <w:p>
            <w:pPr>
              <w:pStyle w:val="SummaryTable"/>
              <w:jc w:val="left"/>
            </w:pPr>
            <w:r>
              <w:t/>
            </w:r>
          </w:p>
        </w:tc>
        <w:tc>
          <w:p>
            <w:pPr>
              <w:pStyle w:val="SummaryTable"/>
              <w:jc w:val="left"/>
            </w:pPr>
            <w:r>
              <w:t>28 July 2022</w:t>
            </w:r>
          </w:p>
        </w:tc>
        <w:tc>
          <w:p>
            <w:pPr>
              <w:pStyle w:val="SummaryTable"/>
              <w:jc w:val="left"/>
            </w:pPr>
            <w:r>
              <w:t/>
            </w:r>
          </w:p>
        </w:tc>
      </w:tr>
      <w:tr>
        <w:tc>
          <w:p>
            <w:pPr>
              <w:pStyle w:val="SummaryTable"/>
              <w:jc w:val="left"/>
            </w:pPr>
            <w:r>
              <w:t>Random mandatory drug testing - new psychoactive substances only</w:t>
            </w:r>
          </w:p>
        </w:tc>
        <w:tc>
          <w:p>
            <w:pPr>
              <w:pStyle w:val="SummaryTable"/>
              <w:jc w:val="left"/>
            </w:pPr>
            <w:r>
              <w:t>Apr 2019 to Mar 2020</w:t>
            </w:r>
          </w:p>
        </w:tc>
        <w:tc>
          <w:p>
            <w:pPr>
              <w:pStyle w:val="SummaryTable"/>
              <w:jc w:val="right"/>
            </w:pPr>
            <w:r>
              <w:t>4.3 %</w:t>
            </w:r>
          </w:p>
        </w:tc>
        <w:tc>
          <w:p>
            <w:pPr>
              <w:pStyle w:val="SummaryTable"/>
              <w:jc w:val="left"/>
            </w:pPr>
            <w:r>
              <w:t>Apr 2018 to Mar 2019</w:t>
            </w:r>
          </w:p>
        </w:tc>
        <w:tc>
          <w:p>
            <w:pPr>
              <w:pStyle w:val="SummaryTable"/>
              <w:jc w:val="right"/>
            </w:pPr>
            <w:r>
              <w:t>9.0 %</w:t>
            </w:r>
          </w:p>
        </w:tc>
        <w:tc>
          <w:p>
            <w:pPr>
              <w:pStyle w:val="SummaryTable"/>
              <w:jc w:val="left"/>
            </w:pPr>
            <w:r>
              <w:t/>
            </w:r>
          </w:p>
        </w:tc>
        <w:tc>
          <w:p>
            <w:pPr>
              <w:pStyle w:val="SummaryTable"/>
              <w:jc w:val="left"/>
            </w:pPr>
            <w:r>
              <w:t>28 July 2022</w:t>
            </w:r>
          </w:p>
        </w:tc>
        <w:tc>
          <w:p>
            <w:pPr>
              <w:pStyle w:val="SummaryTable"/>
              <w:jc w:val="left"/>
            </w:pPr>
            <w:r>
              <w:t/>
            </w:r>
          </w:p>
        </w:tc>
      </w:tr>
      <w:tr>
        <w:tc>
          <w:p>
            <w:pPr>
              <w:pStyle w:val="SummaryTable"/>
              <w:jc w:val="left"/>
            </w:pPr>
            <w:r>
              <w:t>Prisoners completing treatment free from dependence</w:t>
            </w:r>
          </w:p>
        </w:tc>
        <w:tc>
          <w:p>
            <w:pPr>
              <w:pStyle w:val="SummaryTable"/>
              <w:jc w:val="left"/>
            </w:pPr>
            <w:r>
              <w:t>Apr 2020 - Mar 2021</w:t>
            </w:r>
          </w:p>
        </w:tc>
        <w:tc>
          <w:p>
            <w:pPr>
              <w:pStyle w:val="SummaryTable"/>
              <w:jc w:val="right"/>
            </w:pPr>
            <w:r>
              <w:t>32.5%</w:t>
            </w:r>
          </w:p>
        </w:tc>
        <w:tc>
          <w:p>
            <w:pPr>
              <w:pStyle w:val="SummaryTable"/>
              <w:jc w:val="left"/>
            </w:pPr>
            <w:r>
              <w:t>Apr 2019 - Mar 2020</w:t>
            </w:r>
          </w:p>
        </w:tc>
        <w:tc>
          <w:p>
            <w:pPr>
              <w:pStyle w:val="SummaryTable"/>
              <w:jc w:val="right"/>
            </w:pPr>
            <w:r>
              <w:t>26.3%</w:t>
            </w:r>
          </w:p>
        </w:tc>
        <w:tc>
          <w:p>
            <w:pPr>
              <w:pStyle w:val="SummaryTable"/>
              <w:jc w:val="left"/>
            </w:pPr>
            <w:r>
              <w:t/>
            </w:r>
          </w:p>
        </w:tc>
        <w:tc>
          <w:p>
            <w:pPr>
              <w:pStyle w:val="SummaryTable"/>
              <w:jc w:val="left"/>
            </w:pPr>
            <w:r>
              <w:t>27 January 2022</w:t>
            </w:r>
          </w:p>
        </w:tc>
        <w:tc>
          <w:p>
            <w:pPr>
              <w:pStyle w:val="SummaryTable"/>
              <w:jc w:val="left"/>
            </w:pPr>
            <w:r>
              <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ummaryTable"/>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Access to justice</w:t>
      </w:r>
    </w:p>
    <w:tbl xmlns:w="http://schemas.openxmlformats.org/wordprocessingml/2006/main" xmlns:wp="http://schemas.openxmlformats.org/drawingml/2006/wordprocessingDrawing" xmlns:r="http://schemas.openxmlformats.org/officeDocument/2006/relationships">
      <w:tblPr>
        <w:tblStyle w:val="TableGrid"/>
        <w:tblLayout w:type="autofit"/>
        <w:jc w:val="left"/>
        <w:tblLook w:firstRow="1" w:lastRow="0" w:firstColumn="0" w:lastColumn="0" w:noHBand="0" w:noVBand="1"/>
      </w:tblPr>
      <w:tr>
        <w:trPr>
          <w:tblHeader/>
        </w:trPr>
        <w:tc>
          <w:p>
            <w:pPr>
              <w:pStyle w:val="SummaryTable"/>
              <w:jc w:val="left"/>
            </w:pPr>
            <w:r>
              <w:t>Description</w:t>
            </w:r>
          </w:p>
        </w:tc>
        <w:tc>
          <w:p>
            <w:pPr>
              <w:pStyle w:val="SummaryTable"/>
              <w:jc w:val="left"/>
            </w:pPr>
            <w:r>
              <w:t>Latest trend period</w:t>
            </w:r>
          </w:p>
        </w:tc>
        <w:tc>
          <w:p>
            <w:pPr>
              <w:pStyle w:val="SummaryTable"/>
              <w:jc w:val="right"/>
            </w:pPr>
            <w:r>
              <w:t>Latest trend value</w:t>
            </w:r>
          </w:p>
        </w:tc>
        <w:tc>
          <w:p>
            <w:pPr>
              <w:pStyle w:val="SummaryTable"/>
              <w:jc w:val="left"/>
            </w:pPr>
            <w:r>
              <w:t>Previous trend period</w:t>
            </w:r>
          </w:p>
        </w:tc>
        <w:tc>
          <w:p>
            <w:pPr>
              <w:pStyle w:val="SummaryTable"/>
              <w:jc w:val="right"/>
            </w:pPr>
            <w:r>
              <w:t>Previous trend value</w:t>
            </w:r>
          </w:p>
        </w:tc>
        <w:tc>
          <w:p>
            <w:pPr>
              <w:pStyle w:val="SummaryTable"/>
              <w:jc w:val="left"/>
            </w:pPr>
            <w:r>
              <w:t>Latest published data point</w:t>
            </w:r>
          </w:p>
        </w:tc>
        <w:tc>
          <w:p>
            <w:pPr>
              <w:pStyle w:val="SummaryTable"/>
              <w:jc w:val="left"/>
            </w:pPr>
            <w:r>
              <w:t>Last published</w:t>
            </w:r>
          </w:p>
        </w:tc>
        <w:tc>
          <w:p>
            <w:pPr>
              <w:pStyle w:val="SummaryTable"/>
              <w:jc w:val="left"/>
            </w:pPr>
            <w:r>
              <w:t>Next published</w:t>
            </w:r>
          </w:p>
        </w:tc>
      </w:tr>
      <w:tr>
        <w:tc>
          <w:p>
            <w:pPr>
              <w:pStyle w:val="SummaryTable"/>
              <w:jc w:val="left"/>
            </w:pPr>
            <w:r>
              <w:t>Crown court disposals</w:t>
            </w:r>
          </w:p>
        </w:tc>
        <w:tc>
          <w:p>
            <w:pPr>
              <w:pStyle w:val="SummaryTable"/>
              <w:jc w:val="left"/>
            </w:pPr>
            <w:r>
              <w:t>Jan - Dec 2022</w:t>
            </w:r>
          </w:p>
        </w:tc>
        <w:tc>
          <w:p>
            <w:pPr>
              <w:pStyle w:val="SummaryTable"/>
              <w:jc w:val="right"/>
            </w:pPr>
            <w:r>
              <w:t>91,609</w:t>
            </w:r>
          </w:p>
        </w:tc>
        <w:tc>
          <w:p>
            <w:pPr>
              <w:pStyle w:val="SummaryTable"/>
              <w:jc w:val="left"/>
            </w:pPr>
            <w:r>
              <w:t>Jan - Dec 2021</w:t>
            </w:r>
          </w:p>
        </w:tc>
        <w:tc>
          <w:p>
            <w:pPr>
              <w:pStyle w:val="SummaryTable"/>
              <w:jc w:val="right"/>
            </w:pPr>
            <w:r>
              <w:t>95,768</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Crown court outstanding</w:t>
            </w:r>
          </w:p>
        </w:tc>
        <w:tc>
          <w:p>
            <w:pPr>
              <w:pStyle w:val="SummaryTable"/>
              <w:jc w:val="left"/>
            </w:pPr>
            <w:r>
              <w:t>31 Dec 2022</w:t>
            </w:r>
          </w:p>
        </w:tc>
        <w:tc>
          <w:p>
            <w:pPr>
              <w:pStyle w:val="SummaryTable"/>
              <w:jc w:val="right"/>
            </w:pPr>
            <w:r>
              <w:t>62,511</w:t>
            </w:r>
          </w:p>
        </w:tc>
        <w:tc>
          <w:p>
            <w:pPr>
              <w:pStyle w:val="SummaryTable"/>
              <w:jc w:val="left"/>
            </w:pPr>
            <w:r>
              <w:t>31 Dec 2021</w:t>
            </w:r>
          </w:p>
        </w:tc>
        <w:tc>
          <w:p>
            <w:pPr>
              <w:pStyle w:val="SummaryTable"/>
              <w:jc w:val="right"/>
            </w:pPr>
            <w:r>
              <w:t>58,388</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Crown courts cracked trials</w:t>
            </w:r>
          </w:p>
        </w:tc>
        <w:tc>
          <w:p>
            <w:pPr>
              <w:pStyle w:val="SummaryTable"/>
              <w:jc w:val="left"/>
            </w:pPr>
            <w:r>
              <w:t>Jan - Dec 2022</w:t>
            </w:r>
          </w:p>
        </w:tc>
        <w:tc>
          <w:p>
            <w:pPr>
              <w:pStyle w:val="SummaryTable"/>
              <w:jc w:val="right"/>
            </w:pPr>
            <w:r>
              <w:t>26%</w:t>
            </w:r>
          </w:p>
        </w:tc>
        <w:tc>
          <w:p>
            <w:pPr>
              <w:pStyle w:val="SummaryTable"/>
              <w:jc w:val="left"/>
            </w:pPr>
            <w:r>
              <w:t>Jan - Dec 2021</w:t>
            </w:r>
          </w:p>
        </w:tc>
        <w:tc>
          <w:p>
            <w:pPr>
              <w:pStyle w:val="SummaryTable"/>
              <w:jc w:val="right"/>
            </w:pPr>
            <w:r>
              <w:t>29%</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Crown courts ineffective trials</w:t>
            </w:r>
          </w:p>
        </w:tc>
        <w:tc>
          <w:p>
            <w:pPr>
              <w:pStyle w:val="SummaryTable"/>
              <w:jc w:val="left"/>
            </w:pPr>
            <w:r>
              <w:t>Jan - Dec 2022</w:t>
            </w:r>
          </w:p>
        </w:tc>
        <w:tc>
          <w:p>
            <w:pPr>
              <w:pStyle w:val="SummaryTable"/>
              <w:jc w:val="right"/>
            </w:pPr>
            <w:r>
              <w:t>37%</w:t>
            </w:r>
          </w:p>
        </w:tc>
        <w:tc>
          <w:p>
            <w:pPr>
              <w:pStyle w:val="SummaryTable"/>
              <w:jc w:val="left"/>
            </w:pPr>
            <w:r>
              <w:t>Jan - Dec 2021</w:t>
            </w:r>
          </w:p>
        </w:tc>
        <w:tc>
          <w:p>
            <w:pPr>
              <w:pStyle w:val="SummaryTable"/>
              <w:jc w:val="right"/>
            </w:pPr>
            <w:r>
              <w:t>23%</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Magistrates' courts disposals</w:t>
            </w:r>
          </w:p>
        </w:tc>
        <w:tc>
          <w:p>
            <w:pPr>
              <w:pStyle w:val="SummaryTable"/>
              <w:jc w:val="left"/>
            </w:pPr>
            <w:r>
              <w:t>Jan - Dec 2022</w:t>
            </w:r>
          </w:p>
        </w:tc>
        <w:tc>
          <w:p>
            <w:pPr>
              <w:pStyle w:val="SummaryTable"/>
              <w:jc w:val="right"/>
            </w:pPr>
            <w:r>
              <w:t>1,266,872</w:t>
            </w:r>
          </w:p>
        </w:tc>
        <w:tc>
          <w:p>
            <w:pPr>
              <w:pStyle w:val="SummaryTable"/>
              <w:jc w:val="left"/>
            </w:pPr>
            <w:r>
              <w:t>Jan - Dec 2021</w:t>
            </w:r>
          </w:p>
        </w:tc>
        <w:tc>
          <w:p>
            <w:pPr>
              <w:pStyle w:val="SummaryTable"/>
              <w:jc w:val="right"/>
            </w:pPr>
            <w:r>
              <w:t>1,175,179</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Employment tribunals disposals</w:t>
            </w:r>
          </w:p>
        </w:tc>
        <w:tc>
          <w:p>
            <w:pPr>
              <w:pStyle w:val="SummaryTable"/>
              <w:jc w:val="left"/>
            </w:pPr>
            <w:r>
              <w:t>Apr 2022  - Mar 2023</w:t>
            </w:r>
          </w:p>
        </w:tc>
        <w:tc>
          <w:p>
            <w:pPr>
              <w:pStyle w:val="SummaryTable"/>
              <w:jc w:val="right"/>
            </w:pPr>
            <w:r>
              <w:t>71,316</w:t>
            </w:r>
          </w:p>
        </w:tc>
        <w:tc>
          <w:p>
            <w:pPr>
              <w:pStyle w:val="SummaryTable"/>
              <w:jc w:val="left"/>
            </w:pPr>
            <w:r>
              <w:t>Apr 2020 - Mar 2021</w:t>
            </w:r>
          </w:p>
        </w:tc>
        <w:tc>
          <w:p>
            <w:pPr>
              <w:pStyle w:val="SummaryTable"/>
              <w:jc w:val="right"/>
            </w:pPr>
            <w:r>
              <w:t>41,622</w:t>
            </w:r>
          </w:p>
        </w:tc>
        <w:tc>
          <w:p>
            <w:pPr>
              <w:pStyle w:val="SummaryTable"/>
              <w:jc w:val="left"/>
            </w:pPr>
            <w:r>
              <w:t/>
            </w:r>
          </w:p>
        </w:tc>
        <w:tc>
          <w:p>
            <w:pPr>
              <w:pStyle w:val="SummaryTable"/>
              <w:jc w:val="left"/>
            </w:pPr>
            <w:r>
              <w:t>8 June 2023</w:t>
            </w:r>
          </w:p>
        </w:tc>
        <w:tc>
          <w:p>
            <w:pPr>
              <w:pStyle w:val="SummaryTable"/>
              <w:jc w:val="left"/>
            </w:pPr>
            <w:r>
              <w:t>14 September 2023 9:30am</w:t>
            </w:r>
          </w:p>
        </w:tc>
      </w:tr>
      <w:tr>
        <w:tc>
          <w:p>
            <w:pPr>
              <w:pStyle w:val="SummaryTable"/>
              <w:jc w:val="left"/>
            </w:pPr>
            <w:r>
              <w:t>Mean days from receipt at Crown Court to completion</w:t>
            </w:r>
          </w:p>
        </w:tc>
        <w:tc>
          <w:p>
            <w:pPr>
              <w:pStyle w:val="SummaryTable"/>
              <w:jc w:val="left"/>
            </w:pPr>
            <w:r>
              <w:t>Q1 (Jan-Mar) 2023</w:t>
            </w:r>
          </w:p>
        </w:tc>
        <w:tc>
          <w:p>
            <w:pPr>
              <w:pStyle w:val="SummaryTable"/>
              <w:jc w:val="right"/>
            </w:pPr>
            <w:r>
              <w:t>253</w:t>
            </w:r>
          </w:p>
        </w:tc>
        <w:tc>
          <w:p>
            <w:pPr>
              <w:pStyle w:val="SummaryTable"/>
              <w:jc w:val="left"/>
            </w:pPr>
            <w:r>
              <w:t>Q4 (Oct-Dec) 2022</w:t>
            </w:r>
          </w:p>
        </w:tc>
        <w:tc>
          <w:p>
            <w:pPr>
              <w:pStyle w:val="SummaryTable"/>
              <w:jc w:val="right"/>
            </w:pPr>
            <w:r>
              <w:t>248</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Number of receipts of adult rape cases at the Crown Court</w:t>
            </w:r>
          </w:p>
        </w:tc>
        <w:tc>
          <w:p>
            <w:pPr>
              <w:pStyle w:val="SummaryTable"/>
              <w:jc w:val="left"/>
            </w:pPr>
            <w:r>
              <w:t>Q1 (Jan-Mar) 2023</w:t>
            </w:r>
          </w:p>
        </w:tc>
        <w:tc>
          <w:p>
            <w:pPr>
              <w:pStyle w:val="SummaryTable"/>
              <w:jc w:val="right"/>
            </w:pPr>
            <w:r>
              <w:t>605</w:t>
            </w:r>
          </w:p>
        </w:tc>
        <w:tc>
          <w:p>
            <w:pPr>
              <w:pStyle w:val="SummaryTable"/>
              <w:jc w:val="left"/>
            </w:pPr>
            <w:r>
              <w:t>Q4 (Oct-Dec) 2022</w:t>
            </w:r>
          </w:p>
        </w:tc>
        <w:tc>
          <w:p>
            <w:pPr>
              <w:pStyle w:val="SummaryTable"/>
              <w:jc w:val="right"/>
            </w:pPr>
            <w:r>
              <w:t>512</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Civil courts - total judgments</w:t>
            </w:r>
          </w:p>
        </w:tc>
        <w:tc>
          <w:p>
            <w:pPr>
              <w:pStyle w:val="SummaryTable"/>
              <w:jc w:val="left"/>
            </w:pPr>
            <w:r>
              <w:t>Jan - Dec 2022</w:t>
            </w:r>
          </w:p>
        </w:tc>
        <w:tc>
          <w:p>
            <w:pPr>
              <w:pStyle w:val="SummaryTable"/>
              <w:jc w:val="right"/>
            </w:pPr>
            <w:r>
              <w:t>901,278</w:t>
            </w:r>
          </w:p>
        </w:tc>
        <w:tc>
          <w:p>
            <w:pPr>
              <w:pStyle w:val="SummaryTable"/>
              <w:jc w:val="left"/>
            </w:pPr>
            <w:r>
              <w:t>Jan - Dec 2021</w:t>
            </w:r>
          </w:p>
        </w:tc>
        <w:tc>
          <w:p>
            <w:pPr>
              <w:pStyle w:val="SummaryTable"/>
              <w:jc w:val="right"/>
            </w:pPr>
            <w:r>
              <w:t>980,474</w:t>
            </w:r>
          </w:p>
        </w:tc>
        <w:tc>
          <w:p>
            <w:pPr>
              <w:pStyle w:val="SummaryTable"/>
              <w:jc w:val="left"/>
            </w:pPr>
            <w:r>
              <w:t/>
            </w:r>
          </w:p>
        </w:tc>
        <w:tc>
          <w:p>
            <w:pPr>
              <w:pStyle w:val="SummaryTable"/>
              <w:jc w:val="left"/>
            </w:pPr>
            <w:r>
              <w:t>1 June 2023</w:t>
            </w:r>
          </w:p>
        </w:tc>
        <w:tc>
          <w:p>
            <w:pPr>
              <w:pStyle w:val="SummaryTable"/>
              <w:jc w:val="left"/>
            </w:pPr>
            <w:r>
              <w:t>7 September 2023 9:30am</w:t>
            </w:r>
          </w:p>
        </w:tc>
      </w:tr>
      <w:tr>
        <w:tc>
          <w:p>
            <w:pPr>
              <w:pStyle w:val="SummaryTable"/>
              <w:jc w:val="left"/>
            </w:pPr>
            <w:r>
              <w:t>Family court - total cases disposed</w:t>
            </w:r>
          </w:p>
        </w:tc>
        <w:tc>
          <w:p>
            <w:pPr>
              <w:pStyle w:val="SummaryTable"/>
              <w:jc w:val="left"/>
            </w:pPr>
            <w:r>
              <w:t>Jan - Dec 2022</w:t>
            </w:r>
          </w:p>
        </w:tc>
        <w:tc>
          <w:p>
            <w:pPr>
              <w:pStyle w:val="SummaryTable"/>
              <w:jc w:val="right"/>
            </w:pPr>
            <w:r>
              <w:t>205,088</w:t>
            </w:r>
          </w:p>
        </w:tc>
        <w:tc>
          <w:p>
            <w:pPr>
              <w:pStyle w:val="SummaryTable"/>
              <w:jc w:val="left"/>
            </w:pPr>
            <w:r>
              <w:t>Jan - Dec 2021</w:t>
            </w:r>
          </w:p>
        </w:tc>
        <w:tc>
          <w:p>
            <w:pPr>
              <w:pStyle w:val="SummaryTable"/>
              <w:jc w:val="right"/>
            </w:pPr>
            <w:r>
              <w:t>249,529</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Tribunals disposals - overall</w:t>
            </w:r>
          </w:p>
        </w:tc>
        <w:tc>
          <w:p>
            <w:pPr>
              <w:pStyle w:val="SummaryTable"/>
              <w:jc w:val="left"/>
            </w:pPr>
            <w:r>
              <w:t>Apr 2020 - Mar 2021</w:t>
            </w:r>
          </w:p>
        </w:tc>
        <w:tc>
          <w:p>
            <w:pPr>
              <w:pStyle w:val="SummaryTable"/>
              <w:jc w:val="right"/>
            </w:pPr>
            <w:r>
              <w:t>265,628</w:t>
            </w:r>
          </w:p>
        </w:tc>
        <w:tc>
          <w:p>
            <w:pPr>
              <w:pStyle w:val="SummaryTable"/>
              <w:jc w:val="left"/>
            </w:pPr>
            <w:r>
              <w:t>Apr 2019 - Mar 2020</w:t>
            </w:r>
          </w:p>
        </w:tc>
        <w:tc>
          <w:p>
            <w:pPr>
              <w:pStyle w:val="SummaryTable"/>
              <w:jc w:val="right"/>
            </w:pPr>
            <w:r>
              <w:t>378,629</w:t>
            </w:r>
          </w:p>
        </w:tc>
        <w:tc>
          <w:p>
            <w:pPr>
              <w:pStyle w:val="SummaryTable"/>
              <w:jc w:val="left"/>
            </w:pPr>
            <w:r>
              <w:t/>
            </w:r>
          </w:p>
        </w:tc>
        <w:tc>
          <w:p>
            <w:pPr>
              <w:pStyle w:val="SummaryTable"/>
              <w:jc w:val="left"/>
            </w:pPr>
            <w:r>
              <w:t>8 June 2023</w:t>
            </w:r>
          </w:p>
        </w:tc>
        <w:tc>
          <w:p>
            <w:pPr>
              <w:pStyle w:val="SummaryTable"/>
              <w:jc w:val="left"/>
            </w:pPr>
            <w:r>
              <w:t>14 September 2023 9:30am</w:t>
            </w:r>
          </w:p>
        </w:tc>
      </w:tr>
      <w:tr>
        <w:tc>
          <w:p>
            <w:pPr>
              <w:pStyle w:val="SummaryTable"/>
              <w:jc w:val="left"/>
            </w:pPr>
            <w:r>
              <w:t>Legal aid - overall annual expenditure (£m)</w:t>
            </w:r>
          </w:p>
        </w:tc>
        <w:tc>
          <w:p>
            <w:pPr>
              <w:pStyle w:val="SummaryTable"/>
              <w:jc w:val="left"/>
            </w:pPr>
            <w:r>
              <w:t>Apr 2022 - Mar 2023</w:t>
            </w:r>
          </w:p>
        </w:tc>
        <w:tc>
          <w:p>
            <w:pPr>
              <w:pStyle w:val="SummaryTable"/>
              <w:jc w:val="right"/>
            </w:pPr>
            <w:r>
              <w:t>1,808 (£m)</w:t>
            </w:r>
          </w:p>
        </w:tc>
        <w:tc>
          <w:p>
            <w:pPr>
              <w:pStyle w:val="SummaryTable"/>
              <w:jc w:val="left"/>
            </w:pPr>
            <w:r>
              <w:t>Apr 2021 - Mar 2022</w:t>
            </w:r>
          </w:p>
        </w:tc>
        <w:tc>
          <w:p>
            <w:pPr>
              <w:pStyle w:val="SummaryTable"/>
              <w:jc w:val="right"/>
            </w:pPr>
            <w:r>
              <w:t>1,648 (£m)</w:t>
            </w:r>
          </w:p>
        </w:tc>
        <w:tc>
          <w:p>
            <w:pPr>
              <w:pStyle w:val="SummaryTable"/>
              <w:jc w:val="left"/>
            </w:pPr>
            <w:r>
              <w:t/>
            </w:r>
          </w:p>
        </w:tc>
        <w:tc>
          <w:p>
            <w:pPr>
              <w:pStyle w:val="SummaryTable"/>
              <w:jc w:val="left"/>
            </w:pPr>
            <w:r>
              <w:t>29 June 2023</w:t>
            </w:r>
          </w:p>
        </w:tc>
        <w:tc>
          <w:p>
            <w:pPr>
              <w:pStyle w:val="SummaryTable"/>
              <w:jc w:val="left"/>
            </w:pPr>
            <w:r>
              <w:t>28 September 2023 9:30am</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ummaryTable"/>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Flow through the Criminal Justice System - Year ending March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931920" cy="4114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4"/>
                    <a:srcRect/>
                    <a:stretch>
                      <a:fillRect/>
                    </a:stretch>
                  </pic:blipFill>
                  <pic:spPr bwMode="auto">
                    <a:xfrm>
                      <a:off x="0" y="0"/>
                      <a:ext cx="54610" cy="571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NOTES: Note A: Covers all indictable offences, including triable either way, plus a few closely associated summary offences. Excludes fraud offences recorded by Action Fraud/CIFAS/Financial Fraud Action UK.
  Note B:Includes males, females, persons where sex 'Not Stated and other offenders, i.e. companies, public bodies, etc.
  Note D:Defendants tried or sentenced at the Crown Court in a given year may have been committed for trial or sentence by a magistrate in a previous year.
  Note F:Prison receptions of offenders sentenced to immediate custody, excluding fine defaulters.
  Note G:Offenders starting Community Order or Suspended Sentence Order supervision by the Probation Service. Includes Suspended Sentence Orders without requirements.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Headline measures</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Crime figures from Crime Survey of England and Wales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Incidents of crime against households and adults estimated from the Crime Survey for England and Wales. Includes fraud and computer misuse. Figures are survey estimates and subject to sampling variance. Therefore, figures in this chart are rounded to the nearest 100,000 incidents.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In the 12 months to Dec 2022 there were 9.0 million incidents of crime estimated from the CSEW</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5"/>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2016 to Mar 2017</w:t>
            </w:r>
          </w:p>
        </w:tc>
        <w:tc>
          <w:p>
            <w:pPr>
              <w:pStyle w:val="TableText"/>
              <w:jc w:val="right"/>
            </w:pPr>
            <w:r>
              <w:t>11.2 million</w:t>
            </w:r>
          </w:p>
        </w:tc>
      </w:tr>
      <w:tr>
        <w:tc>
          <w:p>
            <w:pPr>
              <w:pStyle w:val="TableText"/>
              <w:jc w:val="left"/>
            </w:pPr>
            <w:r>
              <w:t>Apr 2017 to Mar 2018</w:t>
            </w:r>
          </w:p>
        </w:tc>
        <w:tc>
          <w:p>
            <w:pPr>
              <w:pStyle w:val="TableText"/>
              <w:jc w:val="right"/>
            </w:pPr>
            <w:r>
              <w:t>10.7 million</w:t>
            </w:r>
          </w:p>
        </w:tc>
      </w:tr>
      <w:tr>
        <w:tc>
          <w:p>
            <w:pPr>
              <w:pStyle w:val="TableText"/>
              <w:jc w:val="left"/>
            </w:pPr>
            <w:r>
              <w:t>Apr 2018 to Mar 2019</w:t>
            </w:r>
          </w:p>
        </w:tc>
        <w:tc>
          <w:p>
            <w:pPr>
              <w:pStyle w:val="TableText"/>
              <w:jc w:val="right"/>
            </w:pPr>
            <w:r>
              <w:t>11.2 million</w:t>
            </w:r>
          </w:p>
        </w:tc>
      </w:tr>
      <w:tr>
        <w:tc>
          <w:p>
            <w:pPr>
              <w:pStyle w:val="TableText"/>
              <w:jc w:val="left"/>
            </w:pPr>
            <w:r>
              <w:t>Apr 2019 to Mar 2020</w:t>
            </w:r>
          </w:p>
        </w:tc>
        <w:tc>
          <w:p>
            <w:pPr>
              <w:pStyle w:val="TableText"/>
              <w:jc w:val="right"/>
            </w:pPr>
            <w:r>
              <w:t>10.2 million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20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6">
        <w:r>
          <w:rPr>
            <w:rFonts w:ascii="Arial" w:hAnsi="Arial" w:eastAsia="Arial" w:cs="Arial"/>
            <w:i w:val="false"/>
            <w:b w:val="false"/>
            <w:u w:val="none"/>
            <w:sz w:val="18"/>
            <w:szCs w:val="18"/>
            <w:color w:val="000000"/>
          </w:rPr>
          <w:t xml:space="preserve">Crime in England and Wales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7">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Police recorded crime in England and Wales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Police recorded crime statistics based on data from all 43 forces in England and Wales (including the British Transport Police). All offences including fraud and computer misuse.</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In the 12 months to Dec 2022 there were 6.6 million incidents of crime  recorded by police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8"/>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2014 to Mar 2015</w:t>
            </w:r>
          </w:p>
        </w:tc>
        <w:tc>
          <w:p>
            <w:pPr>
              <w:pStyle w:val="TableText"/>
              <w:jc w:val="right"/>
            </w:pPr>
            <w:r>
              <w:t>4.2 million</w:t>
            </w:r>
          </w:p>
        </w:tc>
      </w:tr>
      <w:tr>
        <w:tc>
          <w:p>
            <w:pPr>
              <w:pStyle w:val="TableText"/>
              <w:jc w:val="left"/>
            </w:pPr>
            <w:r>
              <w:t>Apr 2015 to Mar 2016</w:t>
            </w:r>
          </w:p>
        </w:tc>
        <w:tc>
          <w:p>
            <w:pPr>
              <w:pStyle w:val="TableText"/>
              <w:jc w:val="right"/>
            </w:pPr>
            <w:r>
              <w:t>4.5 million</w:t>
            </w:r>
          </w:p>
        </w:tc>
      </w:tr>
      <w:tr>
        <w:tc>
          <w:p>
            <w:pPr>
              <w:pStyle w:val="TableText"/>
              <w:jc w:val="left"/>
            </w:pPr>
            <w:r>
              <w:t>Apr 2016 to Mar 2017</w:t>
            </w:r>
          </w:p>
        </w:tc>
        <w:tc>
          <w:p>
            <w:pPr>
              <w:pStyle w:val="TableText"/>
              <w:jc w:val="right"/>
            </w:pPr>
            <w:r>
              <w:t>5.0 million</w:t>
            </w:r>
          </w:p>
        </w:tc>
      </w:tr>
      <w:tr>
        <w:tc>
          <w:p>
            <w:pPr>
              <w:pStyle w:val="TableText"/>
              <w:jc w:val="left"/>
            </w:pPr>
            <w:r>
              <w:t>Apr 2017 to Mar 2018</w:t>
            </w:r>
          </w:p>
        </w:tc>
        <w:tc>
          <w:p>
            <w:pPr>
              <w:pStyle w:val="TableText"/>
              <w:jc w:val="right"/>
            </w:pPr>
            <w:r>
              <w:t>5.5 million</w:t>
            </w:r>
          </w:p>
        </w:tc>
      </w:tr>
      <w:tr>
        <w:tc>
          <w:p>
            <w:pPr>
              <w:pStyle w:val="TableText"/>
              <w:jc w:val="left"/>
            </w:pPr>
            <w:r>
              <w:t>Apr 2018 to Mar 2019</w:t>
            </w:r>
          </w:p>
        </w:tc>
        <w:tc>
          <w:p>
            <w:pPr>
              <w:pStyle w:val="TableText"/>
              <w:jc w:val="right"/>
            </w:pPr>
            <w:r>
              <w:t>6.0 million</w:t>
            </w:r>
          </w:p>
        </w:tc>
      </w:tr>
      <w:tr>
        <w:tc>
          <w:p>
            <w:pPr>
              <w:pStyle w:val="TableText"/>
              <w:jc w:val="left"/>
            </w:pPr>
            <w:r>
              <w:t>Apr 2019 to Mar 2020</w:t>
            </w:r>
          </w:p>
        </w:tc>
        <w:tc>
          <w:p>
            <w:pPr>
              <w:pStyle w:val="TableText"/>
              <w:jc w:val="right"/>
            </w:pPr>
            <w:r>
              <w:t>6.0 million</w:t>
            </w:r>
          </w:p>
        </w:tc>
      </w:tr>
      <w:tr>
        <w:tc>
          <w:p>
            <w:pPr>
              <w:pStyle w:val="TableText"/>
              <w:jc w:val="left"/>
            </w:pPr>
            <w:r>
              <w:t>Apr 2020 to Mar 2021</w:t>
            </w:r>
          </w:p>
        </w:tc>
        <w:tc>
          <w:p>
            <w:pPr>
              <w:pStyle w:val="TableText"/>
              <w:jc w:val="right"/>
            </w:pPr>
            <w:r>
              <w:t>5.3 million</w:t>
            </w:r>
          </w:p>
        </w:tc>
      </w:tr>
      <w:tr>
        <w:tc>
          <w:p>
            <w:pPr>
              <w:pStyle w:val="TableText"/>
              <w:jc w:val="left"/>
            </w:pPr>
            <w:r>
              <w:t>Apr 2021 to Mar 2022</w:t>
            </w:r>
          </w:p>
        </w:tc>
        <w:tc>
          <w:p>
            <w:pPr>
              <w:pStyle w:val="TableText"/>
              <w:jc w:val="right"/>
            </w:pPr>
            <w:r>
              <w:t>6.2 million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20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6">
        <w:r>
          <w:rPr>
            <w:rFonts w:ascii="Arial" w:hAnsi="Arial" w:eastAsia="Arial" w:cs="Arial"/>
            <w:i w:val="false"/>
            <w:b w:val="false"/>
            <w:u w:val="none"/>
            <w:sz w:val="18"/>
            <w:szCs w:val="18"/>
            <w:color w:val="000000"/>
          </w:rPr>
          <w:t xml:space="preserve">Crime in England and Wales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9">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population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Total number of prisoners at a specific point in time each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The prison population at 31 Mar 2023 was 84,372.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0"/>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30-Jun-2015</w:t>
            </w:r>
          </w:p>
        </w:tc>
        <w:tc>
          <w:p>
            <w:pPr>
              <w:pStyle w:val="TableText"/>
              <w:jc w:val="right"/>
            </w:pPr>
            <w:r>
              <w:t>86,193</w:t>
            </w:r>
          </w:p>
        </w:tc>
      </w:tr>
      <w:tr>
        <w:tc>
          <w:p>
            <w:pPr>
              <w:pStyle w:val="TableText"/>
              <w:jc w:val="left"/>
            </w:pPr>
            <w:r>
              <w:t>30-Jun-2016</w:t>
            </w:r>
          </w:p>
        </w:tc>
        <w:tc>
          <w:p>
            <w:pPr>
              <w:pStyle w:val="TableText"/>
              <w:jc w:val="right"/>
            </w:pPr>
            <w:r>
              <w:t>85,134</w:t>
            </w:r>
          </w:p>
        </w:tc>
      </w:tr>
      <w:tr>
        <w:tc>
          <w:p>
            <w:pPr>
              <w:pStyle w:val="TableText"/>
              <w:jc w:val="left"/>
            </w:pPr>
            <w:r>
              <w:t>30-Jun-2017</w:t>
            </w:r>
          </w:p>
        </w:tc>
        <w:tc>
          <w:p>
            <w:pPr>
              <w:pStyle w:val="TableText"/>
              <w:jc w:val="right"/>
            </w:pPr>
            <w:r>
              <w:t>85,863</w:t>
            </w:r>
          </w:p>
        </w:tc>
      </w:tr>
      <w:tr>
        <w:tc>
          <w:p>
            <w:pPr>
              <w:pStyle w:val="TableText"/>
              <w:jc w:val="left"/>
            </w:pPr>
            <w:r>
              <w:t>30-Jun-2018</w:t>
            </w:r>
          </w:p>
        </w:tc>
        <w:tc>
          <w:p>
            <w:pPr>
              <w:pStyle w:val="TableText"/>
              <w:jc w:val="right"/>
            </w:pPr>
            <w:r>
              <w:t>82,773</w:t>
            </w:r>
          </w:p>
        </w:tc>
      </w:tr>
      <w:tr>
        <w:tc>
          <w:p>
            <w:pPr>
              <w:pStyle w:val="TableText"/>
              <w:jc w:val="left"/>
            </w:pPr>
            <w:r>
              <w:t>30-Jun-2019</w:t>
            </w:r>
          </w:p>
        </w:tc>
        <w:tc>
          <w:p>
            <w:pPr>
              <w:pStyle w:val="TableText"/>
              <w:jc w:val="right"/>
            </w:pPr>
            <w:r>
              <w:t>82,710</w:t>
            </w:r>
          </w:p>
        </w:tc>
      </w:tr>
      <w:tr>
        <w:tc>
          <w:p>
            <w:pPr>
              <w:pStyle w:val="TableText"/>
              <w:jc w:val="left"/>
            </w:pPr>
            <w:r>
              <w:t>30-Jun-2020</w:t>
            </w:r>
          </w:p>
        </w:tc>
        <w:tc>
          <w:p>
            <w:pPr>
              <w:pStyle w:val="TableText"/>
              <w:jc w:val="right"/>
            </w:pPr>
            <w:r>
              <w:t>79,514</w:t>
            </w:r>
          </w:p>
        </w:tc>
      </w:tr>
      <w:tr>
        <w:tc>
          <w:p>
            <w:pPr>
              <w:pStyle w:val="TableText"/>
              <w:jc w:val="left"/>
            </w:pPr>
            <w:r>
              <w:t>30-Jun-2021</w:t>
            </w:r>
          </w:p>
        </w:tc>
        <w:tc>
          <w:p>
            <w:pPr>
              <w:pStyle w:val="TableText"/>
              <w:jc w:val="right"/>
            </w:pPr>
            <w:r>
              <w:t>78,324</w:t>
            </w:r>
          </w:p>
        </w:tc>
      </w:tr>
      <w:tr>
        <w:tc>
          <w:p>
            <w:pPr>
              <w:pStyle w:val="TableText"/>
              <w:jc w:val="left"/>
            </w:pPr>
            <w:r>
              <w:t>30-Jun-2022</w:t>
            </w:r>
          </w:p>
        </w:tc>
        <w:tc>
          <w:p>
            <w:pPr>
              <w:pStyle w:val="TableText"/>
              <w:jc w:val="right"/>
            </w:pPr>
            <w:r>
              <w:t>80,659</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22">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Probation caseload</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statistics count each person once for each type of probation supervision being received on the date shown. In addition, each person is counted only once in each total or sub-total even if they were subject to several types of probation supervision at the year end (the examples above apply). Thus, the sum of the numbers receiving each type of court order probation supervision exceeds the number receiving court order probation supervision in total.</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31 Dec 2022 is 240,431, down 243 from 30 Sep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3"/>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31 Mar 2021</w:t>
            </w:r>
          </w:p>
        </w:tc>
        <w:tc>
          <w:p>
            <w:pPr>
              <w:pStyle w:val="TableText"/>
              <w:jc w:val="right"/>
            </w:pPr>
            <w:r>
              <w:t>224,174</w:t>
            </w:r>
          </w:p>
        </w:tc>
      </w:tr>
      <w:tr>
        <w:tc>
          <w:p>
            <w:pPr>
              <w:pStyle w:val="TableText"/>
              <w:jc w:val="left"/>
            </w:pPr>
            <w:r>
              <w:t>30 Jun 2021</w:t>
            </w:r>
          </w:p>
        </w:tc>
        <w:tc>
          <w:p>
            <w:pPr>
              <w:pStyle w:val="TableText"/>
              <w:jc w:val="right"/>
            </w:pPr>
            <w:r>
              <w:t>230,578</w:t>
            </w:r>
          </w:p>
        </w:tc>
      </w:tr>
      <w:tr>
        <w:tc>
          <w:p>
            <w:pPr>
              <w:pStyle w:val="TableText"/>
              <w:jc w:val="left"/>
            </w:pPr>
            <w:r>
              <w:t>30 Sep 2021</w:t>
            </w:r>
          </w:p>
        </w:tc>
        <w:tc>
          <w:p>
            <w:pPr>
              <w:pStyle w:val="TableText"/>
              <w:jc w:val="right"/>
            </w:pPr>
            <w:r>
              <w:t>234,827</w:t>
            </w:r>
          </w:p>
        </w:tc>
      </w:tr>
      <w:tr>
        <w:tc>
          <w:p>
            <w:pPr>
              <w:pStyle w:val="TableText"/>
              <w:jc w:val="left"/>
            </w:pPr>
            <w:r>
              <w:t>31 Dec 2021</w:t>
            </w:r>
          </w:p>
        </w:tc>
        <w:tc>
          <w:p>
            <w:pPr>
              <w:pStyle w:val="TableText"/>
              <w:jc w:val="right"/>
            </w:pPr>
            <w:r>
              <w:t>238,500</w:t>
            </w:r>
          </w:p>
        </w:tc>
      </w:tr>
      <w:tr>
        <w:tc>
          <w:p>
            <w:pPr>
              <w:pStyle w:val="TableText"/>
              <w:jc w:val="left"/>
            </w:pPr>
            <w:r>
              <w:t>31 Mar 2022</w:t>
            </w:r>
          </w:p>
        </w:tc>
        <w:tc>
          <w:p>
            <w:pPr>
              <w:pStyle w:val="TableText"/>
              <w:jc w:val="right"/>
            </w:pPr>
            <w:r>
              <w:t>240,922</w:t>
            </w:r>
          </w:p>
        </w:tc>
      </w:tr>
      <w:tr>
        <w:tc>
          <w:p>
            <w:pPr>
              <w:pStyle w:val="TableText"/>
              <w:jc w:val="left"/>
            </w:pPr>
            <w:r>
              <w:t>30 Jun 2022</w:t>
            </w:r>
          </w:p>
        </w:tc>
        <w:tc>
          <w:p>
            <w:pPr>
              <w:pStyle w:val="TableText"/>
              <w:jc w:val="right"/>
            </w:pPr>
            <w:r>
              <w:t>243,127</w:t>
            </w:r>
          </w:p>
        </w:tc>
      </w:tr>
      <w:tr>
        <w:tc>
          <w:p>
            <w:pPr>
              <w:pStyle w:val="TableText"/>
              <w:jc w:val="left"/>
            </w:pPr>
            <w:r>
              <w:t>30 Sep 2022</w:t>
            </w:r>
          </w:p>
        </w:tc>
        <w:tc>
          <w:p>
            <w:pPr>
              <w:pStyle w:val="TableText"/>
              <w:jc w:val="right"/>
            </w:pPr>
            <w:r>
              <w:t>240,674</w:t>
            </w:r>
          </w:p>
        </w:tc>
      </w:tr>
      <w:tr>
        <w:tc>
          <w:p>
            <w:pPr>
              <w:pStyle w:val="TableText"/>
              <w:jc w:val="left"/>
            </w:pPr>
            <w:r>
              <w:t>31 Dec 2022</w:t>
            </w:r>
          </w:p>
        </w:tc>
        <w:tc>
          <w:p>
            <w:pPr>
              <w:pStyle w:val="TableText"/>
              <w:jc w:val="right"/>
            </w:pPr>
            <w:r>
              <w:t>240,431</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24">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Proven reoffending rate</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Proportion of all offenders who reoffend (%). This latest offender cohort period overlaps with operational restrictions imposed due to the COVID-19 pandemic and a period of on-going recovery for the courts. As a result, volatility continues to be seen in the reoffending figures, with overall proven reoffending down from the same quarter last year but up from the previous quarter.</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Apr - Jun 2021 is 24.8%, up 0.5ppt from Jan - Mar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5"/>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Jul - Sep 2019</w:t>
            </w:r>
          </w:p>
        </w:tc>
        <w:tc>
          <w:p>
            <w:pPr>
              <w:pStyle w:val="TableText"/>
              <w:jc w:val="right"/>
            </w:pPr>
            <w:r>
              <w:t>26.0%</w:t>
            </w:r>
          </w:p>
        </w:tc>
      </w:tr>
      <w:tr>
        <w:tc>
          <w:p>
            <w:pPr>
              <w:pStyle w:val="TableText"/>
              <w:jc w:val="left"/>
            </w:pPr>
            <w:r>
              <w:t>Oct - Dec 2019</w:t>
            </w:r>
          </w:p>
        </w:tc>
        <w:tc>
          <w:p>
            <w:pPr>
              <w:pStyle w:val="TableText"/>
              <w:jc w:val="right"/>
            </w:pPr>
            <w:r>
              <w:t>25.2%</w:t>
            </w:r>
          </w:p>
        </w:tc>
      </w:tr>
      <w:tr>
        <w:tc>
          <w:p>
            <w:pPr>
              <w:pStyle w:val="TableText"/>
              <w:jc w:val="left"/>
            </w:pPr>
            <w:r>
              <w:t>Jan - Mar 2020</w:t>
            </w:r>
          </w:p>
        </w:tc>
        <w:tc>
          <w:p>
            <w:pPr>
              <w:pStyle w:val="TableText"/>
              <w:jc w:val="right"/>
            </w:pPr>
            <w:r>
              <w:t>24.7%</w:t>
            </w:r>
          </w:p>
        </w:tc>
      </w:tr>
      <w:tr>
        <w:tc>
          <w:p>
            <w:pPr>
              <w:pStyle w:val="TableText"/>
              <w:jc w:val="left"/>
            </w:pPr>
            <w:r>
              <w:t>Apr - Jun 2020</w:t>
            </w:r>
          </w:p>
        </w:tc>
        <w:tc>
          <w:p>
            <w:pPr>
              <w:pStyle w:val="TableText"/>
              <w:jc w:val="right"/>
            </w:pPr>
            <w:r>
              <w:t>29.0%</w:t>
            </w:r>
          </w:p>
        </w:tc>
      </w:tr>
      <w:tr>
        <w:tc>
          <w:p>
            <w:pPr>
              <w:pStyle w:val="TableText"/>
              <w:jc w:val="left"/>
            </w:pPr>
            <w:r>
              <w:t>Jul - Sep 2020</w:t>
            </w:r>
          </w:p>
        </w:tc>
        <w:tc>
          <w:p>
            <w:pPr>
              <w:pStyle w:val="TableText"/>
              <w:jc w:val="right"/>
            </w:pPr>
            <w:r>
              <w:t>23.5%</w:t>
            </w:r>
          </w:p>
        </w:tc>
      </w:tr>
      <w:tr>
        <w:tc>
          <w:p>
            <w:pPr>
              <w:pStyle w:val="TableText"/>
              <w:jc w:val="left"/>
            </w:pPr>
            <w:r>
              <w:t>Oct - Dec 2020</w:t>
            </w:r>
          </w:p>
        </w:tc>
        <w:tc>
          <w:p>
            <w:pPr>
              <w:pStyle w:val="TableText"/>
              <w:jc w:val="right"/>
            </w:pPr>
            <w:r>
              <w:t>23.1%</w:t>
            </w:r>
          </w:p>
        </w:tc>
      </w:tr>
      <w:tr>
        <w:tc>
          <w:p>
            <w:pPr>
              <w:pStyle w:val="TableText"/>
              <w:jc w:val="left"/>
            </w:pPr>
            <w:r>
              <w:t>Jan - Mar 2021</w:t>
            </w:r>
          </w:p>
        </w:tc>
        <w:tc>
          <w:p>
            <w:pPr>
              <w:pStyle w:val="TableText"/>
              <w:jc w:val="right"/>
            </w:pPr>
            <w:r>
              <w:t>24.3%</w:t>
            </w:r>
          </w:p>
        </w:tc>
      </w:tr>
      <w:tr>
        <w:tc>
          <w:p>
            <w:pPr>
              <w:pStyle w:val="TableText"/>
              <w:jc w:val="left"/>
            </w:pPr>
            <w:r>
              <w:t>Apr - Jun 2021</w:t>
            </w:r>
          </w:p>
        </w:tc>
        <w:tc>
          <w:p>
            <w:pPr>
              <w:pStyle w:val="TableText"/>
              <w:jc w:val="right"/>
            </w:pPr>
            <w:r>
              <w:t>24.8%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6">
        <w:r>
          <w:rPr>
            <w:rFonts w:ascii="Arial" w:hAnsi="Arial" w:eastAsia="Arial" w:cs="Arial"/>
            <w:i w:val="false"/>
            <w:b w:val="false"/>
            <w:u w:val="none"/>
            <w:sz w:val="18"/>
            <w:szCs w:val="18"/>
            <w:color w:val="000000"/>
          </w:rPr>
          <w:t xml:space="preserve">Proven reoffending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27">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Crown court disposals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 count of the number of cases only when all the offences have been completed (following a validation process) in the reporting period. Disposals figures in this report may change if the case results are entered after the first collation of the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91,609, down 4,159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8"/>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130,757</w:t>
            </w:r>
          </w:p>
        </w:tc>
      </w:tr>
      <w:tr>
        <w:tc>
          <w:p>
            <w:pPr>
              <w:pStyle w:val="TableText"/>
              <w:jc w:val="left"/>
            </w:pPr>
            <w:r>
              <w:t>Jan - Dec 2016</w:t>
            </w:r>
          </w:p>
        </w:tc>
        <w:tc>
          <w:p>
            <w:pPr>
              <w:pStyle w:val="TableText"/>
              <w:jc w:val="right"/>
            </w:pPr>
            <w:r>
              <w:t>123,218</w:t>
            </w:r>
          </w:p>
        </w:tc>
      </w:tr>
      <w:tr>
        <w:tc>
          <w:p>
            <w:pPr>
              <w:pStyle w:val="TableText"/>
              <w:jc w:val="left"/>
            </w:pPr>
            <w:r>
              <w:t>Jan - Dec 2017</w:t>
            </w:r>
          </w:p>
        </w:tc>
        <w:tc>
          <w:p>
            <w:pPr>
              <w:pStyle w:val="TableText"/>
              <w:jc w:val="right"/>
            </w:pPr>
            <w:r>
              <w:t>115,703</w:t>
            </w:r>
          </w:p>
        </w:tc>
      </w:tr>
      <w:tr>
        <w:tc>
          <w:p>
            <w:pPr>
              <w:pStyle w:val="TableText"/>
              <w:jc w:val="left"/>
            </w:pPr>
            <w:r>
              <w:t>Jan - Dec 2018</w:t>
            </w:r>
          </w:p>
        </w:tc>
        <w:tc>
          <w:p>
            <w:pPr>
              <w:pStyle w:val="TableText"/>
              <w:jc w:val="right"/>
            </w:pPr>
            <w:r>
              <w:t>105,751</w:t>
            </w:r>
          </w:p>
        </w:tc>
      </w:tr>
      <w:tr>
        <w:tc>
          <w:p>
            <w:pPr>
              <w:pStyle w:val="TableText"/>
              <w:jc w:val="left"/>
            </w:pPr>
            <w:r>
              <w:t>Jan - Dec 2019</w:t>
            </w:r>
          </w:p>
        </w:tc>
        <w:tc>
          <w:p>
            <w:pPr>
              <w:pStyle w:val="TableText"/>
              <w:jc w:val="right"/>
            </w:pPr>
            <w:r>
              <w:t>99,630</w:t>
            </w:r>
          </w:p>
        </w:tc>
      </w:tr>
      <w:tr>
        <w:tc>
          <w:p>
            <w:pPr>
              <w:pStyle w:val="TableText"/>
              <w:jc w:val="left"/>
            </w:pPr>
            <w:r>
              <w:t>Jan - Dec 2020</w:t>
            </w:r>
          </w:p>
        </w:tc>
        <w:tc>
          <w:p>
            <w:pPr>
              <w:pStyle w:val="TableText"/>
              <w:jc w:val="right"/>
            </w:pPr>
            <w:r>
              <w:t>78,202</w:t>
            </w:r>
          </w:p>
        </w:tc>
      </w:tr>
      <w:tr>
        <w:tc>
          <w:p>
            <w:pPr>
              <w:pStyle w:val="TableText"/>
              <w:jc w:val="left"/>
            </w:pPr>
            <w:r>
              <w:t>Jan - Dec 2021</w:t>
            </w:r>
          </w:p>
        </w:tc>
        <w:tc>
          <w:p>
            <w:pPr>
              <w:pStyle w:val="TableText"/>
              <w:jc w:val="right"/>
            </w:pPr>
            <w:r>
              <w:t>95,768</w:t>
            </w:r>
          </w:p>
        </w:tc>
      </w:tr>
      <w:tr>
        <w:tc>
          <w:p>
            <w:pPr>
              <w:pStyle w:val="TableText"/>
              <w:jc w:val="left"/>
            </w:pPr>
            <w:r>
              <w:t>Jan - Dec 2022</w:t>
            </w:r>
          </w:p>
        </w:tc>
        <w:tc>
          <w:p>
            <w:pPr>
              <w:pStyle w:val="TableText"/>
              <w:jc w:val="right"/>
            </w:pPr>
            <w:r>
              <w:t>91,609</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30">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Crown court outstanding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 count of all cases where one or more offence remains incomplete. The data is a snapshot based on outstanding cases on the final day of the reporting period. This is a count of live cases on the system and is not a calculation based on receipts and disposals. Transferred cases may be double counted for a period while they show in both sending and receiving courts; offences subsequently entered in error may change the categorisation of the case.</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31 Dec 2022 is 62,511, up 4,123 from 31 Dec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1"/>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31 Dec 2015</w:t>
            </w:r>
          </w:p>
        </w:tc>
        <w:tc>
          <w:p>
            <w:pPr>
              <w:pStyle w:val="TableText"/>
              <w:jc w:val="right"/>
            </w:pPr>
            <w:r>
              <w:t>51,585</w:t>
            </w:r>
          </w:p>
        </w:tc>
      </w:tr>
      <w:tr>
        <w:tc>
          <w:p>
            <w:pPr>
              <w:pStyle w:val="TableText"/>
              <w:jc w:val="left"/>
            </w:pPr>
            <w:r>
              <w:t>31 Dec 2016</w:t>
            </w:r>
          </w:p>
        </w:tc>
        <w:tc>
          <w:p>
            <w:pPr>
              <w:pStyle w:val="TableText"/>
              <w:jc w:val="right"/>
            </w:pPr>
            <w:r>
              <w:t>42,942</w:t>
            </w:r>
          </w:p>
        </w:tc>
      </w:tr>
      <w:tr>
        <w:tc>
          <w:p>
            <w:pPr>
              <w:pStyle w:val="TableText"/>
              <w:jc w:val="left"/>
            </w:pPr>
            <w:r>
              <w:t>31 Dec 2017</w:t>
            </w:r>
          </w:p>
        </w:tc>
        <w:tc>
          <w:p>
            <w:pPr>
              <w:pStyle w:val="TableText"/>
              <w:jc w:val="right"/>
            </w:pPr>
            <w:r>
              <w:t>38,828</w:t>
            </w:r>
          </w:p>
        </w:tc>
      </w:tr>
      <w:tr>
        <w:tc>
          <w:p>
            <w:pPr>
              <w:pStyle w:val="TableText"/>
              <w:jc w:val="left"/>
            </w:pPr>
            <w:r>
              <w:t>31 Dec 2018</w:t>
            </w:r>
          </w:p>
        </w:tc>
        <w:tc>
          <w:p>
            <w:pPr>
              <w:pStyle w:val="TableText"/>
              <w:jc w:val="right"/>
            </w:pPr>
            <w:r>
              <w:t>32,882</w:t>
            </w:r>
          </w:p>
        </w:tc>
      </w:tr>
      <w:tr>
        <w:tc>
          <w:p>
            <w:pPr>
              <w:pStyle w:val="TableText"/>
              <w:jc w:val="left"/>
            </w:pPr>
            <w:r>
              <w:t>31 Dec 2019</w:t>
            </w:r>
          </w:p>
        </w:tc>
        <w:tc>
          <w:p>
            <w:pPr>
              <w:pStyle w:val="TableText"/>
              <w:jc w:val="right"/>
            </w:pPr>
            <w:r>
              <w:t>37,958</w:t>
            </w:r>
          </w:p>
        </w:tc>
      </w:tr>
      <w:tr>
        <w:tc>
          <w:p>
            <w:pPr>
              <w:pStyle w:val="TableText"/>
              <w:jc w:val="left"/>
            </w:pPr>
            <w:r>
              <w:t>31 Dec 2020</w:t>
            </w:r>
          </w:p>
        </w:tc>
        <w:tc>
          <w:p>
            <w:pPr>
              <w:pStyle w:val="TableText"/>
              <w:jc w:val="right"/>
            </w:pPr>
            <w:r>
              <w:t>56,905</w:t>
            </w:r>
          </w:p>
        </w:tc>
      </w:tr>
      <w:tr>
        <w:tc>
          <w:p>
            <w:pPr>
              <w:pStyle w:val="TableText"/>
              <w:jc w:val="left"/>
            </w:pPr>
            <w:r>
              <w:t>31 Dec 2021</w:t>
            </w:r>
          </w:p>
        </w:tc>
        <w:tc>
          <w:p>
            <w:pPr>
              <w:pStyle w:val="TableText"/>
              <w:jc w:val="right"/>
            </w:pPr>
            <w:r>
              <w:t>58,388</w:t>
            </w:r>
          </w:p>
        </w:tc>
      </w:tr>
      <w:tr>
        <w:tc>
          <w:p>
            <w:pPr>
              <w:pStyle w:val="TableText"/>
              <w:jc w:val="left"/>
            </w:pPr>
            <w:r>
              <w:t>31 Dec 2022</w:t>
            </w:r>
          </w:p>
        </w:tc>
        <w:tc>
          <w:p>
            <w:pPr>
              <w:pStyle w:val="TableText"/>
              <w:jc w:val="right"/>
            </w:pPr>
            <w:r>
              <w:t>62,511</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32">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Magistrates' courts disposals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 count of the number of cases only when all the offences have been completed (following a validation process) in the reporting period. Disposals figures in this report may change if the case results are entered after the first collation of the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1,266,872, up 91,693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3"/>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1,594,051</w:t>
            </w:r>
          </w:p>
        </w:tc>
      </w:tr>
      <w:tr>
        <w:tc>
          <w:p>
            <w:pPr>
              <w:pStyle w:val="TableText"/>
              <w:jc w:val="left"/>
            </w:pPr>
            <w:r>
              <w:t>Jan - Dec 2016</w:t>
            </w:r>
          </w:p>
        </w:tc>
        <w:tc>
          <w:p>
            <w:pPr>
              <w:pStyle w:val="TableText"/>
              <w:jc w:val="right"/>
            </w:pPr>
            <w:r>
              <w:t>1,566,357</w:t>
            </w:r>
          </w:p>
        </w:tc>
      </w:tr>
      <w:tr>
        <w:tc>
          <w:p>
            <w:pPr>
              <w:pStyle w:val="TableText"/>
              <w:jc w:val="left"/>
            </w:pPr>
            <w:r>
              <w:t>Jan - Dec 2017</w:t>
            </w:r>
          </w:p>
        </w:tc>
        <w:tc>
          <w:p>
            <w:pPr>
              <w:pStyle w:val="TableText"/>
              <w:jc w:val="right"/>
            </w:pPr>
            <w:r>
              <w:t>1,509,022</w:t>
            </w:r>
          </w:p>
        </w:tc>
      </w:tr>
      <w:tr>
        <w:tc>
          <w:p>
            <w:pPr>
              <w:pStyle w:val="TableText"/>
              <w:jc w:val="left"/>
            </w:pPr>
            <w:r>
              <w:t>Jan - Dec 2018</w:t>
            </w:r>
          </w:p>
        </w:tc>
        <w:tc>
          <w:p>
            <w:pPr>
              <w:pStyle w:val="TableText"/>
              <w:jc w:val="right"/>
            </w:pPr>
            <w:r>
              <w:t>1,456,735</w:t>
            </w:r>
          </w:p>
        </w:tc>
      </w:tr>
      <w:tr>
        <w:tc>
          <w:p>
            <w:pPr>
              <w:pStyle w:val="TableText"/>
              <w:jc w:val="left"/>
            </w:pPr>
            <w:r>
              <w:t>Jan - Dec 2019</w:t>
            </w:r>
          </w:p>
        </w:tc>
        <w:tc>
          <w:p>
            <w:pPr>
              <w:pStyle w:val="TableText"/>
              <w:jc w:val="right"/>
            </w:pPr>
            <w:r>
              <w:t>1,441,903</w:t>
            </w:r>
          </w:p>
        </w:tc>
      </w:tr>
      <w:tr>
        <w:tc>
          <w:p>
            <w:pPr>
              <w:pStyle w:val="TableText"/>
              <w:jc w:val="left"/>
            </w:pPr>
            <w:r>
              <w:t>Jan - Dec 2020</w:t>
            </w:r>
          </w:p>
        </w:tc>
        <w:tc>
          <w:p>
            <w:pPr>
              <w:pStyle w:val="TableText"/>
              <w:jc w:val="right"/>
            </w:pPr>
            <w:r>
              <w:t>1,041,021</w:t>
            </w:r>
          </w:p>
        </w:tc>
      </w:tr>
      <w:tr>
        <w:tc>
          <w:p>
            <w:pPr>
              <w:pStyle w:val="TableText"/>
              <w:jc w:val="left"/>
            </w:pPr>
            <w:r>
              <w:t>Jan - Dec 2021</w:t>
            </w:r>
          </w:p>
        </w:tc>
        <w:tc>
          <w:p>
            <w:pPr>
              <w:pStyle w:val="TableText"/>
              <w:jc w:val="right"/>
            </w:pPr>
            <w:r>
              <w:t>1,175,179</w:t>
            </w:r>
          </w:p>
        </w:tc>
      </w:tr>
      <w:tr>
        <w:tc>
          <w:p>
            <w:pPr>
              <w:pStyle w:val="TableText"/>
              <w:jc w:val="left"/>
            </w:pPr>
            <w:r>
              <w:t>Jan - Dec 2022</w:t>
            </w:r>
          </w:p>
        </w:tc>
        <w:tc>
          <w:p>
            <w:pPr>
              <w:pStyle w:val="TableText"/>
              <w:jc w:val="right"/>
            </w:pPr>
            <w:r>
              <w:t>1,266,872</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34">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Civil courts - total judgments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Total number of judgments in the county courts. Some civil cases are resolved via mediation or settled out of court and don't proceed to a judgement.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901,278, down 79,196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5"/>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867,665</w:t>
            </w:r>
          </w:p>
        </w:tc>
      </w:tr>
      <w:tr>
        <w:tc>
          <w:p>
            <w:pPr>
              <w:pStyle w:val="TableText"/>
              <w:jc w:val="left"/>
            </w:pPr>
            <w:r>
              <w:t>Jan - Dec 2016</w:t>
            </w:r>
          </w:p>
        </w:tc>
        <w:tc>
          <w:p>
            <w:pPr>
              <w:pStyle w:val="TableText"/>
              <w:jc w:val="right"/>
            </w:pPr>
            <w:r>
              <w:t>1,055,035</w:t>
            </w:r>
          </w:p>
        </w:tc>
      </w:tr>
      <w:tr>
        <w:tc>
          <w:p>
            <w:pPr>
              <w:pStyle w:val="TableText"/>
              <w:jc w:val="left"/>
            </w:pPr>
            <w:r>
              <w:t>Jan - Dec 2017</w:t>
            </w:r>
          </w:p>
        </w:tc>
        <w:tc>
          <w:p>
            <w:pPr>
              <w:pStyle w:val="TableText"/>
              <w:jc w:val="right"/>
            </w:pPr>
            <w:r>
              <w:t>1,284,364</w:t>
            </w:r>
          </w:p>
        </w:tc>
      </w:tr>
      <w:tr>
        <w:tc>
          <w:p>
            <w:pPr>
              <w:pStyle w:val="TableText"/>
              <w:jc w:val="left"/>
            </w:pPr>
            <w:r>
              <w:t>Jan - Dec 2018</w:t>
            </w:r>
          </w:p>
        </w:tc>
        <w:tc>
          <w:p>
            <w:pPr>
              <w:pStyle w:val="TableText"/>
              <w:jc w:val="right"/>
            </w:pPr>
            <w:r>
              <w:t>1,291,142</w:t>
            </w:r>
          </w:p>
        </w:tc>
      </w:tr>
      <w:tr>
        <w:tc>
          <w:p>
            <w:pPr>
              <w:pStyle w:val="TableText"/>
              <w:jc w:val="left"/>
            </w:pPr>
            <w:r>
              <w:t>Jan - Dec 2019</w:t>
            </w:r>
          </w:p>
        </w:tc>
        <w:tc>
          <w:p>
            <w:pPr>
              <w:pStyle w:val="TableText"/>
              <w:jc w:val="right"/>
            </w:pPr>
            <w:r>
              <w:t>1,323,750</w:t>
            </w:r>
          </w:p>
        </w:tc>
      </w:tr>
      <w:tr>
        <w:tc>
          <w:p>
            <w:pPr>
              <w:pStyle w:val="TableText"/>
              <w:jc w:val="left"/>
            </w:pPr>
            <w:r>
              <w:t>Jan - Dec 2020</w:t>
            </w:r>
          </w:p>
        </w:tc>
        <w:tc>
          <w:p>
            <w:pPr>
              <w:pStyle w:val="TableText"/>
              <w:jc w:val="right"/>
            </w:pPr>
            <w:r>
              <w:t>727,438</w:t>
            </w:r>
          </w:p>
        </w:tc>
      </w:tr>
      <w:tr>
        <w:tc>
          <w:p>
            <w:pPr>
              <w:pStyle w:val="TableText"/>
              <w:jc w:val="left"/>
            </w:pPr>
            <w:r>
              <w:t>Jan - Dec 2021</w:t>
            </w:r>
          </w:p>
        </w:tc>
        <w:tc>
          <w:p>
            <w:pPr>
              <w:pStyle w:val="TableText"/>
              <w:jc w:val="right"/>
            </w:pPr>
            <w:r>
              <w:t>980,474</w:t>
            </w:r>
          </w:p>
        </w:tc>
      </w:tr>
      <w:tr>
        <w:tc>
          <w:p>
            <w:pPr>
              <w:pStyle w:val="TableText"/>
              <w:jc w:val="left"/>
            </w:pPr>
            <w:r>
              <w:t>Jan - Dec 2022</w:t>
            </w:r>
          </w:p>
        </w:tc>
        <w:tc>
          <w:p>
            <w:pPr>
              <w:pStyle w:val="TableText"/>
              <w:jc w:val="right"/>
            </w:pPr>
            <w:r>
              <w:t>901,278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1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7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36">
        <w:r>
          <w:rPr>
            <w:rFonts w:ascii="Arial" w:hAnsi="Arial" w:eastAsia="Arial" w:cs="Arial"/>
            <w:i w:val="false"/>
            <w:b w:val="false"/>
            <w:u w:val="none"/>
            <w:sz w:val="18"/>
            <w:szCs w:val="18"/>
            <w:color w:val="000000"/>
          </w:rPr>
          <w:t xml:space="preserve">Civil justice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37">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Family court - total cases disposed</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Total cases disposed at family court.</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205,088, down 44,441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8"/>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221,558</w:t>
            </w:r>
          </w:p>
        </w:tc>
      </w:tr>
      <w:tr>
        <w:tc>
          <w:p>
            <w:pPr>
              <w:pStyle w:val="TableText"/>
              <w:jc w:val="left"/>
            </w:pPr>
            <w:r>
              <w:t>Jan - Dec 2016</w:t>
            </w:r>
          </w:p>
        </w:tc>
        <w:tc>
          <w:p>
            <w:pPr>
              <w:pStyle w:val="TableText"/>
              <w:jc w:val="right"/>
            </w:pPr>
            <w:r>
              <w:t>228,960</w:t>
            </w:r>
          </w:p>
        </w:tc>
      </w:tr>
      <w:tr>
        <w:tc>
          <w:p>
            <w:pPr>
              <w:pStyle w:val="TableText"/>
              <w:jc w:val="left"/>
            </w:pPr>
            <w:r>
              <w:t>Jan - Dec 2017</w:t>
            </w:r>
          </w:p>
        </w:tc>
        <w:tc>
          <w:p>
            <w:pPr>
              <w:pStyle w:val="TableText"/>
              <w:jc w:val="right"/>
            </w:pPr>
            <w:r>
              <w:t>226,980</w:t>
            </w:r>
          </w:p>
        </w:tc>
      </w:tr>
      <w:tr>
        <w:tc>
          <w:p>
            <w:pPr>
              <w:pStyle w:val="TableText"/>
              <w:jc w:val="left"/>
            </w:pPr>
            <w:r>
              <w:t>Jan - Dec 2018</w:t>
            </w:r>
          </w:p>
        </w:tc>
        <w:tc>
          <w:p>
            <w:pPr>
              <w:pStyle w:val="TableText"/>
              <w:jc w:val="right"/>
            </w:pPr>
            <w:r>
              <w:t>214,294</w:t>
            </w:r>
          </w:p>
        </w:tc>
      </w:tr>
      <w:tr>
        <w:tc>
          <w:p>
            <w:pPr>
              <w:pStyle w:val="TableText"/>
              <w:jc w:val="left"/>
            </w:pPr>
            <w:r>
              <w:t>Jan - Dec 2019</w:t>
            </w:r>
          </w:p>
        </w:tc>
        <w:tc>
          <w:p>
            <w:pPr>
              <w:pStyle w:val="TableText"/>
              <w:jc w:val="right"/>
            </w:pPr>
            <w:r>
              <w:t>234,344</w:t>
            </w:r>
          </w:p>
        </w:tc>
      </w:tr>
      <w:tr>
        <w:tc>
          <w:p>
            <w:pPr>
              <w:pStyle w:val="TableText"/>
              <w:jc w:val="left"/>
            </w:pPr>
            <w:r>
              <w:t>Jan - Dec 2020</w:t>
            </w:r>
          </w:p>
        </w:tc>
        <w:tc>
          <w:p>
            <w:pPr>
              <w:pStyle w:val="TableText"/>
              <w:jc w:val="right"/>
            </w:pPr>
            <w:r>
              <w:t>225,930</w:t>
            </w:r>
          </w:p>
        </w:tc>
      </w:tr>
      <w:tr>
        <w:tc>
          <w:p>
            <w:pPr>
              <w:pStyle w:val="TableText"/>
              <w:jc w:val="left"/>
            </w:pPr>
            <w:r>
              <w:t>Jan - Dec 2021</w:t>
            </w:r>
          </w:p>
        </w:tc>
        <w:tc>
          <w:p>
            <w:pPr>
              <w:pStyle w:val="TableText"/>
              <w:jc w:val="right"/>
            </w:pPr>
            <w:r>
              <w:t>249,529</w:t>
            </w:r>
          </w:p>
        </w:tc>
      </w:tr>
      <w:tr>
        <w:tc>
          <w:p>
            <w:pPr>
              <w:pStyle w:val="TableText"/>
              <w:jc w:val="left"/>
            </w:pPr>
            <w:r>
              <w:t>Jan - Dec 2022</w:t>
            </w:r>
          </w:p>
        </w:tc>
        <w:tc>
          <w:p>
            <w:pPr>
              <w:pStyle w:val="TableText"/>
              <w:jc w:val="right"/>
            </w:pPr>
            <w:r>
              <w:t>205,088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39">
        <w:r>
          <w:rPr>
            <w:rFonts w:ascii="Arial" w:hAnsi="Arial" w:eastAsia="Arial" w:cs="Arial"/>
            <w:i w:val="false"/>
            <w:b w:val="false"/>
            <w:u w:val="none"/>
            <w:sz w:val="18"/>
            <w:szCs w:val="18"/>
            <w:color w:val="000000"/>
          </w:rPr>
          <w:t xml:space="preserve">Family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40">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Tribunals disposals - overall</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Data for 2021/22 and 2022/23 is not available. Please refer to the publication.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41"/>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2013 - Mar 2014</w:t>
            </w:r>
          </w:p>
        </w:tc>
        <w:tc>
          <w:p>
            <w:pPr>
              <w:pStyle w:val="TableText"/>
              <w:jc w:val="right"/>
            </w:pPr>
            <w:r>
              <w:t>878,007</w:t>
            </w:r>
          </w:p>
        </w:tc>
      </w:tr>
      <w:tr>
        <w:tc>
          <w:p>
            <w:pPr>
              <w:pStyle w:val="TableText"/>
              <w:jc w:val="left"/>
            </w:pPr>
            <w:r>
              <w:t>Apr 2014 - Mar 2015</w:t>
            </w:r>
          </w:p>
        </w:tc>
        <w:tc>
          <w:p>
            <w:pPr>
              <w:pStyle w:val="TableText"/>
              <w:jc w:val="right"/>
            </w:pPr>
            <w:r>
              <w:t>649,068</w:t>
            </w:r>
          </w:p>
        </w:tc>
      </w:tr>
      <w:tr>
        <w:tc>
          <w:p>
            <w:pPr>
              <w:pStyle w:val="TableText"/>
              <w:jc w:val="left"/>
            </w:pPr>
            <w:r>
              <w:t>Apr 2015 - Mar 2016</w:t>
            </w:r>
          </w:p>
        </w:tc>
        <w:tc>
          <w:p>
            <w:pPr>
              <w:pStyle w:val="TableText"/>
              <w:jc w:val="right"/>
            </w:pPr>
            <w:r>
              <w:t>372,926</w:t>
            </w:r>
          </w:p>
        </w:tc>
      </w:tr>
      <w:tr>
        <w:tc>
          <w:p>
            <w:pPr>
              <w:pStyle w:val="TableText"/>
              <w:jc w:val="left"/>
            </w:pPr>
            <w:r>
              <w:t>Apr 2016 - Mar 2017</w:t>
            </w:r>
          </w:p>
        </w:tc>
        <w:tc>
          <w:p>
            <w:pPr>
              <w:pStyle w:val="TableText"/>
              <w:jc w:val="right"/>
            </w:pPr>
            <w:r>
              <w:t>394,102</w:t>
            </w:r>
          </w:p>
        </w:tc>
      </w:tr>
      <w:tr>
        <w:tc>
          <w:p>
            <w:pPr>
              <w:pStyle w:val="TableText"/>
              <w:jc w:val="left"/>
            </w:pPr>
            <w:r>
              <w:t>Apr 2017 - Mar 2018</w:t>
            </w:r>
          </w:p>
        </w:tc>
        <w:tc>
          <w:p>
            <w:pPr>
              <w:pStyle w:val="TableText"/>
              <w:jc w:val="right"/>
            </w:pPr>
            <w:r>
              <w:t>407,638</w:t>
            </w:r>
          </w:p>
        </w:tc>
      </w:tr>
      <w:tr>
        <w:tc>
          <w:p>
            <w:pPr>
              <w:pStyle w:val="TableText"/>
              <w:jc w:val="left"/>
            </w:pPr>
            <w:r>
              <w:t>Apr 2018 - Mar 2019</w:t>
            </w:r>
          </w:p>
        </w:tc>
        <w:tc>
          <w:p>
            <w:pPr>
              <w:pStyle w:val="TableText"/>
              <w:jc w:val="right"/>
            </w:pPr>
            <w:r>
              <w:t>400,816</w:t>
            </w:r>
          </w:p>
        </w:tc>
      </w:tr>
      <w:tr>
        <w:tc>
          <w:p>
            <w:pPr>
              <w:pStyle w:val="TableText"/>
              <w:jc w:val="left"/>
            </w:pPr>
            <w:r>
              <w:t>Apr 2019 - Mar 2020</w:t>
            </w:r>
          </w:p>
        </w:tc>
        <w:tc>
          <w:p>
            <w:pPr>
              <w:pStyle w:val="TableText"/>
              <w:jc w:val="right"/>
            </w:pPr>
            <w:r>
              <w:t>378,629</w:t>
            </w:r>
          </w:p>
        </w:tc>
      </w:tr>
      <w:tr>
        <w:tc>
          <w:p>
            <w:pPr>
              <w:pStyle w:val="TableText"/>
              <w:jc w:val="left"/>
            </w:pPr>
            <w:r>
              <w:t>Apr 2020 - Mar 2021</w:t>
            </w:r>
          </w:p>
        </w:tc>
        <w:tc>
          <w:p>
            <w:pPr>
              <w:pStyle w:val="TableText"/>
              <w:jc w:val="right"/>
            </w:pPr>
            <w:r>
              <w:t>265,628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8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14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42">
        <w:r>
          <w:rPr>
            <w:rFonts w:ascii="Arial" w:hAnsi="Arial" w:eastAsia="Arial" w:cs="Arial"/>
            <w:i w:val="false"/>
            <w:b w:val="false"/>
            <w:u w:val="none"/>
            <w:sz w:val="18"/>
            <w:szCs w:val="18"/>
            <w:color w:val="000000"/>
          </w:rPr>
          <w:t xml:space="preserve">Tribunals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4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Public protection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first receptions (quarterly)</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 first reception is a measure which counts a prisoner's first movement into custody following a court hearing for a particular set of offences committed, and therefore gives the best indication of the number of new prisoners in the reporting period.</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Oct-Dec 2022 is 16,422, up 605 from Jul-Sep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4"/>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Jan-Mar 2021</w:t>
            </w:r>
          </w:p>
        </w:tc>
        <w:tc>
          <w:p>
            <w:pPr>
              <w:pStyle w:val="TableText"/>
              <w:jc w:val="right"/>
            </w:pPr>
            <w:r>
              <w:t>14,131</w:t>
            </w:r>
          </w:p>
        </w:tc>
      </w:tr>
      <w:tr>
        <w:tc>
          <w:p>
            <w:pPr>
              <w:pStyle w:val="TableText"/>
              <w:jc w:val="left"/>
            </w:pPr>
            <w:r>
              <w:t>Apr-Jun 2021</w:t>
            </w:r>
          </w:p>
        </w:tc>
        <w:tc>
          <w:p>
            <w:pPr>
              <w:pStyle w:val="TableText"/>
              <w:jc w:val="right"/>
            </w:pPr>
            <w:r>
              <w:t>15,206</w:t>
            </w:r>
          </w:p>
        </w:tc>
      </w:tr>
      <w:tr>
        <w:tc>
          <w:p>
            <w:pPr>
              <w:pStyle w:val="TableText"/>
              <w:jc w:val="left"/>
            </w:pPr>
            <w:r>
              <w:t>Jul-Sep 2021</w:t>
            </w:r>
          </w:p>
        </w:tc>
        <w:tc>
          <w:p>
            <w:pPr>
              <w:pStyle w:val="TableText"/>
              <w:jc w:val="right"/>
            </w:pPr>
            <w:r>
              <w:t>15,103</w:t>
            </w:r>
          </w:p>
        </w:tc>
      </w:tr>
      <w:tr>
        <w:tc>
          <w:p>
            <w:pPr>
              <w:pStyle w:val="TableText"/>
              <w:jc w:val="left"/>
            </w:pPr>
            <w:r>
              <w:t>Oct-Dec 2021</w:t>
            </w:r>
          </w:p>
        </w:tc>
        <w:tc>
          <w:p>
            <w:pPr>
              <w:pStyle w:val="TableText"/>
              <w:jc w:val="right"/>
            </w:pPr>
            <w:r>
              <w:t>15,000</w:t>
            </w:r>
          </w:p>
        </w:tc>
      </w:tr>
      <w:tr>
        <w:tc>
          <w:p>
            <w:pPr>
              <w:pStyle w:val="TableText"/>
              <w:jc w:val="left"/>
            </w:pPr>
            <w:r>
              <w:t>Jan-Mar 2022</w:t>
            </w:r>
          </w:p>
        </w:tc>
        <w:tc>
          <w:p>
            <w:pPr>
              <w:pStyle w:val="TableText"/>
              <w:jc w:val="right"/>
            </w:pPr>
            <w:r>
              <w:t>15,354</w:t>
            </w:r>
          </w:p>
        </w:tc>
      </w:tr>
      <w:tr>
        <w:tc>
          <w:p>
            <w:pPr>
              <w:pStyle w:val="TableText"/>
              <w:jc w:val="left"/>
            </w:pPr>
            <w:r>
              <w:t>Apr-Jun 2022</w:t>
            </w:r>
          </w:p>
        </w:tc>
        <w:tc>
          <w:p>
            <w:pPr>
              <w:pStyle w:val="TableText"/>
              <w:jc w:val="right"/>
            </w:pPr>
            <w:r>
              <w:t>15,944</w:t>
            </w:r>
          </w:p>
        </w:tc>
      </w:tr>
      <w:tr>
        <w:tc>
          <w:p>
            <w:pPr>
              <w:pStyle w:val="TableText"/>
              <w:jc w:val="left"/>
            </w:pPr>
            <w:r>
              <w:t>Jul-Sep 2022</w:t>
            </w:r>
          </w:p>
        </w:tc>
        <w:tc>
          <w:p>
            <w:pPr>
              <w:pStyle w:val="TableText"/>
              <w:jc w:val="right"/>
            </w:pPr>
            <w:r>
              <w:t>15,817</w:t>
            </w:r>
          </w:p>
        </w:tc>
      </w:tr>
      <w:tr>
        <w:tc>
          <w:p>
            <w:pPr>
              <w:pStyle w:val="TableText"/>
              <w:jc w:val="left"/>
            </w:pPr>
            <w:r>
              <w:t>Oct-Dec 2022</w:t>
            </w:r>
          </w:p>
        </w:tc>
        <w:tc>
          <w:p>
            <w:pPr>
              <w:pStyle w:val="TableText"/>
              <w:jc w:val="right"/>
            </w:pPr>
            <w:r>
              <w:t>16,422</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45">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population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Total number of prisoners at a specific point in time each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The prison population at 31 Mar 2023 was 84,372.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6"/>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30-Jun-2015</w:t>
            </w:r>
          </w:p>
        </w:tc>
        <w:tc>
          <w:p>
            <w:pPr>
              <w:pStyle w:val="TableText"/>
              <w:jc w:val="right"/>
            </w:pPr>
            <w:r>
              <w:t>86,193</w:t>
            </w:r>
          </w:p>
        </w:tc>
      </w:tr>
      <w:tr>
        <w:tc>
          <w:p>
            <w:pPr>
              <w:pStyle w:val="TableText"/>
              <w:jc w:val="left"/>
            </w:pPr>
            <w:r>
              <w:t>30-Jun-2016</w:t>
            </w:r>
          </w:p>
        </w:tc>
        <w:tc>
          <w:p>
            <w:pPr>
              <w:pStyle w:val="TableText"/>
              <w:jc w:val="right"/>
            </w:pPr>
            <w:r>
              <w:t>85,134</w:t>
            </w:r>
          </w:p>
        </w:tc>
      </w:tr>
      <w:tr>
        <w:tc>
          <w:p>
            <w:pPr>
              <w:pStyle w:val="TableText"/>
              <w:jc w:val="left"/>
            </w:pPr>
            <w:r>
              <w:t>30-Jun-2017</w:t>
            </w:r>
          </w:p>
        </w:tc>
        <w:tc>
          <w:p>
            <w:pPr>
              <w:pStyle w:val="TableText"/>
              <w:jc w:val="right"/>
            </w:pPr>
            <w:r>
              <w:t>85,863</w:t>
            </w:r>
          </w:p>
        </w:tc>
      </w:tr>
      <w:tr>
        <w:tc>
          <w:p>
            <w:pPr>
              <w:pStyle w:val="TableText"/>
              <w:jc w:val="left"/>
            </w:pPr>
            <w:r>
              <w:t>30-Jun-2018</w:t>
            </w:r>
          </w:p>
        </w:tc>
        <w:tc>
          <w:p>
            <w:pPr>
              <w:pStyle w:val="TableText"/>
              <w:jc w:val="right"/>
            </w:pPr>
            <w:r>
              <w:t>82,773</w:t>
            </w:r>
          </w:p>
        </w:tc>
      </w:tr>
      <w:tr>
        <w:tc>
          <w:p>
            <w:pPr>
              <w:pStyle w:val="TableText"/>
              <w:jc w:val="left"/>
            </w:pPr>
            <w:r>
              <w:t>30-Jun-2019</w:t>
            </w:r>
          </w:p>
        </w:tc>
        <w:tc>
          <w:p>
            <w:pPr>
              <w:pStyle w:val="TableText"/>
              <w:jc w:val="right"/>
            </w:pPr>
            <w:r>
              <w:t>82,710</w:t>
            </w:r>
          </w:p>
        </w:tc>
      </w:tr>
      <w:tr>
        <w:tc>
          <w:p>
            <w:pPr>
              <w:pStyle w:val="TableText"/>
              <w:jc w:val="left"/>
            </w:pPr>
            <w:r>
              <w:t>30-Jun-2020</w:t>
            </w:r>
          </w:p>
        </w:tc>
        <w:tc>
          <w:p>
            <w:pPr>
              <w:pStyle w:val="TableText"/>
              <w:jc w:val="right"/>
            </w:pPr>
            <w:r>
              <w:t>79,514</w:t>
            </w:r>
          </w:p>
        </w:tc>
      </w:tr>
      <w:tr>
        <w:tc>
          <w:p>
            <w:pPr>
              <w:pStyle w:val="TableText"/>
              <w:jc w:val="left"/>
            </w:pPr>
            <w:r>
              <w:t>30-Jun-2021</w:t>
            </w:r>
          </w:p>
        </w:tc>
        <w:tc>
          <w:p>
            <w:pPr>
              <w:pStyle w:val="TableText"/>
              <w:jc w:val="right"/>
            </w:pPr>
            <w:r>
              <w:t>78,324</w:t>
            </w:r>
          </w:p>
        </w:tc>
      </w:tr>
      <w:tr>
        <w:tc>
          <w:p>
            <w:pPr>
              <w:pStyle w:val="TableText"/>
              <w:jc w:val="left"/>
            </w:pPr>
            <w:r>
              <w:t>30-Jun-2022</w:t>
            </w:r>
          </w:p>
        </w:tc>
        <w:tc>
          <w:p>
            <w:pPr>
              <w:pStyle w:val="TableText"/>
              <w:jc w:val="right"/>
            </w:pPr>
            <w:r>
              <w:t>80,659</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22">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population by sex: 31 Mar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7"/>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Male</w:t>
            </w:r>
          </w:p>
        </w:tc>
        <w:tc>
          <w:p>
            <w:pPr>
              <w:pStyle w:val="TableText"/>
              <w:jc w:val="right"/>
            </w:pPr>
            <w:r>
              <w:t>81,057 prisoners</w:t>
            </w:r>
          </w:p>
        </w:tc>
      </w:tr>
      <w:tr>
        <w:tc>
          <w:p>
            <w:pPr>
              <w:pStyle w:val="TableText"/>
              <w:jc w:val="left"/>
            </w:pPr>
            <w:r>
              <w:t>Female</w:t>
            </w:r>
          </w:p>
        </w:tc>
        <w:tc>
          <w:p>
            <w:pPr>
              <w:pStyle w:val="TableText"/>
              <w:jc w:val="right"/>
            </w:pPr>
            <w:r>
              <w:t>3,315 prisoners</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population by age: 31 Mar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9"/>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15-17</w:t>
            </w:r>
          </w:p>
        </w:tc>
        <w:tc>
          <w:p>
            <w:pPr>
              <w:pStyle w:val="TableText"/>
              <w:jc w:val="right"/>
            </w:pPr>
            <w:r>
              <w:t>335 prisoners</w:t>
            </w:r>
          </w:p>
        </w:tc>
      </w:tr>
      <w:tr>
        <w:tc>
          <w:p>
            <w:pPr>
              <w:pStyle w:val="TableText"/>
              <w:jc w:val="left"/>
            </w:pPr>
            <w:r>
              <w:t>18-20</w:t>
            </w:r>
          </w:p>
        </w:tc>
        <w:tc>
          <w:p>
            <w:pPr>
              <w:pStyle w:val="TableText"/>
              <w:jc w:val="right"/>
            </w:pPr>
            <w:r>
              <w:t>3,229 prisoners</w:t>
            </w:r>
          </w:p>
        </w:tc>
      </w:tr>
      <w:tr>
        <w:tc>
          <w:p>
            <w:pPr>
              <w:pStyle w:val="TableText"/>
              <w:jc w:val="left"/>
            </w:pPr>
            <w:r>
              <w:t>21-24</w:t>
            </w:r>
          </w:p>
        </w:tc>
        <w:tc>
          <w:p>
            <w:pPr>
              <w:pStyle w:val="TableText"/>
              <w:jc w:val="right"/>
            </w:pPr>
            <w:r>
              <w:t>8,235 prisoners</w:t>
            </w:r>
          </w:p>
        </w:tc>
      </w:tr>
      <w:tr>
        <w:tc>
          <w:p>
            <w:pPr>
              <w:pStyle w:val="TableText"/>
              <w:jc w:val="left"/>
            </w:pPr>
            <w:r>
              <w:t>25-29</w:t>
            </w:r>
          </w:p>
        </w:tc>
        <w:tc>
          <w:p>
            <w:pPr>
              <w:pStyle w:val="TableText"/>
              <w:jc w:val="right"/>
            </w:pPr>
            <w:r>
              <w:t>13,387 prisoners</w:t>
            </w:r>
          </w:p>
        </w:tc>
      </w:tr>
      <w:tr>
        <w:tc>
          <w:p>
            <w:pPr>
              <w:pStyle w:val="TableText"/>
              <w:jc w:val="left"/>
            </w:pPr>
            <w:r>
              <w:t>30-39</w:t>
            </w:r>
          </w:p>
        </w:tc>
        <w:tc>
          <w:p>
            <w:pPr>
              <w:pStyle w:val="TableText"/>
              <w:jc w:val="right"/>
            </w:pPr>
            <w:r>
              <w:t>27,830 prisoners</w:t>
            </w:r>
          </w:p>
        </w:tc>
      </w:tr>
      <w:tr>
        <w:tc>
          <w:p>
            <w:pPr>
              <w:pStyle w:val="TableText"/>
              <w:jc w:val="left"/>
            </w:pPr>
            <w:r>
              <w:t>40-49</w:t>
            </w:r>
          </w:p>
        </w:tc>
        <w:tc>
          <w:p>
            <w:pPr>
              <w:pStyle w:val="TableText"/>
              <w:jc w:val="right"/>
            </w:pPr>
            <w:r>
              <w:t>16,778 prisoners</w:t>
            </w:r>
          </w:p>
        </w:tc>
      </w:tr>
      <w:tr>
        <w:tc>
          <w:p>
            <w:pPr>
              <w:pStyle w:val="TableText"/>
              <w:jc w:val="left"/>
            </w:pPr>
            <w:r>
              <w:t>50-59</w:t>
            </w:r>
          </w:p>
        </w:tc>
        <w:tc>
          <w:p>
            <w:pPr>
              <w:pStyle w:val="TableText"/>
              <w:jc w:val="right"/>
            </w:pPr>
            <w:r>
              <w:t>8,878 prisoners</w:t>
            </w:r>
          </w:p>
        </w:tc>
      </w:tr>
      <w:tr>
        <w:tc>
          <w:p>
            <w:pPr>
              <w:pStyle w:val="TableText"/>
              <w:jc w:val="left"/>
            </w:pPr>
            <w:r>
              <w:t>60-69</w:t>
            </w:r>
          </w:p>
        </w:tc>
        <w:tc>
          <w:p>
            <w:pPr>
              <w:pStyle w:val="TableText"/>
              <w:jc w:val="right"/>
            </w:pPr>
            <w:r>
              <w:t>3,824 prisoners</w:t>
            </w:r>
          </w:p>
        </w:tc>
      </w:tr>
      <w:tr>
        <w:tc>
          <w:p>
            <w:pPr>
              <w:pStyle w:val="TableText"/>
              <w:jc w:val="left"/>
            </w:pPr>
            <w:r>
              <w:t>70 and over</w:t>
            </w:r>
          </w:p>
        </w:tc>
        <w:tc>
          <w:p>
            <w:pPr>
              <w:pStyle w:val="TableText"/>
              <w:jc w:val="right"/>
            </w:pPr>
            <w:r>
              <w:t>1,876 prisoners</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population by offence: 31 Mar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Prison population under an immediate custodial sentence by offence group. Excludes remand and non-criminal prisoners.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51"/>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Violence against the person</w:t>
            </w:r>
          </w:p>
        </w:tc>
        <w:tc>
          <w:p>
            <w:pPr>
              <w:pStyle w:val="TableText"/>
              <w:jc w:val="right"/>
            </w:pPr>
            <w:r>
              <w:t>21,582</w:t>
            </w:r>
          </w:p>
        </w:tc>
      </w:tr>
      <w:tr>
        <w:tc>
          <w:p>
            <w:pPr>
              <w:pStyle w:val="TableText"/>
              <w:jc w:val="left"/>
            </w:pPr>
            <w:r>
              <w:t>Sexual offences</w:t>
            </w:r>
          </w:p>
        </w:tc>
        <w:tc>
          <w:p>
            <w:pPr>
              <w:pStyle w:val="TableText"/>
              <w:jc w:val="right"/>
            </w:pPr>
            <w:r>
              <w:t>13,493</w:t>
            </w:r>
          </w:p>
        </w:tc>
      </w:tr>
      <w:tr>
        <w:tc>
          <w:p>
            <w:pPr>
              <w:pStyle w:val="TableText"/>
              <w:jc w:val="left"/>
            </w:pPr>
            <w:r>
              <w:t>Robbery</w:t>
            </w:r>
          </w:p>
        </w:tc>
        <w:tc>
          <w:p>
            <w:pPr>
              <w:pStyle w:val="TableText"/>
              <w:jc w:val="right"/>
            </w:pPr>
            <w:r>
              <w:t>6,048</w:t>
            </w:r>
          </w:p>
        </w:tc>
      </w:tr>
      <w:tr>
        <w:tc>
          <w:p>
            <w:pPr>
              <w:pStyle w:val="TableText"/>
              <w:jc w:val="left"/>
            </w:pPr>
            <w:r>
              <w:t>Theft Offences</w:t>
            </w:r>
          </w:p>
        </w:tc>
        <w:tc>
          <w:p>
            <w:pPr>
              <w:pStyle w:val="TableText"/>
              <w:jc w:val="right"/>
            </w:pPr>
            <w:r>
              <w:t>6,620</w:t>
            </w:r>
          </w:p>
        </w:tc>
      </w:tr>
      <w:tr>
        <w:tc>
          <w:p>
            <w:pPr>
              <w:pStyle w:val="TableText"/>
              <w:jc w:val="left"/>
            </w:pPr>
            <w:r>
              <w:t>Criminal damage and arson</w:t>
            </w:r>
          </w:p>
        </w:tc>
        <w:tc>
          <w:p>
            <w:pPr>
              <w:pStyle w:val="TableText"/>
              <w:jc w:val="right"/>
            </w:pPr>
            <w:r>
              <w:t>1,075</w:t>
            </w:r>
          </w:p>
        </w:tc>
      </w:tr>
      <w:tr>
        <w:tc>
          <w:p>
            <w:pPr>
              <w:pStyle w:val="TableText"/>
              <w:jc w:val="left"/>
            </w:pPr>
            <w:r>
              <w:t>Drug offences</w:t>
            </w:r>
          </w:p>
        </w:tc>
        <w:tc>
          <w:p>
            <w:pPr>
              <w:pStyle w:val="TableText"/>
              <w:jc w:val="right"/>
            </w:pPr>
            <w:r>
              <w:t>11,512</w:t>
            </w:r>
          </w:p>
        </w:tc>
      </w:tr>
      <w:tr>
        <w:tc>
          <w:p>
            <w:pPr>
              <w:pStyle w:val="TableText"/>
              <w:jc w:val="left"/>
            </w:pPr>
            <w:r>
              <w:t>Possession of weapons</w:t>
            </w:r>
          </w:p>
        </w:tc>
        <w:tc>
          <w:p>
            <w:pPr>
              <w:pStyle w:val="TableText"/>
              <w:jc w:val="right"/>
            </w:pPr>
            <w:r>
              <w:t>2,506</w:t>
            </w:r>
          </w:p>
        </w:tc>
      </w:tr>
      <w:tr>
        <w:tc>
          <w:p>
            <w:pPr>
              <w:pStyle w:val="TableText"/>
              <w:jc w:val="left"/>
            </w:pPr>
            <w:r>
              <w:t>Public order offences</w:t>
            </w:r>
          </w:p>
        </w:tc>
        <w:tc>
          <w:p>
            <w:pPr>
              <w:pStyle w:val="TableText"/>
              <w:jc w:val="right"/>
            </w:pPr>
            <w:r>
              <w:t>1,450</w:t>
            </w:r>
          </w:p>
        </w:tc>
      </w:tr>
      <w:tr>
        <w:tc>
          <w:p>
            <w:pPr>
              <w:pStyle w:val="TableText"/>
              <w:jc w:val="left"/>
            </w:pPr>
            <w:r>
              <w:t>Miscellaneous crimes against society</w:t>
            </w:r>
          </w:p>
        </w:tc>
        <w:tc>
          <w:p>
            <w:pPr>
              <w:pStyle w:val="TableText"/>
              <w:jc w:val="right"/>
            </w:pPr>
            <w:r>
              <w:t>2,396</w:t>
            </w:r>
          </w:p>
        </w:tc>
      </w:tr>
      <w:tr>
        <w:tc>
          <w:p>
            <w:pPr>
              <w:pStyle w:val="TableText"/>
              <w:jc w:val="left"/>
            </w:pPr>
            <w:r>
              <w:t>Fraud Offences</w:t>
            </w:r>
          </w:p>
        </w:tc>
        <w:tc>
          <w:p>
            <w:pPr>
              <w:pStyle w:val="TableText"/>
              <w:jc w:val="right"/>
            </w:pPr>
            <w:r>
              <w:t>605</w:t>
            </w:r>
          </w:p>
        </w:tc>
      </w:tr>
      <w:tr>
        <w:tc>
          <w:p>
            <w:pPr>
              <w:pStyle w:val="TableText"/>
              <w:jc w:val="left"/>
            </w:pPr>
            <w:r>
              <w:t>Summary Non-Motoring</w:t>
            </w:r>
          </w:p>
        </w:tc>
        <w:tc>
          <w:p>
            <w:pPr>
              <w:pStyle w:val="TableText"/>
              <w:jc w:val="right"/>
            </w:pPr>
            <w:r>
              <w:t>1,285</w:t>
            </w:r>
          </w:p>
        </w:tc>
      </w:tr>
      <w:tr>
        <w:tc>
          <w:p>
            <w:pPr>
              <w:pStyle w:val="TableText"/>
              <w:jc w:val="left"/>
            </w:pPr>
            <w:r>
              <w:t>Summary motoring</w:t>
            </w:r>
          </w:p>
        </w:tc>
        <w:tc>
          <w:p>
            <w:pPr>
              <w:pStyle w:val="TableText"/>
              <w:jc w:val="right"/>
            </w:pPr>
            <w:r>
              <w:t>283</w:t>
            </w:r>
          </w:p>
        </w:tc>
      </w:tr>
      <w:tr>
        <w:tc>
          <w:p>
            <w:pPr>
              <w:pStyle w:val="TableText"/>
              <w:jc w:val="left"/>
            </w:pPr>
            <w:r>
              <w:t>Offence not recorded</w:t>
            </w:r>
          </w:p>
        </w:tc>
        <w:tc>
          <w:p>
            <w:pPr>
              <w:pStyle w:val="TableText"/>
              <w:jc w:val="right"/>
            </w:pPr>
            <w:r>
              <w:t>240</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releases (quarterly)</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 release is defined as a release from prison where the prisoner has finished serving the custodial term of their sentence(s) and excludes: civil non-criminal prisoners; persons committed to custody for non-payment of a fine; releases to hospital; deported prisoners from HMPPS operated Immigration Removal Centres (IRCs); and releases following recall after release on licence, except occasions: where the offender has committed a new offence and is committed to custody for a new sentence and the subsequent release date falls after the sentence expiry date of the original sentence; or where upon release the offender is subject to the licence condition of the new custodial sentence.</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Oct-Dec 2022 is 11,467, down 78 from Jul-Sep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53"/>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Jan-Mar 2021</w:t>
            </w:r>
          </w:p>
        </w:tc>
        <w:tc>
          <w:p>
            <w:pPr>
              <w:pStyle w:val="TableText"/>
              <w:jc w:val="right"/>
            </w:pPr>
            <w:r>
              <w:t>11,419</w:t>
            </w:r>
          </w:p>
        </w:tc>
      </w:tr>
      <w:tr>
        <w:tc>
          <w:p>
            <w:pPr>
              <w:pStyle w:val="TableText"/>
              <w:jc w:val="left"/>
            </w:pPr>
            <w:r>
              <w:t>Apr-Jun 2021</w:t>
            </w:r>
          </w:p>
        </w:tc>
        <w:tc>
          <w:p>
            <w:pPr>
              <w:pStyle w:val="TableText"/>
              <w:jc w:val="right"/>
            </w:pPr>
            <w:r>
              <w:t>11,623</w:t>
            </w:r>
          </w:p>
        </w:tc>
      </w:tr>
      <w:tr>
        <w:tc>
          <w:p>
            <w:pPr>
              <w:pStyle w:val="TableText"/>
              <w:jc w:val="left"/>
            </w:pPr>
            <w:r>
              <w:t>Jul-Sep 2021</w:t>
            </w:r>
          </w:p>
        </w:tc>
        <w:tc>
          <w:p>
            <w:pPr>
              <w:pStyle w:val="TableText"/>
              <w:jc w:val="right"/>
            </w:pPr>
            <w:r>
              <w:t>11,750</w:t>
            </w:r>
          </w:p>
        </w:tc>
      </w:tr>
      <w:tr>
        <w:tc>
          <w:p>
            <w:pPr>
              <w:pStyle w:val="TableText"/>
              <w:jc w:val="left"/>
            </w:pPr>
            <w:r>
              <w:t>Oct - Dec 2021</w:t>
            </w:r>
          </w:p>
        </w:tc>
        <w:tc>
          <w:p>
            <w:pPr>
              <w:pStyle w:val="TableText"/>
              <w:jc w:val="right"/>
            </w:pPr>
            <w:r>
              <w:t>12,112</w:t>
            </w:r>
          </w:p>
        </w:tc>
      </w:tr>
      <w:tr>
        <w:tc>
          <w:p>
            <w:pPr>
              <w:pStyle w:val="TableText"/>
              <w:jc w:val="left"/>
            </w:pPr>
            <w:r>
              <w:t>Jan - Mar 2022</w:t>
            </w:r>
          </w:p>
        </w:tc>
        <w:tc>
          <w:p>
            <w:pPr>
              <w:pStyle w:val="TableText"/>
              <w:jc w:val="right"/>
            </w:pPr>
            <w:r>
              <w:t>11,198</w:t>
            </w:r>
          </w:p>
        </w:tc>
      </w:tr>
      <w:tr>
        <w:tc>
          <w:p>
            <w:pPr>
              <w:pStyle w:val="TableText"/>
              <w:jc w:val="left"/>
            </w:pPr>
            <w:r>
              <w:t>Apr - Jun 2022</w:t>
            </w:r>
          </w:p>
        </w:tc>
        <w:tc>
          <w:p>
            <w:pPr>
              <w:pStyle w:val="TableText"/>
              <w:jc w:val="right"/>
            </w:pPr>
            <w:r>
              <w:t>11,359</w:t>
            </w:r>
          </w:p>
        </w:tc>
      </w:tr>
      <w:tr>
        <w:tc>
          <w:p>
            <w:pPr>
              <w:pStyle w:val="TableText"/>
              <w:jc w:val="left"/>
            </w:pPr>
            <w:r>
              <w:t>Jul - Sep 2022</w:t>
            </w:r>
          </w:p>
        </w:tc>
        <w:tc>
          <w:p>
            <w:pPr>
              <w:pStyle w:val="TableText"/>
              <w:jc w:val="right"/>
            </w:pPr>
            <w:r>
              <w:t>11,545</w:t>
            </w:r>
          </w:p>
        </w:tc>
      </w:tr>
      <w:tr>
        <w:tc>
          <w:p>
            <w:pPr>
              <w:pStyle w:val="TableText"/>
              <w:jc w:val="left"/>
            </w:pPr>
            <w:r>
              <w:t>Oct - Dec 2022</w:t>
            </w:r>
          </w:p>
        </w:tc>
        <w:tc>
          <w:p>
            <w:pPr>
              <w:pStyle w:val="TableText"/>
              <w:jc w:val="right"/>
            </w:pPr>
            <w:r>
              <w:t>11,467</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54">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Individuals released on temporary licence</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Release on Temporary Licence (ROTL) is the mechanism under which offenders may be released into the community, generally towards the end of their sentences, for rehabilitative purposes. It can play an important role in public protection by allowing risk management plans for offenders to be tested in the community under strict conditions before they are released. It also provides a valuable means of helping offenders prepare for their resettlement in the community by, for example, finding work or rebuilding links with their families, which helps to reduce reoffending.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Oct-Dec 2022 is 4,255, down 2 from Jul-Sep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55"/>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Jan-Mar 2021</w:t>
            </w:r>
          </w:p>
        </w:tc>
        <w:tc>
          <w:p>
            <w:pPr>
              <w:pStyle w:val="TableText"/>
              <w:jc w:val="right"/>
            </w:pPr>
            <w:r>
              <w:t>1,067</w:t>
            </w:r>
          </w:p>
        </w:tc>
      </w:tr>
      <w:tr>
        <w:tc>
          <w:p>
            <w:pPr>
              <w:pStyle w:val="TableText"/>
              <w:jc w:val="left"/>
            </w:pPr>
            <w:r>
              <w:t>Apr-Jun 2021</w:t>
            </w:r>
          </w:p>
        </w:tc>
        <w:tc>
          <w:p>
            <w:pPr>
              <w:pStyle w:val="TableText"/>
              <w:jc w:val="right"/>
            </w:pPr>
            <w:r>
              <w:t>3,026</w:t>
            </w:r>
          </w:p>
        </w:tc>
      </w:tr>
      <w:tr>
        <w:tc>
          <w:p>
            <w:pPr>
              <w:pStyle w:val="TableText"/>
              <w:jc w:val="left"/>
            </w:pPr>
            <w:r>
              <w:t>Jul-Sep 2021</w:t>
            </w:r>
          </w:p>
        </w:tc>
        <w:tc>
          <w:p>
            <w:pPr>
              <w:pStyle w:val="TableText"/>
              <w:jc w:val="right"/>
            </w:pPr>
            <w:r>
              <w:t>3,712</w:t>
            </w:r>
          </w:p>
        </w:tc>
      </w:tr>
      <w:tr>
        <w:tc>
          <w:p>
            <w:pPr>
              <w:pStyle w:val="TableText"/>
              <w:jc w:val="left"/>
            </w:pPr>
            <w:r>
              <w:t>Oct-Dec 2021</w:t>
            </w:r>
          </w:p>
        </w:tc>
        <w:tc>
          <w:p>
            <w:pPr>
              <w:pStyle w:val="TableText"/>
              <w:jc w:val="right"/>
            </w:pPr>
            <w:r>
              <w:t>4,082</w:t>
            </w:r>
          </w:p>
        </w:tc>
      </w:tr>
      <w:tr>
        <w:tc>
          <w:p>
            <w:pPr>
              <w:pStyle w:val="TableText"/>
              <w:jc w:val="left"/>
            </w:pPr>
            <w:r>
              <w:t>Jan-Mar 2022</w:t>
            </w:r>
          </w:p>
        </w:tc>
        <w:tc>
          <w:p>
            <w:pPr>
              <w:pStyle w:val="TableText"/>
              <w:jc w:val="right"/>
            </w:pPr>
            <w:r>
              <w:t>3,984</w:t>
            </w:r>
          </w:p>
        </w:tc>
      </w:tr>
      <w:tr>
        <w:tc>
          <w:p>
            <w:pPr>
              <w:pStyle w:val="TableText"/>
              <w:jc w:val="left"/>
            </w:pPr>
            <w:r>
              <w:t>Apr-Jun 2022</w:t>
            </w:r>
          </w:p>
        </w:tc>
        <w:tc>
          <w:p>
            <w:pPr>
              <w:pStyle w:val="TableText"/>
              <w:jc w:val="right"/>
            </w:pPr>
            <w:r>
              <w:t>4,127</w:t>
            </w:r>
          </w:p>
        </w:tc>
      </w:tr>
      <w:tr>
        <w:tc>
          <w:p>
            <w:pPr>
              <w:pStyle w:val="TableText"/>
              <w:jc w:val="left"/>
            </w:pPr>
            <w:r>
              <w:t>Jul-Sep 2022</w:t>
            </w:r>
          </w:p>
        </w:tc>
        <w:tc>
          <w:p>
            <w:pPr>
              <w:pStyle w:val="TableText"/>
              <w:jc w:val="right"/>
            </w:pPr>
            <w:r>
              <w:t>4,257</w:t>
            </w:r>
          </w:p>
        </w:tc>
      </w:tr>
      <w:tr>
        <w:tc>
          <w:p>
            <w:pPr>
              <w:pStyle w:val="TableText"/>
              <w:jc w:val="left"/>
            </w:pPr>
            <w:r>
              <w:t>Oct-Dec 2022</w:t>
            </w:r>
          </w:p>
        </w:tc>
        <w:tc>
          <w:p>
            <w:pPr>
              <w:pStyle w:val="TableText"/>
              <w:jc w:val="right"/>
            </w:pPr>
            <w:r>
              <w:t>4,255</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56">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type - male / female: August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Prisons count by male, female and children (under 18 years old) establishments.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57"/>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Male</w:t>
            </w:r>
          </w:p>
        </w:tc>
        <w:tc>
          <w:p>
            <w:pPr>
              <w:pStyle w:val="TableText"/>
              <w:jc w:val="right"/>
            </w:pPr>
            <w:r>
              <w:t>106 prisons</w:t>
            </w:r>
          </w:p>
        </w:tc>
      </w:tr>
      <w:tr>
        <w:tc>
          <w:p>
            <w:pPr>
              <w:pStyle w:val="TableText"/>
              <w:jc w:val="left"/>
            </w:pPr>
            <w:r>
              <w:t>Female</w:t>
            </w:r>
          </w:p>
        </w:tc>
        <w:tc>
          <w:p>
            <w:pPr>
              <w:pStyle w:val="TableText"/>
              <w:jc w:val="right"/>
            </w:pPr>
            <w:r>
              <w:t>12 prisons</w:t>
            </w:r>
          </w:p>
        </w:tc>
      </w:tr>
      <w:tr>
        <w:tc>
          <w:p>
            <w:pPr>
              <w:pStyle w:val="TableText"/>
              <w:jc w:val="left"/>
            </w:pPr>
            <w:r>
              <w:t>Under 18</w:t>
            </w:r>
          </w:p>
        </w:tc>
        <w:tc>
          <w:p>
            <w:pPr>
              <w:pStyle w:val="TableText"/>
              <w:jc w:val="right"/>
            </w:pPr>
            <w:r>
              <w:t>4 prisons</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31 August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58">
        <w:r>
          <w:rPr>
            <w:rFonts w:ascii="Arial" w:hAnsi="Arial" w:eastAsia="Arial" w:cs="Arial"/>
            <w:i w:val="false"/>
            <w:b w:val="false"/>
            <w:u w:val="none"/>
            <w:sz w:val="18"/>
            <w:szCs w:val="18"/>
            <w:color w:val="000000"/>
          </w:rPr>
          <w:t xml:space="preserve">Prisons and their resettlement providers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type - public / private: August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Prisons count by ownership.</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60"/>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Public sector</w:t>
            </w:r>
          </w:p>
        </w:tc>
        <w:tc>
          <w:p>
            <w:pPr>
              <w:pStyle w:val="TableText"/>
              <w:jc w:val="right"/>
            </w:pPr>
            <w:r>
              <w:t>107 prisons</w:t>
            </w:r>
          </w:p>
        </w:tc>
      </w:tr>
      <w:tr>
        <w:tc>
          <w:p>
            <w:pPr>
              <w:pStyle w:val="TableText"/>
              <w:jc w:val="left"/>
            </w:pPr>
            <w:r>
              <w:t>Private sector (contracted)</w:t>
            </w:r>
          </w:p>
        </w:tc>
        <w:tc>
          <w:p>
            <w:pPr>
              <w:pStyle w:val="TableText"/>
              <w:jc w:val="right"/>
            </w:pPr>
            <w:r>
              <w:t>15 prisons</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31 August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58">
        <w:r>
          <w:rPr>
            <w:rFonts w:ascii="Arial" w:hAnsi="Arial" w:eastAsia="Arial" w:cs="Arial"/>
            <w:i w:val="false"/>
            <w:b w:val="false"/>
            <w:u w:val="none"/>
            <w:sz w:val="18"/>
            <w:szCs w:val="18"/>
            <w:color w:val="000000"/>
          </w:rPr>
          <w:t xml:space="preserve">Prisons and their resettlement providers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operational capacity</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operational capacity of a prison is the total number of prisoners that an establishment can hold taking into account control, security and the proper operation of the planned regime. This measure reports the useable operational capacity of the estate, which is the sum of all establishments' operational capacity less an operating margin. Figures are taken on the last working Friday of June each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At 30 Sep 2022 the useable operational capacity of the estate was 83,723.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4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62"/>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Jun 2015</w:t>
            </w:r>
          </w:p>
        </w:tc>
        <w:tc>
          <w:p>
            <w:pPr>
              <w:pStyle w:val="TableText"/>
              <w:jc w:val="right"/>
            </w:pPr>
            <w:r>
              <w:t>87,968</w:t>
            </w:r>
          </w:p>
        </w:tc>
      </w:tr>
      <w:tr>
        <w:tc>
          <w:p>
            <w:pPr>
              <w:pStyle w:val="TableText"/>
              <w:jc w:val="left"/>
            </w:pPr>
            <w:r>
              <w:t>Jun 2016</w:t>
            </w:r>
          </w:p>
        </w:tc>
        <w:tc>
          <w:p>
            <w:pPr>
              <w:pStyle w:val="TableText"/>
              <w:jc w:val="right"/>
            </w:pPr>
            <w:r>
              <w:t>87,170</w:t>
            </w:r>
          </w:p>
        </w:tc>
      </w:tr>
      <w:tr>
        <w:tc>
          <w:p>
            <w:pPr>
              <w:pStyle w:val="TableText"/>
              <w:jc w:val="left"/>
            </w:pPr>
            <w:r>
              <w:t>Jun 2017</w:t>
            </w:r>
          </w:p>
        </w:tc>
        <w:tc>
          <w:p>
            <w:pPr>
              <w:pStyle w:val="TableText"/>
              <w:jc w:val="right"/>
            </w:pPr>
            <w:r>
              <w:t>86,849</w:t>
            </w:r>
          </w:p>
        </w:tc>
      </w:tr>
      <w:tr>
        <w:tc>
          <w:p>
            <w:pPr>
              <w:pStyle w:val="TableText"/>
              <w:jc w:val="left"/>
            </w:pPr>
            <w:r>
              <w:t>Jun 2018</w:t>
            </w:r>
          </w:p>
        </w:tc>
        <w:tc>
          <w:p>
            <w:pPr>
              <w:pStyle w:val="TableText"/>
              <w:jc w:val="right"/>
            </w:pPr>
            <w:r>
              <w:t>86,491</w:t>
            </w:r>
          </w:p>
        </w:tc>
      </w:tr>
      <w:tr>
        <w:tc>
          <w:p>
            <w:pPr>
              <w:pStyle w:val="TableText"/>
              <w:jc w:val="left"/>
            </w:pPr>
            <w:r>
              <w:t>Jun 2019</w:t>
            </w:r>
          </w:p>
        </w:tc>
        <w:tc>
          <w:p>
            <w:pPr>
              <w:pStyle w:val="TableText"/>
              <w:jc w:val="right"/>
            </w:pPr>
            <w:r>
              <w:t>85,056</w:t>
            </w:r>
          </w:p>
        </w:tc>
      </w:tr>
      <w:tr>
        <w:tc>
          <w:p>
            <w:pPr>
              <w:pStyle w:val="TableText"/>
              <w:jc w:val="left"/>
            </w:pPr>
            <w:r>
              <w:t>Jun 2020</w:t>
            </w:r>
          </w:p>
        </w:tc>
        <w:tc>
          <w:p>
            <w:pPr>
              <w:pStyle w:val="TableText"/>
              <w:jc w:val="right"/>
            </w:pPr>
            <w:r>
              <w:t>81,749</w:t>
            </w:r>
          </w:p>
        </w:tc>
      </w:tr>
      <w:tr>
        <w:tc>
          <w:p>
            <w:pPr>
              <w:pStyle w:val="TableText"/>
              <w:jc w:val="left"/>
            </w:pPr>
            <w:r>
              <w:t>Jun 2021</w:t>
            </w:r>
          </w:p>
        </w:tc>
        <w:tc>
          <w:p>
            <w:pPr>
              <w:pStyle w:val="TableText"/>
              <w:jc w:val="right"/>
            </w:pPr>
            <w:r>
              <w:t>81,154</w:t>
            </w:r>
          </w:p>
        </w:tc>
      </w:tr>
      <w:tr>
        <w:tc>
          <w:p>
            <w:pPr>
              <w:pStyle w:val="TableText"/>
              <w:jc w:val="left"/>
            </w:pPr>
            <w:r>
              <w:t>Jun 2022</w:t>
            </w:r>
          </w:p>
        </w:tc>
        <w:tc>
          <w:p>
            <w:pPr>
              <w:pStyle w:val="TableText"/>
              <w:jc w:val="right"/>
            </w:pPr>
            <w:r>
              <w:t>82,759</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October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3">
        <w:r>
          <w:rPr>
            <w:rFonts w:ascii="Arial" w:hAnsi="Arial" w:eastAsia="Arial" w:cs="Arial"/>
            <w:i w:val="false"/>
            <w:b w:val="false"/>
            <w:u w:val="none"/>
            <w:sz w:val="18"/>
            <w:szCs w:val="18"/>
            <w:color w:val="000000"/>
          </w:rPr>
          <w:t xml:space="preserve">Prison population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64">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staff in post (bands 3-5)</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chart shows Band 3-5 prison officer staff (full time equivalent) at the end of each financial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March 2023 is 22,288, up 287 from March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4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65"/>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March 2016</w:t>
            </w:r>
          </w:p>
        </w:tc>
        <w:tc>
          <w:p>
            <w:pPr>
              <w:pStyle w:val="TableText"/>
              <w:jc w:val="right"/>
            </w:pPr>
            <w:r>
              <w:t>18,327</w:t>
            </w:r>
          </w:p>
        </w:tc>
      </w:tr>
      <w:tr>
        <w:tc>
          <w:p>
            <w:pPr>
              <w:pStyle w:val="TableText"/>
              <w:jc w:val="left"/>
            </w:pPr>
            <w:r>
              <w:t>March 2017</w:t>
            </w:r>
          </w:p>
        </w:tc>
        <w:tc>
          <w:p>
            <w:pPr>
              <w:pStyle w:val="TableText"/>
              <w:jc w:val="right"/>
            </w:pPr>
            <w:r>
              <w:t>18,403</w:t>
            </w:r>
          </w:p>
        </w:tc>
      </w:tr>
      <w:tr>
        <w:tc>
          <w:p>
            <w:pPr>
              <w:pStyle w:val="TableText"/>
              <w:jc w:val="left"/>
            </w:pPr>
            <w:r>
              <w:t>March 2018</w:t>
            </w:r>
          </w:p>
        </w:tc>
        <w:tc>
          <w:p>
            <w:pPr>
              <w:pStyle w:val="TableText"/>
              <w:jc w:val="right"/>
            </w:pPr>
            <w:r>
              <w:t>21,038</w:t>
            </w:r>
          </w:p>
        </w:tc>
      </w:tr>
      <w:tr>
        <w:tc>
          <w:p>
            <w:pPr>
              <w:pStyle w:val="TableText"/>
              <w:jc w:val="left"/>
            </w:pPr>
            <w:r>
              <w:t>March 2019</w:t>
            </w:r>
          </w:p>
        </w:tc>
        <w:tc>
          <w:p>
            <w:pPr>
              <w:pStyle w:val="TableText"/>
              <w:jc w:val="right"/>
            </w:pPr>
            <w:r>
              <w:t>22,630</w:t>
            </w:r>
          </w:p>
        </w:tc>
      </w:tr>
      <w:tr>
        <w:tc>
          <w:p>
            <w:pPr>
              <w:pStyle w:val="TableText"/>
              <w:jc w:val="left"/>
            </w:pPr>
            <w:r>
              <w:t>March 2020</w:t>
            </w:r>
          </w:p>
        </w:tc>
        <w:tc>
          <w:p>
            <w:pPr>
              <w:pStyle w:val="TableText"/>
              <w:jc w:val="right"/>
            </w:pPr>
            <w:r>
              <w:t>21,928</w:t>
            </w:r>
          </w:p>
        </w:tc>
      </w:tr>
      <w:tr>
        <w:tc>
          <w:p>
            <w:pPr>
              <w:pStyle w:val="TableText"/>
              <w:jc w:val="left"/>
            </w:pPr>
            <w:r>
              <w:t>March 2021</w:t>
            </w:r>
          </w:p>
        </w:tc>
        <w:tc>
          <w:p>
            <w:pPr>
              <w:pStyle w:val="TableText"/>
              <w:jc w:val="right"/>
            </w:pPr>
            <w:r>
              <w:t>21,926</w:t>
            </w:r>
          </w:p>
        </w:tc>
      </w:tr>
      <w:tr>
        <w:tc>
          <w:p>
            <w:pPr>
              <w:pStyle w:val="TableText"/>
              <w:jc w:val="left"/>
            </w:pPr>
            <w:r>
              <w:t>March 2022</w:t>
            </w:r>
          </w:p>
        </w:tc>
        <w:tc>
          <w:p>
            <w:pPr>
              <w:pStyle w:val="TableText"/>
              <w:jc w:val="right"/>
            </w:pPr>
            <w:r>
              <w:t>22,001</w:t>
            </w:r>
          </w:p>
        </w:tc>
      </w:tr>
      <w:tr>
        <w:tc>
          <w:p>
            <w:pPr>
              <w:pStyle w:val="TableText"/>
              <w:jc w:val="left"/>
            </w:pPr>
            <w:r>
              <w:t>March 2023</w:t>
            </w:r>
          </w:p>
        </w:tc>
        <w:tc>
          <w:p>
            <w:pPr>
              <w:pStyle w:val="TableText"/>
              <w:jc w:val="right"/>
            </w:pPr>
            <w:r>
              <w:t>22,288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22 May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17 August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6">
        <w:r>
          <w:rPr>
            <w:rFonts w:ascii="Arial" w:hAnsi="Arial" w:eastAsia="Arial" w:cs="Arial"/>
            <w:i w:val="false"/>
            <w:b w:val="false"/>
            <w:u w:val="none"/>
            <w:sz w:val="18"/>
            <w:szCs w:val="18"/>
            <w:color w:val="000000"/>
          </w:rPr>
          <w:t xml:space="preserve">HM Prison and Probation Service workforce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67">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Crowding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Percentage of prisoners held in crowded accommodation.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2021-22 is 20.6 %, up 0.4ppt from 2020-21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4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68"/>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2014 to Mar 2015</w:t>
            </w:r>
          </w:p>
        </w:tc>
        <w:tc>
          <w:p>
            <w:pPr>
              <w:pStyle w:val="TableText"/>
              <w:jc w:val="right"/>
            </w:pPr>
            <w:r>
              <w:t>25.5 %</w:t>
            </w:r>
          </w:p>
        </w:tc>
      </w:tr>
      <w:tr>
        <w:tc>
          <w:p>
            <w:pPr>
              <w:pStyle w:val="TableText"/>
              <w:jc w:val="left"/>
            </w:pPr>
            <w:r>
              <w:t>Apr 2015 to Mar 2016</w:t>
            </w:r>
          </w:p>
        </w:tc>
        <w:tc>
          <w:p>
            <w:pPr>
              <w:pStyle w:val="TableText"/>
              <w:jc w:val="right"/>
            </w:pPr>
            <w:r>
              <w:t>24.5 %</w:t>
            </w:r>
          </w:p>
        </w:tc>
      </w:tr>
      <w:tr>
        <w:tc>
          <w:p>
            <w:pPr>
              <w:pStyle w:val="TableText"/>
              <w:jc w:val="left"/>
            </w:pPr>
            <w:r>
              <w:t>Apr 2016 to Mar 2017</w:t>
            </w:r>
          </w:p>
        </w:tc>
        <w:tc>
          <w:p>
            <w:pPr>
              <w:pStyle w:val="TableText"/>
              <w:jc w:val="right"/>
            </w:pPr>
            <w:r>
              <w:t>24.5 %</w:t>
            </w:r>
          </w:p>
        </w:tc>
      </w:tr>
      <w:tr>
        <w:tc>
          <w:p>
            <w:pPr>
              <w:pStyle w:val="TableText"/>
              <w:jc w:val="left"/>
            </w:pPr>
            <w:r>
              <w:t>Apr 2017 to Mar 2018</w:t>
            </w:r>
          </w:p>
        </w:tc>
        <w:tc>
          <w:p>
            <w:pPr>
              <w:pStyle w:val="TableText"/>
              <w:jc w:val="right"/>
            </w:pPr>
            <w:r>
              <w:t>24.2 %</w:t>
            </w:r>
          </w:p>
        </w:tc>
      </w:tr>
      <w:tr>
        <w:tc>
          <w:p>
            <w:pPr>
              <w:pStyle w:val="TableText"/>
              <w:jc w:val="left"/>
            </w:pPr>
            <w:r>
              <w:t>Apr 2018 to Mar 2019</w:t>
            </w:r>
          </w:p>
        </w:tc>
        <w:tc>
          <w:p>
            <w:pPr>
              <w:pStyle w:val="TableText"/>
              <w:jc w:val="right"/>
            </w:pPr>
            <w:r>
              <w:t>22.5 %</w:t>
            </w:r>
          </w:p>
        </w:tc>
      </w:tr>
      <w:tr>
        <w:tc>
          <w:p>
            <w:pPr>
              <w:pStyle w:val="TableText"/>
              <w:jc w:val="left"/>
            </w:pPr>
            <w:r>
              <w:t>Apr 2019 to Mar 2020</w:t>
            </w:r>
          </w:p>
        </w:tc>
        <w:tc>
          <w:p>
            <w:pPr>
              <w:pStyle w:val="TableText"/>
              <w:jc w:val="right"/>
            </w:pPr>
            <w:r>
              <w:t>22.5 %</w:t>
            </w:r>
          </w:p>
        </w:tc>
      </w:tr>
      <w:tr>
        <w:tc>
          <w:p>
            <w:pPr>
              <w:pStyle w:val="TableText"/>
              <w:jc w:val="left"/>
            </w:pPr>
            <w:r>
              <w:t>Apr 2020 to Mar 2021</w:t>
            </w:r>
          </w:p>
        </w:tc>
        <w:tc>
          <w:p>
            <w:pPr>
              <w:pStyle w:val="TableText"/>
              <w:jc w:val="right"/>
            </w:pPr>
            <w:r>
              <w:t>20.2 %</w:t>
            </w:r>
          </w:p>
        </w:tc>
      </w:tr>
      <w:tr>
        <w:tc>
          <w:p>
            <w:pPr>
              <w:pStyle w:val="TableText"/>
              <w:jc w:val="left"/>
            </w:pPr>
            <w:r>
              <w:t>Apr 2021 to Mar 2022</w:t>
            </w:r>
          </w:p>
        </w:tc>
        <w:tc>
          <w:p>
            <w:pPr>
              <w:pStyle w:val="TableText"/>
              <w:jc w:val="right"/>
            </w:pPr>
            <w:r>
              <w:t>20.6 %</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July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9">
        <w:r>
          <w:rPr>
            <w:rFonts w:ascii="Arial" w:hAnsi="Arial" w:eastAsia="Arial" w:cs="Arial"/>
            <w:i w:val="false"/>
            <w:b w:val="false"/>
            <w:u w:val="none"/>
            <w:sz w:val="18"/>
            <w:szCs w:val="18"/>
            <w:color w:val="000000"/>
          </w:rPr>
          <w:t xml:space="preserve">HM Prison and Probation Service annual digest</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70">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Prisoner on prisoner assaults per 1,000 prisoners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Assaults in prison custody cover a wide range of violent incidents including fights between prisoners. From time to time, events in prison custody and developments within and outside the Ministry of Justice have changed the safety in prisons is viewed and managed. Some have resulted in changes to the way offenders are managed, others have affected the way statistics are collected and reported.</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In the 12 months to Dec 2022 there were 174 prisoner on prisoner assaults per 1,000 prisoners.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5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71"/>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2014 to Mar 2015</w:t>
            </w:r>
          </w:p>
        </w:tc>
        <w:tc>
          <w:p>
            <w:pPr>
              <w:pStyle w:val="TableText"/>
              <w:jc w:val="right"/>
            </w:pPr>
            <w:r>
              <w:t>181</w:t>
            </w:r>
          </w:p>
        </w:tc>
      </w:tr>
      <w:tr>
        <w:tc>
          <w:p>
            <w:pPr>
              <w:pStyle w:val="TableText"/>
              <w:jc w:val="left"/>
            </w:pPr>
            <w:r>
              <w:t>Apr 2015 to Mar 2016</w:t>
            </w:r>
          </w:p>
        </w:tc>
        <w:tc>
          <w:p>
            <w:pPr>
              <w:pStyle w:val="TableText"/>
              <w:jc w:val="right"/>
            </w:pPr>
            <w:r>
              <w:t>224</w:t>
            </w:r>
          </w:p>
        </w:tc>
      </w:tr>
      <w:tr>
        <w:tc>
          <w:p>
            <w:pPr>
              <w:pStyle w:val="TableText"/>
              <w:jc w:val="left"/>
            </w:pPr>
            <w:r>
              <w:t>Apr 2016 to Mar 2017</w:t>
            </w:r>
          </w:p>
        </w:tc>
        <w:tc>
          <w:p>
            <w:pPr>
              <w:pStyle w:val="TableText"/>
              <w:jc w:val="right"/>
            </w:pPr>
            <w:r>
              <w:t>248</w:t>
            </w:r>
          </w:p>
        </w:tc>
      </w:tr>
      <w:tr>
        <w:tc>
          <w:p>
            <w:pPr>
              <w:pStyle w:val="TableText"/>
              <w:jc w:val="left"/>
            </w:pPr>
            <w:r>
              <w:t>Apr 2017 to Mar 2018</w:t>
            </w:r>
          </w:p>
        </w:tc>
        <w:tc>
          <w:p>
            <w:pPr>
              <w:pStyle w:val="TableText"/>
              <w:jc w:val="right"/>
            </w:pPr>
            <w:r>
              <w:t>281</w:t>
            </w:r>
          </w:p>
        </w:tc>
      </w:tr>
      <w:tr>
        <w:tc>
          <w:p>
            <w:pPr>
              <w:pStyle w:val="TableText"/>
              <w:jc w:val="left"/>
            </w:pPr>
            <w:r>
              <w:t>Apr 2018 to Mar 2019</w:t>
            </w:r>
          </w:p>
        </w:tc>
        <w:tc>
          <w:p>
            <w:pPr>
              <w:pStyle w:val="TableText"/>
              <w:jc w:val="right"/>
            </w:pPr>
            <w:r>
              <w:t>261</w:t>
            </w:r>
          </w:p>
        </w:tc>
      </w:tr>
      <w:tr>
        <w:tc>
          <w:p>
            <w:pPr>
              <w:pStyle w:val="TableText"/>
              <w:jc w:val="left"/>
            </w:pPr>
            <w:r>
              <w:t>Apr 2019 to Mar 2020</w:t>
            </w:r>
          </w:p>
        </w:tc>
        <w:tc>
          <w:p>
            <w:pPr>
              <w:pStyle w:val="TableText"/>
              <w:jc w:val="right"/>
            </w:pPr>
            <w:r>
              <w:t>163</w:t>
            </w:r>
          </w:p>
        </w:tc>
      </w:tr>
      <w:tr>
        <w:tc>
          <w:p>
            <w:pPr>
              <w:pStyle w:val="TableText"/>
              <w:jc w:val="left"/>
            </w:pPr>
            <w:r>
              <w:t>Apr 2020 to Mar 2021</w:t>
            </w:r>
          </w:p>
        </w:tc>
        <w:tc>
          <w:p>
            <w:pPr>
              <w:pStyle w:val="TableText"/>
              <w:jc w:val="right"/>
            </w:pPr>
            <w:r>
              <w:t>159</w:t>
            </w:r>
          </w:p>
        </w:tc>
      </w:tr>
      <w:tr>
        <w:tc>
          <w:p>
            <w:pPr>
              <w:pStyle w:val="TableText"/>
              <w:jc w:val="left"/>
            </w:pPr>
            <w:r>
              <w:t>Apr 2021 to Mar 2022</w:t>
            </w:r>
          </w:p>
        </w:tc>
        <w:tc>
          <w:p>
            <w:pPr>
              <w:pStyle w:val="TableText"/>
              <w:jc w:val="right"/>
            </w:pPr>
            <w:r>
              <w:t>174</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72">
        <w:r>
          <w:rPr>
            <w:rFonts w:ascii="Arial" w:hAnsi="Arial" w:eastAsia="Arial" w:cs="Arial"/>
            <w:i w:val="false"/>
            <w:b w:val="false"/>
            <w:u w:val="none"/>
            <w:sz w:val="18"/>
            <w:szCs w:val="18"/>
            <w:color w:val="000000"/>
          </w:rPr>
          <w:t xml:space="preserve">Safety in custody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7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Assaults on staff per 1,000 prisoners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Assaults in prison custody cover a wide range of violent incidents including attacks on staff. From time to time, events in prison custody and developments within and outside Ministry of Justice have changed the way safety in prisons is viewed and managed. Some have resulted in changes to the way offenders are managed, others have affected the way statistics are collected and reported.</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In the 12 months to Dec 2022 there were 90 assaults on staff per 1,000 prisoners.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5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74"/>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2014 to Mar 2015</w:t>
            </w:r>
          </w:p>
        </w:tc>
        <w:tc>
          <w:p>
            <w:pPr>
              <w:pStyle w:val="TableText"/>
              <w:jc w:val="right"/>
            </w:pPr>
            <w:r>
              <w:t>58</w:t>
            </w:r>
          </w:p>
        </w:tc>
      </w:tr>
      <w:tr>
        <w:tc>
          <w:p>
            <w:pPr>
              <w:pStyle w:val="TableText"/>
              <w:jc w:val="left"/>
            </w:pPr>
            <w:r>
              <w:t>Apr 2015 to Mar 2016</w:t>
            </w:r>
          </w:p>
        </w:tc>
        <w:tc>
          <w:p>
            <w:pPr>
              <w:pStyle w:val="TableText"/>
              <w:jc w:val="right"/>
            </w:pPr>
            <w:r>
              <w:t>80</w:t>
            </w:r>
          </w:p>
        </w:tc>
      </w:tr>
      <w:tr>
        <w:tc>
          <w:p>
            <w:pPr>
              <w:pStyle w:val="TableText"/>
              <w:jc w:val="left"/>
            </w:pPr>
            <w:r>
              <w:t>Apr 2016 to Mar 2017</w:t>
            </w:r>
          </w:p>
        </w:tc>
        <w:tc>
          <w:p>
            <w:pPr>
              <w:pStyle w:val="TableText"/>
              <w:jc w:val="right"/>
            </w:pPr>
            <w:r>
              <w:t>98</w:t>
            </w:r>
          </w:p>
        </w:tc>
      </w:tr>
      <w:tr>
        <w:tc>
          <w:p>
            <w:pPr>
              <w:pStyle w:val="TableText"/>
              <w:jc w:val="left"/>
            </w:pPr>
            <w:r>
              <w:t>Apr 2017 to Mar 2018</w:t>
            </w:r>
          </w:p>
        </w:tc>
        <w:tc>
          <w:p>
            <w:pPr>
              <w:pStyle w:val="TableText"/>
              <w:jc w:val="right"/>
            </w:pPr>
            <w:r>
              <w:t>118</w:t>
            </w:r>
          </w:p>
        </w:tc>
      </w:tr>
      <w:tr>
        <w:tc>
          <w:p>
            <w:pPr>
              <w:pStyle w:val="TableText"/>
              <w:jc w:val="left"/>
            </w:pPr>
            <w:r>
              <w:t>Apr 2018 to Mar 2019</w:t>
            </w:r>
          </w:p>
        </w:tc>
        <w:tc>
          <w:p>
            <w:pPr>
              <w:pStyle w:val="TableText"/>
              <w:jc w:val="right"/>
            </w:pPr>
            <w:r>
              <w:t>112</w:t>
            </w:r>
          </w:p>
        </w:tc>
      </w:tr>
      <w:tr>
        <w:tc>
          <w:p>
            <w:pPr>
              <w:pStyle w:val="TableText"/>
              <w:jc w:val="left"/>
            </w:pPr>
            <w:r>
              <w:t>Apr 2019 to Mar 2020</w:t>
            </w:r>
          </w:p>
        </w:tc>
        <w:tc>
          <w:p>
            <w:pPr>
              <w:pStyle w:val="TableText"/>
              <w:jc w:val="right"/>
            </w:pPr>
            <w:r>
              <w:t>94</w:t>
            </w:r>
          </w:p>
        </w:tc>
      </w:tr>
      <w:tr>
        <w:tc>
          <w:p>
            <w:pPr>
              <w:pStyle w:val="TableText"/>
              <w:jc w:val="left"/>
            </w:pPr>
            <w:r>
              <w:t>Apr 2020 to Mar 2021</w:t>
            </w:r>
          </w:p>
        </w:tc>
        <w:tc>
          <w:p>
            <w:pPr>
              <w:pStyle w:val="TableText"/>
              <w:jc w:val="right"/>
            </w:pPr>
            <w:r>
              <w:t>97</w:t>
            </w:r>
          </w:p>
        </w:tc>
      </w:tr>
      <w:tr>
        <w:tc>
          <w:p>
            <w:pPr>
              <w:pStyle w:val="TableText"/>
              <w:jc w:val="left"/>
            </w:pPr>
            <w:r>
              <w:t>Apr 2021 to Mar 2022</w:t>
            </w:r>
          </w:p>
        </w:tc>
        <w:tc>
          <w:p>
            <w:pPr>
              <w:pStyle w:val="TableText"/>
              <w:jc w:val="right"/>
            </w:pPr>
            <w:r>
              <w:t>90</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72">
        <w:r>
          <w:rPr>
            <w:rFonts w:ascii="Arial" w:hAnsi="Arial" w:eastAsia="Arial" w:cs="Arial"/>
            <w:i w:val="false"/>
            <w:b w:val="false"/>
            <w:u w:val="none"/>
            <w:sz w:val="18"/>
            <w:szCs w:val="18"/>
            <w:color w:val="000000"/>
          </w:rPr>
          <w:t xml:space="preserve">Safety in custody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75">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Self-harm incidents per 1,000 prisoners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Self-harm in prison covers a wide range of severity and type of incident, including cutting, overdose or hanging.</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In the 12 months to Dec 2022 there were 687 self-harm incidents per 1,000 prisoners.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5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76"/>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2014 to Mar 2015</w:t>
            </w:r>
          </w:p>
        </w:tc>
        <w:tc>
          <w:p>
            <w:pPr>
              <w:pStyle w:val="TableText"/>
              <w:jc w:val="right"/>
            </w:pPr>
            <w:r>
              <w:t>377</w:t>
            </w:r>
          </w:p>
        </w:tc>
      </w:tr>
      <w:tr>
        <w:tc>
          <w:p>
            <w:pPr>
              <w:pStyle w:val="TableText"/>
              <w:jc w:val="left"/>
            </w:pPr>
            <w:r>
              <w:t>Apr 2015 to Mar 2016</w:t>
            </w:r>
          </w:p>
        </w:tc>
        <w:tc>
          <w:p>
            <w:pPr>
              <w:pStyle w:val="TableText"/>
              <w:jc w:val="right"/>
            </w:pPr>
            <w:r>
              <w:t>471</w:t>
            </w:r>
          </w:p>
        </w:tc>
      </w:tr>
      <w:tr>
        <w:tc>
          <w:p>
            <w:pPr>
              <w:pStyle w:val="TableText"/>
              <w:jc w:val="left"/>
            </w:pPr>
            <w:r>
              <w:t>Apr 2016 to Mar 2017</w:t>
            </w:r>
          </w:p>
        </w:tc>
        <w:tc>
          <w:p>
            <w:pPr>
              <w:pStyle w:val="TableText"/>
              <w:jc w:val="right"/>
            </w:pPr>
            <w:r>
              <w:t>521</w:t>
            </w:r>
          </w:p>
        </w:tc>
      </w:tr>
      <w:tr>
        <w:tc>
          <w:p>
            <w:pPr>
              <w:pStyle w:val="TableText"/>
              <w:jc w:val="left"/>
            </w:pPr>
            <w:r>
              <w:t>Apr 2017 to Mar 2018</w:t>
            </w:r>
          </w:p>
        </w:tc>
        <w:tc>
          <w:p>
            <w:pPr>
              <w:pStyle w:val="TableText"/>
              <w:jc w:val="right"/>
            </w:pPr>
            <w:r>
              <w:t>668</w:t>
            </w:r>
          </w:p>
        </w:tc>
      </w:tr>
      <w:tr>
        <w:tc>
          <w:p>
            <w:pPr>
              <w:pStyle w:val="TableText"/>
              <w:jc w:val="left"/>
            </w:pPr>
            <w:r>
              <w:t>Apr 2018 to Mar 2019</w:t>
            </w:r>
          </w:p>
        </w:tc>
        <w:tc>
          <w:p>
            <w:pPr>
              <w:pStyle w:val="TableText"/>
              <w:jc w:val="right"/>
            </w:pPr>
            <w:r>
              <w:t>762</w:t>
            </w:r>
          </w:p>
        </w:tc>
      </w:tr>
      <w:tr>
        <w:tc>
          <w:p>
            <w:pPr>
              <w:pStyle w:val="TableText"/>
              <w:jc w:val="left"/>
            </w:pPr>
            <w:r>
              <w:t>Apr 2019 to Mar 2020</w:t>
            </w:r>
          </w:p>
        </w:tc>
        <w:tc>
          <w:p>
            <w:pPr>
              <w:pStyle w:val="TableText"/>
              <w:jc w:val="right"/>
            </w:pPr>
            <w:r>
              <w:t>688</w:t>
            </w:r>
          </w:p>
        </w:tc>
      </w:tr>
      <w:tr>
        <w:tc>
          <w:p>
            <w:pPr>
              <w:pStyle w:val="TableText"/>
              <w:jc w:val="left"/>
            </w:pPr>
            <w:r>
              <w:t>Apr 2020 to Mar 2021</w:t>
            </w:r>
          </w:p>
        </w:tc>
        <w:tc>
          <w:p>
            <w:pPr>
              <w:pStyle w:val="TableText"/>
              <w:jc w:val="right"/>
            </w:pPr>
            <w:r>
              <w:t>685</w:t>
            </w:r>
          </w:p>
        </w:tc>
      </w:tr>
      <w:tr>
        <w:tc>
          <w:p>
            <w:pPr>
              <w:pStyle w:val="TableText"/>
              <w:jc w:val="left"/>
            </w:pPr>
            <w:r>
              <w:t>Apr 2021 to Mar 2022</w:t>
            </w:r>
          </w:p>
        </w:tc>
        <w:tc>
          <w:p>
            <w:pPr>
              <w:pStyle w:val="TableText"/>
              <w:jc w:val="right"/>
            </w:pPr>
            <w:r>
              <w:t>687</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72">
        <w:r>
          <w:rPr>
            <w:rFonts w:ascii="Arial" w:hAnsi="Arial" w:eastAsia="Arial" w:cs="Arial"/>
            <w:i w:val="false"/>
            <w:b w:val="false"/>
            <w:u w:val="none"/>
            <w:sz w:val="18"/>
            <w:szCs w:val="18"/>
            <w:color w:val="000000"/>
          </w:rPr>
          <w:t xml:space="preserve">Safety in custody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77">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Self inflicted deaths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number of self inflicted deaths in prisons.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In the 12 months to Mar 2023 there were 82 self-inflicted deaths.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5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78"/>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2015 to Mar 2016</w:t>
            </w:r>
          </w:p>
        </w:tc>
        <w:tc>
          <w:p>
            <w:pPr>
              <w:pStyle w:val="TableText"/>
              <w:jc w:val="right"/>
            </w:pPr>
            <w:r>
              <w:t>103</w:t>
            </w:r>
          </w:p>
        </w:tc>
      </w:tr>
      <w:tr>
        <w:tc>
          <w:p>
            <w:pPr>
              <w:pStyle w:val="TableText"/>
              <w:jc w:val="left"/>
            </w:pPr>
            <w:r>
              <w:t>Apr 2016 to Mar 2017</w:t>
            </w:r>
          </w:p>
        </w:tc>
        <w:tc>
          <w:p>
            <w:pPr>
              <w:pStyle w:val="TableText"/>
              <w:jc w:val="right"/>
            </w:pPr>
            <w:r>
              <w:t>116</w:t>
            </w:r>
          </w:p>
        </w:tc>
      </w:tr>
      <w:tr>
        <w:tc>
          <w:p>
            <w:pPr>
              <w:pStyle w:val="TableText"/>
              <w:jc w:val="left"/>
            </w:pPr>
            <w:r>
              <w:t>Apr 2017 to Mar 2018</w:t>
            </w:r>
          </w:p>
        </w:tc>
        <w:tc>
          <w:p>
            <w:pPr>
              <w:pStyle w:val="TableText"/>
              <w:jc w:val="right"/>
            </w:pPr>
            <w:r>
              <w:t>74</w:t>
            </w:r>
          </w:p>
        </w:tc>
      </w:tr>
      <w:tr>
        <w:tc>
          <w:p>
            <w:pPr>
              <w:pStyle w:val="TableText"/>
              <w:jc w:val="left"/>
            </w:pPr>
            <w:r>
              <w:t>Apr 2018 to Mar 2019</w:t>
            </w:r>
          </w:p>
        </w:tc>
        <w:tc>
          <w:p>
            <w:pPr>
              <w:pStyle w:val="TableText"/>
              <w:jc w:val="right"/>
            </w:pPr>
            <w:r>
              <w:t>88</w:t>
            </w:r>
          </w:p>
        </w:tc>
      </w:tr>
      <w:tr>
        <w:tc>
          <w:p>
            <w:pPr>
              <w:pStyle w:val="TableText"/>
              <w:jc w:val="left"/>
            </w:pPr>
            <w:r>
              <w:t>Apr 2019 to Mar 2020</w:t>
            </w:r>
          </w:p>
        </w:tc>
        <w:tc>
          <w:p>
            <w:pPr>
              <w:pStyle w:val="TableText"/>
              <w:jc w:val="right"/>
            </w:pPr>
            <w:r>
              <w:t>83</w:t>
            </w:r>
          </w:p>
        </w:tc>
      </w:tr>
      <w:tr>
        <w:tc>
          <w:p>
            <w:pPr>
              <w:pStyle w:val="TableText"/>
              <w:jc w:val="left"/>
            </w:pPr>
            <w:r>
              <w:t>Apr 2020 to Mar 2021</w:t>
            </w:r>
          </w:p>
        </w:tc>
        <w:tc>
          <w:p>
            <w:pPr>
              <w:pStyle w:val="TableText"/>
              <w:jc w:val="right"/>
            </w:pPr>
            <w:r>
              <w:t>80</w:t>
            </w:r>
          </w:p>
        </w:tc>
      </w:tr>
      <w:tr>
        <w:tc>
          <w:p>
            <w:pPr>
              <w:pStyle w:val="TableText"/>
              <w:jc w:val="left"/>
            </w:pPr>
            <w:r>
              <w:t>Apr 2021 to Mar 2022</w:t>
            </w:r>
          </w:p>
        </w:tc>
        <w:tc>
          <w:p>
            <w:pPr>
              <w:pStyle w:val="TableText"/>
              <w:jc w:val="right"/>
            </w:pPr>
            <w:r>
              <w:t>79</w:t>
            </w:r>
          </w:p>
        </w:tc>
      </w:tr>
      <w:tr>
        <w:tc>
          <w:p>
            <w:pPr>
              <w:pStyle w:val="TableText"/>
              <w:jc w:val="left"/>
            </w:pPr>
            <w:r>
              <w:t>Apr 2022 to Mar 2023</w:t>
            </w:r>
          </w:p>
        </w:tc>
        <w:tc>
          <w:p>
            <w:pPr>
              <w:pStyle w:val="TableText"/>
              <w:jc w:val="right"/>
            </w:pPr>
            <w:r>
              <w:t>82</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72">
        <w:r>
          <w:rPr>
            <w:rFonts w:ascii="Arial" w:hAnsi="Arial" w:eastAsia="Arial" w:cs="Arial"/>
            <w:i w:val="false"/>
            <w:b w:val="false"/>
            <w:u w:val="none"/>
            <w:sz w:val="18"/>
            <w:szCs w:val="18"/>
            <w:color w:val="000000"/>
          </w:rPr>
          <w:t xml:space="preserve">Safety in custody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79">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Random mandatory drug testing (traditional drugs)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percentage of random mandatory drug tests which show drugs to be present, hence a downward trend is positive. This measure excludes tests for new psychoactive substances. The values for 2018/19 onwards are calculated using a new weighted methodology - please refer to the relevant publication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2019-20 is 10.5 %, up 0.1ppt from 2018-19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5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80"/>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2012 to Mar 2013</w:t>
            </w:r>
          </w:p>
        </w:tc>
        <w:tc>
          <w:p>
            <w:pPr>
              <w:pStyle w:val="TableText"/>
              <w:jc w:val="right"/>
            </w:pPr>
            <w:r>
              <w:t>7.2 %</w:t>
            </w:r>
          </w:p>
        </w:tc>
      </w:tr>
      <w:tr>
        <w:tc>
          <w:p>
            <w:pPr>
              <w:pStyle w:val="TableText"/>
              <w:jc w:val="left"/>
            </w:pPr>
            <w:r>
              <w:t>Apr 2013 to Mar 2014</w:t>
            </w:r>
          </w:p>
        </w:tc>
        <w:tc>
          <w:p>
            <w:pPr>
              <w:pStyle w:val="TableText"/>
              <w:jc w:val="right"/>
            </w:pPr>
            <w:r>
              <w:t>7.5 %</w:t>
            </w:r>
          </w:p>
        </w:tc>
      </w:tr>
      <w:tr>
        <w:tc>
          <w:p>
            <w:pPr>
              <w:pStyle w:val="TableText"/>
              <w:jc w:val="left"/>
            </w:pPr>
            <w:r>
              <w:t>Apr 2014 to Mar 2015</w:t>
            </w:r>
          </w:p>
        </w:tc>
        <w:tc>
          <w:p>
            <w:pPr>
              <w:pStyle w:val="TableText"/>
              <w:jc w:val="right"/>
            </w:pPr>
            <w:r>
              <w:t>7.0 %</w:t>
            </w:r>
          </w:p>
        </w:tc>
      </w:tr>
      <w:tr>
        <w:tc>
          <w:p>
            <w:pPr>
              <w:pStyle w:val="TableText"/>
              <w:jc w:val="left"/>
            </w:pPr>
            <w:r>
              <w:t>Apr 2015 to Mar 2016</w:t>
            </w:r>
          </w:p>
        </w:tc>
        <w:tc>
          <w:p>
            <w:pPr>
              <w:pStyle w:val="TableText"/>
              <w:jc w:val="right"/>
            </w:pPr>
            <w:r>
              <w:t>7.8 %</w:t>
            </w:r>
          </w:p>
        </w:tc>
      </w:tr>
      <w:tr>
        <w:tc>
          <w:p>
            <w:pPr>
              <w:pStyle w:val="TableText"/>
              <w:jc w:val="left"/>
            </w:pPr>
            <w:r>
              <w:t>Apr 2016 to Mar 2017</w:t>
            </w:r>
          </w:p>
        </w:tc>
        <w:tc>
          <w:p>
            <w:pPr>
              <w:pStyle w:val="TableText"/>
              <w:jc w:val="right"/>
            </w:pPr>
            <w:r>
              <w:t>9.3 %</w:t>
            </w:r>
          </w:p>
        </w:tc>
      </w:tr>
      <w:tr>
        <w:tc>
          <w:p>
            <w:pPr>
              <w:pStyle w:val="TableText"/>
              <w:jc w:val="left"/>
            </w:pPr>
            <w:r>
              <w:t>Apr 2017 to Mar 2018</w:t>
            </w:r>
          </w:p>
        </w:tc>
        <w:tc>
          <w:p>
            <w:pPr>
              <w:pStyle w:val="TableText"/>
              <w:jc w:val="right"/>
            </w:pPr>
            <w:r>
              <w:t>10.9 %</w:t>
            </w:r>
          </w:p>
        </w:tc>
      </w:tr>
      <w:tr>
        <w:tc>
          <w:p>
            <w:pPr>
              <w:pStyle w:val="TableText"/>
              <w:jc w:val="left"/>
            </w:pPr>
            <w:r>
              <w:t>Apr 2018 to Mar 2019</w:t>
            </w:r>
          </w:p>
        </w:tc>
        <w:tc>
          <w:p>
            <w:pPr>
              <w:pStyle w:val="TableText"/>
              <w:jc w:val="right"/>
            </w:pPr>
            <w:r>
              <w:t>10.4 %</w:t>
            </w:r>
          </w:p>
        </w:tc>
      </w:tr>
      <w:tr>
        <w:tc>
          <w:p>
            <w:pPr>
              <w:pStyle w:val="TableText"/>
              <w:jc w:val="left"/>
            </w:pPr>
            <w:r>
              <w:t>Apr 2019 to Mar 2020</w:t>
            </w:r>
          </w:p>
        </w:tc>
        <w:tc>
          <w:p>
            <w:pPr>
              <w:pStyle w:val="TableText"/>
              <w:jc w:val="right"/>
            </w:pPr>
            <w:r>
              <w:t>10.5 %</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July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9">
        <w:r>
          <w:rPr>
            <w:rFonts w:ascii="Arial" w:hAnsi="Arial" w:eastAsia="Arial" w:cs="Arial"/>
            <w:i w:val="false"/>
            <w:b w:val="false"/>
            <w:u w:val="none"/>
            <w:sz w:val="18"/>
            <w:szCs w:val="18"/>
            <w:color w:val="000000"/>
          </w:rPr>
          <w:t xml:space="preserve">HM Prison and Probation Service annual digest</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81">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Barricades or prevention of access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number of incidents where where one or more offenders deny access to all or part of a prison to those lawfully empowered to have such access, by use of a physical barrier.</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2021-22 is 1,273, up 56 from 2020-21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6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82"/>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2014 to Mar 2015</w:t>
            </w:r>
          </w:p>
        </w:tc>
        <w:tc>
          <w:p>
            <w:pPr>
              <w:pStyle w:val="TableText"/>
              <w:jc w:val="right"/>
            </w:pPr>
            <w:r>
              <w:t>929</w:t>
            </w:r>
          </w:p>
        </w:tc>
      </w:tr>
      <w:tr>
        <w:tc>
          <w:p>
            <w:pPr>
              <w:pStyle w:val="TableText"/>
              <w:jc w:val="left"/>
            </w:pPr>
            <w:r>
              <w:t>Apr 2015 to Mar 2016</w:t>
            </w:r>
          </w:p>
        </w:tc>
        <w:tc>
          <w:p>
            <w:pPr>
              <w:pStyle w:val="TableText"/>
              <w:jc w:val="right"/>
            </w:pPr>
            <w:r>
              <w:t>1,229</w:t>
            </w:r>
          </w:p>
        </w:tc>
      </w:tr>
      <w:tr>
        <w:tc>
          <w:p>
            <w:pPr>
              <w:pStyle w:val="TableText"/>
              <w:jc w:val="left"/>
            </w:pPr>
            <w:r>
              <w:t>Apr 2016 to Mar 2017</w:t>
            </w:r>
          </w:p>
        </w:tc>
        <w:tc>
          <w:p>
            <w:pPr>
              <w:pStyle w:val="TableText"/>
              <w:jc w:val="right"/>
            </w:pPr>
            <w:r>
              <w:t>1,320</w:t>
            </w:r>
          </w:p>
        </w:tc>
      </w:tr>
      <w:tr>
        <w:tc>
          <w:p>
            <w:pPr>
              <w:pStyle w:val="TableText"/>
              <w:jc w:val="left"/>
            </w:pPr>
            <w:r>
              <w:t>Apr 2017 to Mar 2018</w:t>
            </w:r>
          </w:p>
        </w:tc>
        <w:tc>
          <w:p>
            <w:pPr>
              <w:pStyle w:val="TableText"/>
              <w:jc w:val="right"/>
            </w:pPr>
            <w:r>
              <w:t>1,406</w:t>
            </w:r>
          </w:p>
        </w:tc>
      </w:tr>
      <w:tr>
        <w:tc>
          <w:p>
            <w:pPr>
              <w:pStyle w:val="TableText"/>
              <w:jc w:val="left"/>
            </w:pPr>
            <w:r>
              <w:t>Apr 2018 to Mar 2019</w:t>
            </w:r>
          </w:p>
        </w:tc>
        <w:tc>
          <w:p>
            <w:pPr>
              <w:pStyle w:val="TableText"/>
              <w:jc w:val="right"/>
            </w:pPr>
            <w:r>
              <w:t>1,737</w:t>
            </w:r>
          </w:p>
        </w:tc>
      </w:tr>
      <w:tr>
        <w:tc>
          <w:p>
            <w:pPr>
              <w:pStyle w:val="TableText"/>
              <w:jc w:val="left"/>
            </w:pPr>
            <w:r>
              <w:t>Apr 2019 to Mar 2020</w:t>
            </w:r>
          </w:p>
        </w:tc>
        <w:tc>
          <w:p>
            <w:pPr>
              <w:pStyle w:val="TableText"/>
              <w:jc w:val="right"/>
            </w:pPr>
            <w:r>
              <w:t>1,882</w:t>
            </w:r>
          </w:p>
        </w:tc>
      </w:tr>
      <w:tr>
        <w:tc>
          <w:p>
            <w:pPr>
              <w:pStyle w:val="TableText"/>
              <w:jc w:val="left"/>
            </w:pPr>
            <w:r>
              <w:t>Apr 2020 to Mar 2021</w:t>
            </w:r>
          </w:p>
        </w:tc>
        <w:tc>
          <w:p>
            <w:pPr>
              <w:pStyle w:val="TableText"/>
              <w:jc w:val="right"/>
            </w:pPr>
            <w:r>
              <w:t>1,217</w:t>
            </w:r>
          </w:p>
        </w:tc>
      </w:tr>
      <w:tr>
        <w:tc>
          <w:p>
            <w:pPr>
              <w:pStyle w:val="TableText"/>
              <w:jc w:val="left"/>
            </w:pPr>
            <w:r>
              <w:t>Apr 2021 to Mar 2022</w:t>
            </w:r>
          </w:p>
        </w:tc>
        <w:tc>
          <w:p>
            <w:pPr>
              <w:pStyle w:val="TableText"/>
              <w:jc w:val="right"/>
            </w:pPr>
            <w:r>
              <w:t>1,273</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July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9">
        <w:r>
          <w:rPr>
            <w:rFonts w:ascii="Arial" w:hAnsi="Arial" w:eastAsia="Arial" w:cs="Arial"/>
            <w:i w:val="false"/>
            <w:b w:val="false"/>
            <w:u w:val="none"/>
            <w:sz w:val="18"/>
            <w:szCs w:val="18"/>
            <w:color w:val="000000"/>
          </w:rPr>
          <w:t xml:space="preserve">HM Prison and Probation Service annual digest</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8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Risk management audit: 2021-22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An announced audit to determine how effectively the prison is assessing and managing risks of violence and self-harm. The risk management audit is carried out approximately every three years. The data presented here shows the most recent assessment for each prison establishment.   The summary percentage is based on audits published internally by HMPPS. The annual prison performance ratings publication includes audits which had not been published when it was released and were therefore suppressed from the data tables. Including these suppressed scores, the overall percentage of prisons scoring a 3 or 4 is 53.3%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6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84"/>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Rating 1</w:t>
            </w:r>
          </w:p>
        </w:tc>
        <w:tc>
          <w:p>
            <w:pPr>
              <w:pStyle w:val="TableText"/>
              <w:jc w:val="right"/>
            </w:pPr>
            <w:r>
              <w:t>1 prisons</w:t>
            </w:r>
          </w:p>
        </w:tc>
      </w:tr>
      <w:tr>
        <w:tc>
          <w:p>
            <w:pPr>
              <w:pStyle w:val="TableText"/>
              <w:jc w:val="left"/>
            </w:pPr>
            <w:r>
              <w:t>Rating 2</w:t>
            </w:r>
          </w:p>
        </w:tc>
        <w:tc>
          <w:p>
            <w:pPr>
              <w:pStyle w:val="TableText"/>
              <w:jc w:val="right"/>
            </w:pPr>
            <w:r>
              <w:t>35 prisons</w:t>
            </w:r>
          </w:p>
        </w:tc>
      </w:tr>
      <w:tr>
        <w:tc>
          <w:p>
            <w:pPr>
              <w:pStyle w:val="TableText"/>
              <w:jc w:val="left"/>
            </w:pPr>
            <w:r>
              <w:t>Rating 3</w:t>
            </w:r>
          </w:p>
        </w:tc>
        <w:tc>
          <w:p>
            <w:pPr>
              <w:pStyle w:val="TableText"/>
              <w:jc w:val="right"/>
            </w:pPr>
            <w:r>
              <w:t>36 prisons</w:t>
            </w:r>
          </w:p>
        </w:tc>
      </w:tr>
      <w:tr>
        <w:tc>
          <w:p>
            <w:pPr>
              <w:pStyle w:val="TableText"/>
              <w:jc w:val="left"/>
            </w:pPr>
            <w:r>
              <w:t>Rating 4</w:t>
            </w:r>
          </w:p>
        </w:tc>
        <w:tc>
          <w:p>
            <w:pPr>
              <w:pStyle w:val="TableText"/>
              <w:jc w:val="right"/>
            </w:pPr>
            <w:r>
              <w:t>5 prisons</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July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85">
        <w:r>
          <w:rPr>
            <w:rFonts w:ascii="Arial" w:hAnsi="Arial" w:eastAsia="Arial" w:cs="Arial"/>
            <w:i w:val="false"/>
            <w:b w:val="false"/>
            <w:u w:val="none"/>
            <w:sz w:val="18"/>
            <w:szCs w:val="18"/>
            <w:color w:val="000000"/>
          </w:rPr>
          <w:t xml:space="preserve">Prison performance ratings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86">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Escapes from prison establishments and HMPPS escort</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 prisoner escapes from prison if they unlawfully gain their liberty (for 15 minutes or more) by breaching the secure perimeter of a closed prison, or if during prison staff escort, overcome the control of escorting staff and leave the escort, the van or the building (hospital etc.). Those who escape for less than 15 minutes and commit an offence are also recorded as an escape. Escapes are monitored to analyse the frequency across the estate and identify any trends nationally, also taking into consideration the management of risk to the public.</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2021-22 is 1, up 1 from 2020-21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6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87"/>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2014 to Mar 2015</w:t>
            </w:r>
          </w:p>
        </w:tc>
        <w:tc>
          <w:p>
            <w:pPr>
              <w:pStyle w:val="TableText"/>
              <w:jc w:val="right"/>
            </w:pPr>
            <w:r>
              <w:t>1</w:t>
            </w:r>
          </w:p>
        </w:tc>
      </w:tr>
      <w:tr>
        <w:tc>
          <w:p>
            <w:pPr>
              <w:pStyle w:val="TableText"/>
              <w:jc w:val="left"/>
            </w:pPr>
            <w:r>
              <w:t>Apr 2015 to Mar 2016</w:t>
            </w:r>
          </w:p>
        </w:tc>
        <w:tc>
          <w:p>
            <w:pPr>
              <w:pStyle w:val="TableText"/>
              <w:jc w:val="right"/>
            </w:pPr>
            <w:r>
              <w:t>5</w:t>
            </w:r>
          </w:p>
        </w:tc>
      </w:tr>
      <w:tr>
        <w:tc>
          <w:p>
            <w:pPr>
              <w:pStyle w:val="TableText"/>
              <w:jc w:val="left"/>
            </w:pPr>
            <w:r>
              <w:t>Apr 2016 to Mar 2017</w:t>
            </w:r>
          </w:p>
        </w:tc>
        <w:tc>
          <w:p>
            <w:pPr>
              <w:pStyle w:val="TableText"/>
              <w:jc w:val="right"/>
            </w:pPr>
            <w:r>
              <w:t>7</w:t>
            </w:r>
          </w:p>
        </w:tc>
      </w:tr>
      <w:tr>
        <w:tc>
          <w:p>
            <w:pPr>
              <w:pStyle w:val="TableText"/>
              <w:jc w:val="left"/>
            </w:pPr>
            <w:r>
              <w:t>Apr 2017 to Mar 2018</w:t>
            </w:r>
          </w:p>
        </w:tc>
        <w:tc>
          <w:p>
            <w:pPr>
              <w:pStyle w:val="TableText"/>
              <w:jc w:val="right"/>
            </w:pPr>
            <w:r>
              <w:t>4</w:t>
            </w:r>
          </w:p>
        </w:tc>
      </w:tr>
      <w:tr>
        <w:tc>
          <w:p>
            <w:pPr>
              <w:pStyle w:val="TableText"/>
              <w:jc w:val="left"/>
            </w:pPr>
            <w:r>
              <w:t>Apr 2018 to Mar 2019</w:t>
            </w:r>
          </w:p>
        </w:tc>
        <w:tc>
          <w:p>
            <w:pPr>
              <w:pStyle w:val="TableText"/>
              <w:jc w:val="right"/>
            </w:pPr>
            <w:r>
              <w:t>3</w:t>
            </w:r>
          </w:p>
        </w:tc>
      </w:tr>
      <w:tr>
        <w:tc>
          <w:p>
            <w:pPr>
              <w:pStyle w:val="TableText"/>
              <w:jc w:val="left"/>
            </w:pPr>
            <w:r>
              <w:t>Apr 2019 to Mar 2020</w:t>
            </w:r>
          </w:p>
        </w:tc>
        <w:tc>
          <w:p>
            <w:pPr>
              <w:pStyle w:val="TableText"/>
              <w:jc w:val="right"/>
            </w:pPr>
            <w:r>
              <w:t>2</w:t>
            </w:r>
          </w:p>
        </w:tc>
      </w:tr>
      <w:tr>
        <w:tc>
          <w:p>
            <w:pPr>
              <w:pStyle w:val="TableText"/>
              <w:jc w:val="left"/>
            </w:pPr>
            <w:r>
              <w:t>Apr 2020 to Mar 2021</w:t>
            </w:r>
          </w:p>
        </w:tc>
        <w:tc>
          <w:p>
            <w:pPr>
              <w:pStyle w:val="TableText"/>
              <w:jc w:val="right"/>
            </w:pPr>
            <w:r>
              <w:t>0</w:t>
            </w:r>
          </w:p>
        </w:tc>
      </w:tr>
      <w:tr>
        <w:tc>
          <w:p>
            <w:pPr>
              <w:pStyle w:val="TableText"/>
              <w:jc w:val="left"/>
            </w:pPr>
            <w:r>
              <w:t>Apr 2021 to Mar 2022</w:t>
            </w:r>
          </w:p>
        </w:tc>
        <w:tc>
          <w:p>
            <w:pPr>
              <w:pStyle w:val="TableText"/>
              <w:jc w:val="right"/>
            </w:pPr>
            <w:r>
              <w:t>1</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July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9">
        <w:r>
          <w:rPr>
            <w:rFonts w:ascii="Arial" w:hAnsi="Arial" w:eastAsia="Arial" w:cs="Arial"/>
            <w:i w:val="false"/>
            <w:b w:val="false"/>
            <w:u w:val="none"/>
            <w:sz w:val="18"/>
            <w:szCs w:val="18"/>
            <w:color w:val="000000"/>
          </w:rPr>
          <w:t xml:space="preserve">HM Prison and Probation Service annual digest</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88">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Absconds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An abscond is an escape that does not involve overcoming a physical security restraint such as that provided by a wall or fence, locks, bolts or bars, a secure vehicle, handcuffs or the direct supervision of staff.  Absconds are monitored to analyse the frequency across the open estate and identify any trends nationally also taking into consideration, the management of risk to the public. It is only possible to abscond from open prison conditions.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2021-22 is 95, down 6 from 2020-21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6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89"/>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2014 to Mar 2015</w:t>
            </w:r>
          </w:p>
        </w:tc>
        <w:tc>
          <w:p>
            <w:pPr>
              <w:pStyle w:val="TableText"/>
              <w:jc w:val="right"/>
            </w:pPr>
            <w:r>
              <w:t>181</w:t>
            </w:r>
          </w:p>
        </w:tc>
      </w:tr>
      <w:tr>
        <w:tc>
          <w:p>
            <w:pPr>
              <w:pStyle w:val="TableText"/>
              <w:jc w:val="left"/>
            </w:pPr>
            <w:r>
              <w:t>Apr 2015 to Mar 2016</w:t>
            </w:r>
          </w:p>
        </w:tc>
        <w:tc>
          <w:p>
            <w:pPr>
              <w:pStyle w:val="TableText"/>
              <w:jc w:val="right"/>
            </w:pPr>
            <w:r>
              <w:t>105</w:t>
            </w:r>
          </w:p>
        </w:tc>
      </w:tr>
      <w:tr>
        <w:tc>
          <w:p>
            <w:pPr>
              <w:pStyle w:val="TableText"/>
              <w:jc w:val="left"/>
            </w:pPr>
            <w:r>
              <w:t>Apr 2016 to Mar 2017</w:t>
            </w:r>
          </w:p>
        </w:tc>
        <w:tc>
          <w:p>
            <w:pPr>
              <w:pStyle w:val="TableText"/>
              <w:jc w:val="right"/>
            </w:pPr>
            <w:r>
              <w:t>86</w:t>
            </w:r>
          </w:p>
        </w:tc>
      </w:tr>
      <w:tr>
        <w:tc>
          <w:p>
            <w:pPr>
              <w:pStyle w:val="TableText"/>
              <w:jc w:val="left"/>
            </w:pPr>
            <w:r>
              <w:t>Apr 2017 to Mar 2018</w:t>
            </w:r>
          </w:p>
        </w:tc>
        <w:tc>
          <w:p>
            <w:pPr>
              <w:pStyle w:val="TableText"/>
              <w:jc w:val="right"/>
            </w:pPr>
            <w:r>
              <w:t>139</w:t>
            </w:r>
          </w:p>
        </w:tc>
      </w:tr>
      <w:tr>
        <w:tc>
          <w:p>
            <w:pPr>
              <w:pStyle w:val="TableText"/>
              <w:jc w:val="left"/>
            </w:pPr>
            <w:r>
              <w:t>Apr 2018 to Mar 2019</w:t>
            </w:r>
          </w:p>
        </w:tc>
        <w:tc>
          <w:p>
            <w:pPr>
              <w:pStyle w:val="TableText"/>
              <w:jc w:val="right"/>
            </w:pPr>
            <w:r>
              <w:t>119</w:t>
            </w:r>
          </w:p>
        </w:tc>
      </w:tr>
      <w:tr>
        <w:tc>
          <w:p>
            <w:pPr>
              <w:pStyle w:val="TableText"/>
              <w:jc w:val="left"/>
            </w:pPr>
            <w:r>
              <w:t>Apr 2019 to Mar 2020</w:t>
            </w:r>
          </w:p>
        </w:tc>
        <w:tc>
          <w:p>
            <w:pPr>
              <w:pStyle w:val="TableText"/>
              <w:jc w:val="right"/>
            </w:pPr>
            <w:r>
              <w:t>143</w:t>
            </w:r>
          </w:p>
        </w:tc>
      </w:tr>
      <w:tr>
        <w:tc>
          <w:p>
            <w:pPr>
              <w:pStyle w:val="TableText"/>
              <w:jc w:val="left"/>
            </w:pPr>
            <w:r>
              <w:t>Apr 2020 to Mar 2021</w:t>
            </w:r>
          </w:p>
        </w:tc>
        <w:tc>
          <w:p>
            <w:pPr>
              <w:pStyle w:val="TableText"/>
              <w:jc w:val="right"/>
            </w:pPr>
            <w:r>
              <w:t>101</w:t>
            </w:r>
          </w:p>
        </w:tc>
      </w:tr>
      <w:tr>
        <w:tc>
          <w:p>
            <w:pPr>
              <w:pStyle w:val="TableText"/>
              <w:jc w:val="left"/>
            </w:pPr>
            <w:r>
              <w:t>Apr 2021 to Mar 2022</w:t>
            </w:r>
          </w:p>
        </w:tc>
        <w:tc>
          <w:p>
            <w:pPr>
              <w:pStyle w:val="TableText"/>
              <w:jc w:val="right"/>
            </w:pPr>
            <w:r>
              <w:t>95</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July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9">
        <w:r>
          <w:rPr>
            <w:rFonts w:ascii="Arial" w:hAnsi="Arial" w:eastAsia="Arial" w:cs="Arial"/>
            <w:i w:val="false"/>
            <w:b w:val="false"/>
            <w:u w:val="none"/>
            <w:sz w:val="18"/>
            <w:szCs w:val="18"/>
            <w:color w:val="000000"/>
          </w:rPr>
          <w:t xml:space="preserve">HM Prison and Probation Service annual digest</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90">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Security audit: 2021-22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An internal audit that assesses, on a four point scale, the level to which effective security procedures are adhered to within each prison. There is no structured frequency for how often the security audit takes place, with the exception of long term high security prison establishments which are audited annually. The data presented here shows the most recent assessment for each prison establishment. The summary percentage is based on audits published internally by HMPPS. The annual prison performance ratings publication includes audits which had not been published when it was released and were therefore suppressed from the data tables. Including these suppressed scores, the overall percentage of prisons scoring a 3 or 4 is 85.8%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6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91"/>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Rating 1</w:t>
            </w:r>
          </w:p>
        </w:tc>
        <w:tc>
          <w:p>
            <w:pPr>
              <w:pStyle w:val="TableText"/>
              <w:jc w:val="right"/>
            </w:pPr>
            <w:r>
              <w:t>6 prisons</w:t>
            </w:r>
          </w:p>
        </w:tc>
      </w:tr>
      <w:tr>
        <w:tc>
          <w:p>
            <w:pPr>
              <w:pStyle w:val="TableText"/>
              <w:jc w:val="left"/>
            </w:pPr>
            <w:r>
              <w:t>Rating 2</w:t>
            </w:r>
          </w:p>
        </w:tc>
        <w:tc>
          <w:p>
            <w:pPr>
              <w:pStyle w:val="TableText"/>
              <w:jc w:val="right"/>
            </w:pPr>
            <w:r>
              <w:t>11 prisons</w:t>
            </w:r>
          </w:p>
        </w:tc>
      </w:tr>
      <w:tr>
        <w:tc>
          <w:p>
            <w:pPr>
              <w:pStyle w:val="TableText"/>
              <w:jc w:val="left"/>
            </w:pPr>
            <w:r>
              <w:t>Rating 3</w:t>
            </w:r>
          </w:p>
        </w:tc>
        <w:tc>
          <w:p>
            <w:pPr>
              <w:pStyle w:val="TableText"/>
              <w:jc w:val="right"/>
            </w:pPr>
            <w:r>
              <w:t>63 prisons</w:t>
            </w:r>
          </w:p>
        </w:tc>
      </w:tr>
      <w:tr>
        <w:tc>
          <w:p>
            <w:pPr>
              <w:pStyle w:val="TableText"/>
              <w:jc w:val="left"/>
            </w:pPr>
            <w:r>
              <w:t>Rating 4</w:t>
            </w:r>
          </w:p>
        </w:tc>
        <w:tc>
          <w:p>
            <w:pPr>
              <w:pStyle w:val="TableText"/>
              <w:jc w:val="right"/>
            </w:pPr>
            <w:r>
              <w:t>40 prisons</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July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85">
        <w:r>
          <w:rPr>
            <w:rFonts w:ascii="Arial" w:hAnsi="Arial" w:eastAsia="Arial" w:cs="Arial"/>
            <w:i w:val="false"/>
            <w:b w:val="false"/>
            <w:u w:val="none"/>
            <w:sz w:val="18"/>
            <w:szCs w:val="18"/>
            <w:color w:val="000000"/>
          </w:rPr>
          <w:t xml:space="preserve">Prison performance ratings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92">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Electronic monitoring caseload</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Total caseload.</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Mar 2023 is 17,350, up 1,956 from Mar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7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93"/>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31 March 2017</w:t>
            </w:r>
          </w:p>
        </w:tc>
        <w:tc>
          <w:p>
            <w:pPr>
              <w:pStyle w:val="TableText"/>
              <w:jc w:val="right"/>
            </w:pPr>
            <w:r>
              <w:t>11,490</w:t>
            </w:r>
          </w:p>
        </w:tc>
      </w:tr>
      <w:tr>
        <w:tc>
          <w:p>
            <w:pPr>
              <w:pStyle w:val="TableText"/>
              <w:jc w:val="left"/>
            </w:pPr>
            <w:r>
              <w:t>31 March 2018</w:t>
            </w:r>
          </w:p>
        </w:tc>
        <w:tc>
          <w:p>
            <w:pPr>
              <w:pStyle w:val="TableText"/>
              <w:jc w:val="right"/>
            </w:pPr>
            <w:r>
              <w:t>11,205</w:t>
            </w:r>
          </w:p>
        </w:tc>
      </w:tr>
      <w:tr>
        <w:tc>
          <w:p>
            <w:pPr>
              <w:pStyle w:val="TableText"/>
              <w:jc w:val="left"/>
            </w:pPr>
            <w:r>
              <w:t>31 March 2019</w:t>
            </w:r>
          </w:p>
        </w:tc>
        <w:tc>
          <w:p>
            <w:pPr>
              <w:pStyle w:val="TableText"/>
              <w:jc w:val="right"/>
            </w:pPr>
            <w:r>
              <w:t>10,771</w:t>
            </w:r>
          </w:p>
        </w:tc>
      </w:tr>
      <w:tr>
        <w:tc>
          <w:p>
            <w:pPr>
              <w:pStyle w:val="TableText"/>
              <w:jc w:val="left"/>
            </w:pPr>
            <w:r>
              <w:t>31 March 2020</w:t>
            </w:r>
          </w:p>
        </w:tc>
        <w:tc>
          <w:p>
            <w:pPr>
              <w:pStyle w:val="TableText"/>
              <w:jc w:val="right"/>
            </w:pPr>
            <w:r>
              <w:t>10,422</w:t>
            </w:r>
          </w:p>
        </w:tc>
      </w:tr>
      <w:tr>
        <w:tc>
          <w:p>
            <w:pPr>
              <w:pStyle w:val="TableText"/>
              <w:jc w:val="left"/>
            </w:pPr>
            <w:r>
              <w:t>31 March 2021</w:t>
            </w:r>
          </w:p>
        </w:tc>
        <w:tc>
          <w:p>
            <w:pPr>
              <w:pStyle w:val="TableText"/>
              <w:jc w:val="right"/>
            </w:pPr>
            <w:r>
              <w:t>13,996</w:t>
            </w:r>
          </w:p>
        </w:tc>
      </w:tr>
      <w:tr>
        <w:tc>
          <w:p>
            <w:pPr>
              <w:pStyle w:val="TableText"/>
              <w:jc w:val="left"/>
            </w:pPr>
            <w:r>
              <w:t>31 March 2022</w:t>
            </w:r>
          </w:p>
        </w:tc>
        <w:tc>
          <w:p>
            <w:pPr>
              <w:pStyle w:val="TableText"/>
              <w:jc w:val="right"/>
            </w:pPr>
            <w:r>
              <w:t>15,394</w:t>
            </w:r>
          </w:p>
        </w:tc>
      </w:tr>
      <w:tr>
        <w:tc>
          <w:p>
            <w:pPr>
              <w:pStyle w:val="TableText"/>
              <w:jc w:val="left"/>
            </w:pPr>
            <w:r>
              <w:t>31 March 2023</w:t>
            </w:r>
          </w:p>
        </w:tc>
        <w:tc>
          <w:p>
            <w:pPr>
              <w:pStyle w:val="TableText"/>
              <w:jc w:val="right"/>
            </w:pPr>
            <w:r>
              <w:t>17,350</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20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94">
        <w:r>
          <w:rPr>
            <w:rFonts w:ascii="Arial" w:hAnsi="Arial" w:eastAsia="Arial" w:cs="Arial"/>
            <w:i w:val="false"/>
            <w:b w:val="false"/>
            <w:u w:val="none"/>
            <w:sz w:val="18"/>
            <w:szCs w:val="18"/>
            <w:color w:val="000000"/>
          </w:rPr>
          <w:t xml:space="preserve">Electronic Monitoring Statistics Publication</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95">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Probation caseload</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statistics count each person once for each type of probation supervision being received on the date shown. In addition, each person is counted only once in each total or sub-total even if they were subject to several types of probation supervision at the year end (the examples above apply). Thus, the sum of the numbers receiving each type of court order probation supervision exceeds the number receiving court order probation supervision in total.</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31 Dec 2022 is 240,431, down 243 from 30 Sep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7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96"/>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31 Mar 2021</w:t>
            </w:r>
          </w:p>
        </w:tc>
        <w:tc>
          <w:p>
            <w:pPr>
              <w:pStyle w:val="TableText"/>
              <w:jc w:val="right"/>
            </w:pPr>
            <w:r>
              <w:t>224,174</w:t>
            </w:r>
          </w:p>
        </w:tc>
      </w:tr>
      <w:tr>
        <w:tc>
          <w:p>
            <w:pPr>
              <w:pStyle w:val="TableText"/>
              <w:jc w:val="left"/>
            </w:pPr>
            <w:r>
              <w:t>30 Jun 2021</w:t>
            </w:r>
          </w:p>
        </w:tc>
        <w:tc>
          <w:p>
            <w:pPr>
              <w:pStyle w:val="TableText"/>
              <w:jc w:val="right"/>
            </w:pPr>
            <w:r>
              <w:t>230,578</w:t>
            </w:r>
          </w:p>
        </w:tc>
      </w:tr>
      <w:tr>
        <w:tc>
          <w:p>
            <w:pPr>
              <w:pStyle w:val="TableText"/>
              <w:jc w:val="left"/>
            </w:pPr>
            <w:r>
              <w:t>30 Sep 2021</w:t>
            </w:r>
          </w:p>
        </w:tc>
        <w:tc>
          <w:p>
            <w:pPr>
              <w:pStyle w:val="TableText"/>
              <w:jc w:val="right"/>
            </w:pPr>
            <w:r>
              <w:t>234,827</w:t>
            </w:r>
          </w:p>
        </w:tc>
      </w:tr>
      <w:tr>
        <w:tc>
          <w:p>
            <w:pPr>
              <w:pStyle w:val="TableText"/>
              <w:jc w:val="left"/>
            </w:pPr>
            <w:r>
              <w:t>31 Dec 2021</w:t>
            </w:r>
          </w:p>
        </w:tc>
        <w:tc>
          <w:p>
            <w:pPr>
              <w:pStyle w:val="TableText"/>
              <w:jc w:val="right"/>
            </w:pPr>
            <w:r>
              <w:t>238,500</w:t>
            </w:r>
          </w:p>
        </w:tc>
      </w:tr>
      <w:tr>
        <w:tc>
          <w:p>
            <w:pPr>
              <w:pStyle w:val="TableText"/>
              <w:jc w:val="left"/>
            </w:pPr>
            <w:r>
              <w:t>31 Mar 2022</w:t>
            </w:r>
          </w:p>
        </w:tc>
        <w:tc>
          <w:p>
            <w:pPr>
              <w:pStyle w:val="TableText"/>
              <w:jc w:val="right"/>
            </w:pPr>
            <w:r>
              <w:t>240,922</w:t>
            </w:r>
          </w:p>
        </w:tc>
      </w:tr>
      <w:tr>
        <w:tc>
          <w:p>
            <w:pPr>
              <w:pStyle w:val="TableText"/>
              <w:jc w:val="left"/>
            </w:pPr>
            <w:r>
              <w:t>30 Jun 2022</w:t>
            </w:r>
          </w:p>
        </w:tc>
        <w:tc>
          <w:p>
            <w:pPr>
              <w:pStyle w:val="TableText"/>
              <w:jc w:val="right"/>
            </w:pPr>
            <w:r>
              <w:t>243,127</w:t>
            </w:r>
          </w:p>
        </w:tc>
      </w:tr>
      <w:tr>
        <w:tc>
          <w:p>
            <w:pPr>
              <w:pStyle w:val="TableText"/>
              <w:jc w:val="left"/>
            </w:pPr>
            <w:r>
              <w:t>30 Sep 2022</w:t>
            </w:r>
          </w:p>
        </w:tc>
        <w:tc>
          <w:p>
            <w:pPr>
              <w:pStyle w:val="TableText"/>
              <w:jc w:val="right"/>
            </w:pPr>
            <w:r>
              <w:t>240,674</w:t>
            </w:r>
          </w:p>
        </w:tc>
      </w:tr>
      <w:tr>
        <w:tc>
          <w:p>
            <w:pPr>
              <w:pStyle w:val="TableText"/>
              <w:jc w:val="left"/>
            </w:pPr>
            <w:r>
              <w:t>31 Dec 2022</w:t>
            </w:r>
          </w:p>
        </w:tc>
        <w:tc>
          <w:p>
            <w:pPr>
              <w:pStyle w:val="TableText"/>
              <w:jc w:val="right"/>
            </w:pPr>
            <w:r>
              <w:t>240,431</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24">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Staff in post (Probation Service)</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Full time equivalent staff in post for the Probation Service (PS) at the end of each financial year. (Workforce data for private sector Community Rehabilitation Companies is not published). During November and December 2019, over 1,200 PS staff moved to the Community and Interventions directorate, part of HMPPS HQ and areas services. In the same quarter, over 300 staff in Wales were transferred from privately run CRCs to HMPPS, into the new "PS Wales UM transition". In late June 2021, more than 7,000 staff from private sector Community Rehabilitation Companies (CRC) came together with probation staff already in the public sector in the new Probation Service.</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March 2023 is 19,850, up 2,202 from March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7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97"/>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March 2016</w:t>
            </w:r>
          </w:p>
        </w:tc>
        <w:tc>
          <w:p>
            <w:pPr>
              <w:pStyle w:val="TableText"/>
              <w:jc w:val="right"/>
            </w:pPr>
            <w:r>
              <w:t>8,835</w:t>
            </w:r>
          </w:p>
        </w:tc>
      </w:tr>
      <w:tr>
        <w:tc>
          <w:p>
            <w:pPr>
              <w:pStyle w:val="TableText"/>
              <w:jc w:val="left"/>
            </w:pPr>
            <w:r>
              <w:t>March 2017</w:t>
            </w:r>
          </w:p>
        </w:tc>
        <w:tc>
          <w:p>
            <w:pPr>
              <w:pStyle w:val="TableText"/>
              <w:jc w:val="right"/>
            </w:pPr>
            <w:r>
              <w:t>8,693</w:t>
            </w:r>
          </w:p>
        </w:tc>
      </w:tr>
      <w:tr>
        <w:tc>
          <w:p>
            <w:pPr>
              <w:pStyle w:val="TableText"/>
              <w:jc w:val="left"/>
            </w:pPr>
            <w:r>
              <w:t>March 2018</w:t>
            </w:r>
          </w:p>
        </w:tc>
        <w:tc>
          <w:p>
            <w:pPr>
              <w:pStyle w:val="TableText"/>
              <w:jc w:val="right"/>
            </w:pPr>
            <w:r>
              <w:t>9,310</w:t>
            </w:r>
          </w:p>
        </w:tc>
      </w:tr>
      <w:tr>
        <w:tc>
          <w:p>
            <w:pPr>
              <w:pStyle w:val="TableText"/>
              <w:jc w:val="left"/>
            </w:pPr>
            <w:r>
              <w:t>March 2019</w:t>
            </w:r>
          </w:p>
        </w:tc>
        <w:tc>
          <w:p>
            <w:pPr>
              <w:pStyle w:val="TableText"/>
              <w:jc w:val="right"/>
            </w:pPr>
            <w:r>
              <w:t>9,879</w:t>
            </w:r>
          </w:p>
        </w:tc>
      </w:tr>
      <w:tr>
        <w:tc>
          <w:p>
            <w:pPr>
              <w:pStyle w:val="TableText"/>
              <w:jc w:val="left"/>
            </w:pPr>
            <w:r>
              <w:t>March 2020</w:t>
            </w:r>
          </w:p>
        </w:tc>
        <w:tc>
          <w:p>
            <w:pPr>
              <w:pStyle w:val="TableText"/>
              <w:jc w:val="right"/>
            </w:pPr>
            <w:r>
              <w:t>10,265</w:t>
            </w:r>
          </w:p>
        </w:tc>
      </w:tr>
      <w:tr>
        <w:tc>
          <w:p>
            <w:pPr>
              <w:pStyle w:val="TableText"/>
              <w:jc w:val="left"/>
            </w:pPr>
            <w:r>
              <w:t>March 2021</w:t>
            </w:r>
          </w:p>
        </w:tc>
        <w:tc>
          <w:p>
            <w:pPr>
              <w:pStyle w:val="TableText"/>
              <w:jc w:val="right"/>
            </w:pPr>
            <w:r>
              <w:t>10,958</w:t>
            </w:r>
          </w:p>
        </w:tc>
      </w:tr>
      <w:tr>
        <w:tc>
          <w:p>
            <w:pPr>
              <w:pStyle w:val="TableText"/>
              <w:jc w:val="left"/>
            </w:pPr>
            <w:r>
              <w:t>March 2022</w:t>
            </w:r>
          </w:p>
        </w:tc>
        <w:tc>
          <w:p>
            <w:pPr>
              <w:pStyle w:val="TableText"/>
              <w:jc w:val="right"/>
            </w:pPr>
            <w:r>
              <w:t>17,648</w:t>
            </w:r>
          </w:p>
        </w:tc>
      </w:tr>
      <w:tr>
        <w:tc>
          <w:p>
            <w:pPr>
              <w:pStyle w:val="TableText"/>
              <w:jc w:val="left"/>
            </w:pPr>
            <w:r>
              <w:t>March 2023</w:t>
            </w:r>
          </w:p>
        </w:tc>
        <w:tc>
          <w:p>
            <w:pPr>
              <w:pStyle w:val="TableText"/>
              <w:jc w:val="right"/>
            </w:pPr>
            <w:r>
              <w:t>19,850</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22 May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17 August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6">
        <w:r>
          <w:rPr>
            <w:rFonts w:ascii="Arial" w:hAnsi="Arial" w:eastAsia="Arial" w:cs="Arial"/>
            <w:i w:val="false"/>
            <w:b w:val="false"/>
            <w:u w:val="none"/>
            <w:sz w:val="18"/>
            <w:szCs w:val="18"/>
            <w:color w:val="000000"/>
          </w:rPr>
          <w:t xml:space="preserve">HM Prison and Probation Service workforce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98">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Serious further offence convictions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SFO conviction figures are reported by the date of SFO notification. This is the date on which the supervising probation region notifies HM Prison and Probation Service (HMPPS) that an offender under its supervision has appeared in court charged with an offence which qualifies for an SFO review.</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2020/21 is 245, down 69 from 2019/20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7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99"/>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2013 - Mar 2014</w:t>
            </w:r>
          </w:p>
        </w:tc>
        <w:tc>
          <w:p>
            <w:pPr>
              <w:pStyle w:val="TableText"/>
              <w:jc w:val="right"/>
            </w:pPr>
            <w:r>
              <w:t>274</w:t>
            </w:r>
          </w:p>
        </w:tc>
      </w:tr>
      <w:tr>
        <w:tc>
          <w:p>
            <w:pPr>
              <w:pStyle w:val="TableText"/>
              <w:jc w:val="left"/>
            </w:pPr>
            <w:r>
              <w:t>Apr 2014 - Mar 2015</w:t>
            </w:r>
          </w:p>
        </w:tc>
        <w:tc>
          <w:p>
            <w:pPr>
              <w:pStyle w:val="TableText"/>
              <w:jc w:val="right"/>
            </w:pPr>
            <w:r>
              <w:t>254</w:t>
            </w:r>
          </w:p>
        </w:tc>
      </w:tr>
      <w:tr>
        <w:tc>
          <w:p>
            <w:pPr>
              <w:pStyle w:val="TableText"/>
              <w:jc w:val="left"/>
            </w:pPr>
            <w:r>
              <w:t>Apr 2015 - Mar 2016</w:t>
            </w:r>
          </w:p>
        </w:tc>
        <w:tc>
          <w:p>
            <w:pPr>
              <w:pStyle w:val="TableText"/>
              <w:jc w:val="right"/>
            </w:pPr>
            <w:r>
              <w:t>301</w:t>
            </w:r>
          </w:p>
        </w:tc>
      </w:tr>
      <w:tr>
        <w:tc>
          <w:p>
            <w:pPr>
              <w:pStyle w:val="TableText"/>
              <w:jc w:val="left"/>
            </w:pPr>
            <w:r>
              <w:t>Apr 2016 - Mar 2017</w:t>
            </w:r>
          </w:p>
        </w:tc>
        <w:tc>
          <w:p>
            <w:pPr>
              <w:pStyle w:val="TableText"/>
              <w:jc w:val="right"/>
            </w:pPr>
            <w:r>
              <w:t>348</w:t>
            </w:r>
          </w:p>
        </w:tc>
      </w:tr>
      <w:tr>
        <w:tc>
          <w:p>
            <w:pPr>
              <w:pStyle w:val="TableText"/>
              <w:jc w:val="left"/>
            </w:pPr>
            <w:r>
              <w:t>Apr 2017 - Mar 2018</w:t>
            </w:r>
          </w:p>
        </w:tc>
        <w:tc>
          <w:p>
            <w:pPr>
              <w:pStyle w:val="TableText"/>
              <w:jc w:val="right"/>
            </w:pPr>
            <w:r>
              <w:t>357</w:t>
            </w:r>
          </w:p>
        </w:tc>
      </w:tr>
      <w:tr>
        <w:tc>
          <w:p>
            <w:pPr>
              <w:pStyle w:val="TableText"/>
              <w:jc w:val="left"/>
            </w:pPr>
            <w:r>
              <w:t>Apr 2018 - Mar 2019</w:t>
            </w:r>
          </w:p>
        </w:tc>
        <w:tc>
          <w:p>
            <w:pPr>
              <w:pStyle w:val="TableText"/>
              <w:jc w:val="right"/>
            </w:pPr>
            <w:r>
              <w:t>346</w:t>
            </w:r>
          </w:p>
        </w:tc>
      </w:tr>
      <w:tr>
        <w:tc>
          <w:p>
            <w:pPr>
              <w:pStyle w:val="TableText"/>
              <w:jc w:val="left"/>
            </w:pPr>
            <w:r>
              <w:t>Apr 2019 - Mar 2020</w:t>
            </w:r>
          </w:p>
        </w:tc>
        <w:tc>
          <w:p>
            <w:pPr>
              <w:pStyle w:val="TableText"/>
              <w:jc w:val="right"/>
            </w:pPr>
            <w:r>
              <w:t>314</w:t>
            </w:r>
          </w:p>
        </w:tc>
      </w:tr>
      <w:tr>
        <w:tc>
          <w:p>
            <w:pPr>
              <w:pStyle w:val="TableText"/>
              <w:jc w:val="left"/>
            </w:pPr>
            <w:r>
              <w:t>Apr 2020- Mar 2021</w:t>
            </w:r>
          </w:p>
        </w:tc>
        <w:tc>
          <w:p>
            <w:pPr>
              <w:pStyle w:val="TableText"/>
              <w:jc w:val="right"/>
            </w:pPr>
            <w:r>
              <w:t>245</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6">
        <w:r>
          <w:rPr>
            <w:rFonts w:ascii="Arial" w:hAnsi="Arial" w:eastAsia="Arial" w:cs="Arial"/>
            <w:i w:val="false"/>
            <w:b w:val="false"/>
            <w:u w:val="none"/>
            <w:sz w:val="18"/>
            <w:szCs w:val="18"/>
            <w:color w:val="000000"/>
          </w:rPr>
          <w:t xml:space="preserve">Proven reoffending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00">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Reduce reoffending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Proven reoffending rate</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Proportion of all offenders who reoffend (%). This latest offender cohort period overlaps with operational restrictions imposed due to the COVID-19 pandemic and a period of on-going recovery for the courts. As a result, volatility continues to be seen in the reoffending figures, with overall proven reoffending down from the same quarter last year but up from the previous quarter.</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Apr - Jun 2021 is 24.8%, up 0.5ppt from Jan - Mar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7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101"/>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Jul - Sep 2019</w:t>
            </w:r>
          </w:p>
        </w:tc>
        <w:tc>
          <w:p>
            <w:pPr>
              <w:pStyle w:val="TableText"/>
              <w:jc w:val="right"/>
            </w:pPr>
            <w:r>
              <w:t>26.0%</w:t>
            </w:r>
          </w:p>
        </w:tc>
      </w:tr>
      <w:tr>
        <w:tc>
          <w:p>
            <w:pPr>
              <w:pStyle w:val="TableText"/>
              <w:jc w:val="left"/>
            </w:pPr>
            <w:r>
              <w:t>Oct - Dec 2019</w:t>
            </w:r>
          </w:p>
        </w:tc>
        <w:tc>
          <w:p>
            <w:pPr>
              <w:pStyle w:val="TableText"/>
              <w:jc w:val="right"/>
            </w:pPr>
            <w:r>
              <w:t>25.2%</w:t>
            </w:r>
          </w:p>
        </w:tc>
      </w:tr>
      <w:tr>
        <w:tc>
          <w:p>
            <w:pPr>
              <w:pStyle w:val="TableText"/>
              <w:jc w:val="left"/>
            </w:pPr>
            <w:r>
              <w:t>Jan - Mar 2020</w:t>
            </w:r>
          </w:p>
        </w:tc>
        <w:tc>
          <w:p>
            <w:pPr>
              <w:pStyle w:val="TableText"/>
              <w:jc w:val="right"/>
            </w:pPr>
            <w:r>
              <w:t>24.7%</w:t>
            </w:r>
          </w:p>
        </w:tc>
      </w:tr>
      <w:tr>
        <w:tc>
          <w:p>
            <w:pPr>
              <w:pStyle w:val="TableText"/>
              <w:jc w:val="left"/>
            </w:pPr>
            <w:r>
              <w:t>Apr - Jun 2020</w:t>
            </w:r>
          </w:p>
        </w:tc>
        <w:tc>
          <w:p>
            <w:pPr>
              <w:pStyle w:val="TableText"/>
              <w:jc w:val="right"/>
            </w:pPr>
            <w:r>
              <w:t>29.0%</w:t>
            </w:r>
          </w:p>
        </w:tc>
      </w:tr>
      <w:tr>
        <w:tc>
          <w:p>
            <w:pPr>
              <w:pStyle w:val="TableText"/>
              <w:jc w:val="left"/>
            </w:pPr>
            <w:r>
              <w:t>Jul - Sep 2020</w:t>
            </w:r>
          </w:p>
        </w:tc>
        <w:tc>
          <w:p>
            <w:pPr>
              <w:pStyle w:val="TableText"/>
              <w:jc w:val="right"/>
            </w:pPr>
            <w:r>
              <w:t>23.5%</w:t>
            </w:r>
          </w:p>
        </w:tc>
      </w:tr>
      <w:tr>
        <w:tc>
          <w:p>
            <w:pPr>
              <w:pStyle w:val="TableText"/>
              <w:jc w:val="left"/>
            </w:pPr>
            <w:r>
              <w:t>Oct - Dec 2020</w:t>
            </w:r>
          </w:p>
        </w:tc>
        <w:tc>
          <w:p>
            <w:pPr>
              <w:pStyle w:val="TableText"/>
              <w:jc w:val="right"/>
            </w:pPr>
            <w:r>
              <w:t>23.1%</w:t>
            </w:r>
          </w:p>
        </w:tc>
      </w:tr>
      <w:tr>
        <w:tc>
          <w:p>
            <w:pPr>
              <w:pStyle w:val="TableText"/>
              <w:jc w:val="left"/>
            </w:pPr>
            <w:r>
              <w:t>Jan - Mar 2021</w:t>
            </w:r>
          </w:p>
        </w:tc>
        <w:tc>
          <w:p>
            <w:pPr>
              <w:pStyle w:val="TableText"/>
              <w:jc w:val="right"/>
            </w:pPr>
            <w:r>
              <w:t>24.3%</w:t>
            </w:r>
          </w:p>
        </w:tc>
      </w:tr>
      <w:tr>
        <w:tc>
          <w:p>
            <w:pPr>
              <w:pStyle w:val="TableText"/>
              <w:jc w:val="left"/>
            </w:pPr>
            <w:r>
              <w:t>Apr - Jun 2021</w:t>
            </w:r>
          </w:p>
        </w:tc>
        <w:tc>
          <w:p>
            <w:pPr>
              <w:pStyle w:val="TableText"/>
              <w:jc w:val="right"/>
            </w:pPr>
            <w:r>
              <w:t>24.8%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6">
        <w:r>
          <w:rPr>
            <w:rFonts w:ascii="Arial" w:hAnsi="Arial" w:eastAsia="Arial" w:cs="Arial"/>
            <w:i w:val="false"/>
            <w:b w:val="false"/>
            <w:u w:val="none"/>
            <w:sz w:val="18"/>
            <w:szCs w:val="18"/>
            <w:color w:val="000000"/>
          </w:rPr>
          <w:t xml:space="preserve">Proven reoffending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27">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Housed on release from custody (SL014)</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proportion of individuals in settled or temporary accommodation on the night of release from custody.</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Jan-Mar 2022  is 77.6%, up 1.2ppt from Oct-Dec 2021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8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102"/>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Jul-Sep 2021 </w:t>
            </w:r>
          </w:p>
        </w:tc>
        <w:tc>
          <w:p>
            <w:pPr>
              <w:pStyle w:val="TableText"/>
              <w:jc w:val="right"/>
            </w:pPr>
            <w:r>
              <w:t>67.7%</w:t>
            </w:r>
          </w:p>
        </w:tc>
      </w:tr>
      <w:tr>
        <w:tc>
          <w:p>
            <w:pPr>
              <w:pStyle w:val="TableText"/>
              <w:jc w:val="left"/>
            </w:pPr>
            <w:r>
              <w:t>Oct-Dec 2021 </w:t>
            </w:r>
          </w:p>
        </w:tc>
        <w:tc>
          <w:p>
            <w:pPr>
              <w:pStyle w:val="TableText"/>
              <w:jc w:val="right"/>
            </w:pPr>
            <w:r>
              <w:t>76.4%</w:t>
            </w:r>
          </w:p>
        </w:tc>
      </w:tr>
      <w:tr>
        <w:tc>
          <w:p>
            <w:pPr>
              <w:pStyle w:val="TableText"/>
              <w:jc w:val="left"/>
            </w:pPr>
            <w:r>
              <w:t>Jan-Mar 2022 </w:t>
            </w:r>
          </w:p>
        </w:tc>
        <w:tc>
          <w:p>
            <w:pPr>
              <w:pStyle w:val="TableText"/>
              <w:jc w:val="right"/>
            </w:pPr>
            <w:r>
              <w:t>77.6%</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26 August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03">
        <w:r>
          <w:rPr>
            <w:rFonts w:ascii="Arial" w:hAnsi="Arial" w:eastAsia="Arial" w:cs="Arial"/>
            <w:i w:val="false"/>
            <w:b w:val="false"/>
            <w:u w:val="none"/>
            <w:sz w:val="18"/>
            <w:szCs w:val="18"/>
            <w:color w:val="000000"/>
          </w:rPr>
          <w:t xml:space="preserve">Community performance annual</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04">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Settled accommodation at 3 months post release from custody (SL015a)</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proportion of individuals in settled accommodation at three months post release for custodial sentences.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Jan-Mar 2022  is 71.0%, up 3.1ppt from Oct-Dec 2021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8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105"/>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Jul-Sep 2021 </w:t>
            </w:r>
          </w:p>
        </w:tc>
        <w:tc>
          <w:p>
            <w:pPr>
              <w:pStyle w:val="TableText"/>
              <w:jc w:val="right"/>
            </w:pPr>
            <w:r>
              <w:t>67.8%</w:t>
            </w:r>
          </w:p>
        </w:tc>
      </w:tr>
      <w:tr>
        <w:tc>
          <w:p>
            <w:pPr>
              <w:pStyle w:val="TableText"/>
              <w:jc w:val="left"/>
            </w:pPr>
            <w:r>
              <w:t>Oct-Dec 2021 </w:t>
            </w:r>
          </w:p>
        </w:tc>
        <w:tc>
          <w:p>
            <w:pPr>
              <w:pStyle w:val="TableText"/>
              <w:jc w:val="right"/>
            </w:pPr>
            <w:r>
              <w:t>67.9%</w:t>
            </w:r>
          </w:p>
        </w:tc>
      </w:tr>
      <w:tr>
        <w:tc>
          <w:p>
            <w:pPr>
              <w:pStyle w:val="TableText"/>
              <w:jc w:val="left"/>
            </w:pPr>
            <w:r>
              <w:t>Jan-Mar 2022 </w:t>
            </w:r>
          </w:p>
        </w:tc>
        <w:tc>
          <w:p>
            <w:pPr>
              <w:pStyle w:val="TableText"/>
              <w:jc w:val="right"/>
            </w:pPr>
            <w:r>
              <w:t>71.0%</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26 August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03">
        <w:r>
          <w:rPr>
            <w:rFonts w:ascii="Arial" w:hAnsi="Arial" w:eastAsia="Arial" w:cs="Arial"/>
            <w:i w:val="false"/>
            <w:b w:val="false"/>
            <w:u w:val="none"/>
            <w:sz w:val="18"/>
            <w:szCs w:val="18"/>
            <w:color w:val="000000"/>
          </w:rPr>
          <w:t xml:space="preserve">Community performance annual</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06">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Settled accommodation at 3 months post community (SL015b)</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proportion of individuals in settled accommodation at three months post disposal for community sentences.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Jan-Mar 2022  is 80.8%, up 2.1ppt from Oct-Dec 2021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8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107"/>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Jul-Sep 2021 </w:t>
            </w:r>
          </w:p>
        </w:tc>
        <w:tc>
          <w:p>
            <w:pPr>
              <w:pStyle w:val="TableText"/>
              <w:jc w:val="right"/>
            </w:pPr>
            <w:r>
              <w:t>74.9%</w:t>
            </w:r>
          </w:p>
        </w:tc>
      </w:tr>
      <w:tr>
        <w:tc>
          <w:p>
            <w:pPr>
              <w:pStyle w:val="TableText"/>
              <w:jc w:val="left"/>
            </w:pPr>
            <w:r>
              <w:t>Oct-Dec 2021 </w:t>
            </w:r>
          </w:p>
        </w:tc>
        <w:tc>
          <w:p>
            <w:pPr>
              <w:pStyle w:val="TableText"/>
              <w:jc w:val="right"/>
            </w:pPr>
            <w:r>
              <w:t>78.7%</w:t>
            </w:r>
          </w:p>
        </w:tc>
      </w:tr>
      <w:tr>
        <w:tc>
          <w:p>
            <w:pPr>
              <w:pStyle w:val="TableText"/>
              <w:jc w:val="left"/>
            </w:pPr>
            <w:r>
              <w:t>Jan-Mar 2022 </w:t>
            </w:r>
          </w:p>
        </w:tc>
        <w:tc>
          <w:p>
            <w:pPr>
              <w:pStyle w:val="TableText"/>
              <w:jc w:val="right"/>
            </w:pPr>
            <w:r>
              <w:t>80.8%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26 August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03">
        <w:r>
          <w:rPr>
            <w:rFonts w:ascii="Arial" w:hAnsi="Arial" w:eastAsia="Arial" w:cs="Arial"/>
            <w:i w:val="false"/>
            <w:b w:val="false"/>
            <w:u w:val="none"/>
            <w:sz w:val="18"/>
            <w:szCs w:val="18"/>
            <w:color w:val="000000"/>
          </w:rPr>
          <w:t xml:space="preserve">Community performance annual</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08">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Employed at 6 weeks post release from custody (SL016)</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proportion of individuals in employment at six weeks after release from custody.</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Jan-Mar 2022  is 12.7%, up 0.8ppt from Oct-Dec 2021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8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109"/>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Jul-Sep 2021 </w:t>
            </w:r>
          </w:p>
        </w:tc>
        <w:tc>
          <w:p>
            <w:pPr>
              <w:pStyle w:val="TableText"/>
              <w:jc w:val="right"/>
            </w:pPr>
            <w:r>
              <w:t>9.7%</w:t>
            </w:r>
          </w:p>
        </w:tc>
      </w:tr>
      <w:tr>
        <w:tc>
          <w:p>
            <w:pPr>
              <w:pStyle w:val="TableText"/>
              <w:jc w:val="left"/>
            </w:pPr>
            <w:r>
              <w:t>Oct-Dec 2021 </w:t>
            </w:r>
          </w:p>
        </w:tc>
        <w:tc>
          <w:p>
            <w:pPr>
              <w:pStyle w:val="TableText"/>
              <w:jc w:val="right"/>
            </w:pPr>
            <w:r>
              <w:t>11.9%</w:t>
            </w:r>
          </w:p>
        </w:tc>
      </w:tr>
      <w:tr>
        <w:tc>
          <w:p>
            <w:pPr>
              <w:pStyle w:val="TableText"/>
              <w:jc w:val="left"/>
            </w:pPr>
            <w:r>
              <w:t>Jan-Mar 2022 </w:t>
            </w:r>
          </w:p>
        </w:tc>
        <w:tc>
          <w:p>
            <w:pPr>
              <w:pStyle w:val="TableText"/>
              <w:jc w:val="right"/>
            </w:pPr>
            <w:r>
              <w:t>12.7%</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26 August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03">
        <w:r>
          <w:rPr>
            <w:rFonts w:ascii="Arial" w:hAnsi="Arial" w:eastAsia="Arial" w:cs="Arial"/>
            <w:i w:val="false"/>
            <w:b w:val="false"/>
            <w:u w:val="none"/>
            <w:sz w:val="18"/>
            <w:szCs w:val="18"/>
            <w:color w:val="000000"/>
          </w:rPr>
          <w:t xml:space="preserve">Community performance annual</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10">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Employed at 6 months post release from custody (SL017a)</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proportion of individuals in employment at six months post release for custodial sentences.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Jan-Mar 2022  is 19.8%, up 3.2ppt from Oct-Dec 2021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8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111"/>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Jul-Sep 2021 </w:t>
            </w:r>
          </w:p>
        </w:tc>
        <w:tc>
          <w:p>
            <w:pPr>
              <w:pStyle w:val="TableText"/>
              <w:jc w:val="right"/>
            </w:pPr>
            <w:r>
              <w:t>12.4%</w:t>
            </w:r>
          </w:p>
        </w:tc>
      </w:tr>
      <w:tr>
        <w:tc>
          <w:p>
            <w:pPr>
              <w:pStyle w:val="TableText"/>
              <w:jc w:val="left"/>
            </w:pPr>
            <w:r>
              <w:t>Oct-Dec 2021 </w:t>
            </w:r>
          </w:p>
        </w:tc>
        <w:tc>
          <w:p>
            <w:pPr>
              <w:pStyle w:val="TableText"/>
              <w:jc w:val="right"/>
            </w:pPr>
            <w:r>
              <w:t>16.6%</w:t>
            </w:r>
          </w:p>
        </w:tc>
      </w:tr>
      <w:tr>
        <w:tc>
          <w:p>
            <w:pPr>
              <w:pStyle w:val="TableText"/>
              <w:jc w:val="left"/>
            </w:pPr>
            <w:r>
              <w:t>Jan-Mar 2022 </w:t>
            </w:r>
          </w:p>
        </w:tc>
        <w:tc>
          <w:p>
            <w:pPr>
              <w:pStyle w:val="TableText"/>
              <w:jc w:val="right"/>
            </w:pPr>
            <w:r>
              <w:t>19.8%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26 August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03">
        <w:r>
          <w:rPr>
            <w:rFonts w:ascii="Arial" w:hAnsi="Arial" w:eastAsia="Arial" w:cs="Arial"/>
            <w:i w:val="false"/>
            <w:b w:val="false"/>
            <w:u w:val="none"/>
            <w:sz w:val="18"/>
            <w:szCs w:val="18"/>
            <w:color w:val="000000"/>
          </w:rPr>
          <w:t xml:space="preserve">Community performance annual</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12">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Employed at 6 months post community disposal (SL017b)</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proportion of individuals in employment at six months post disposal for community sentences.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Jan-Mar 2022  is 38.9%, up 2.7ppt from Oct-Dec 2021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9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113"/>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Jul-Sep 2021 </w:t>
            </w:r>
          </w:p>
        </w:tc>
        <w:tc>
          <w:p>
            <w:pPr>
              <w:pStyle w:val="TableText"/>
              <w:jc w:val="right"/>
            </w:pPr>
            <w:r>
              <w:t>32.3%</w:t>
            </w:r>
          </w:p>
        </w:tc>
      </w:tr>
      <w:tr>
        <w:tc>
          <w:p>
            <w:pPr>
              <w:pStyle w:val="TableText"/>
              <w:jc w:val="left"/>
            </w:pPr>
            <w:r>
              <w:t>Oct-Dec 2021 </w:t>
            </w:r>
          </w:p>
        </w:tc>
        <w:tc>
          <w:p>
            <w:pPr>
              <w:pStyle w:val="TableText"/>
              <w:jc w:val="right"/>
            </w:pPr>
            <w:r>
              <w:t>36.2%</w:t>
            </w:r>
          </w:p>
        </w:tc>
      </w:tr>
      <w:tr>
        <w:tc>
          <w:p>
            <w:pPr>
              <w:pStyle w:val="TableText"/>
              <w:jc w:val="left"/>
            </w:pPr>
            <w:r>
              <w:t>Jan-Mar 2022 </w:t>
            </w:r>
          </w:p>
        </w:tc>
        <w:tc>
          <w:p>
            <w:pPr>
              <w:pStyle w:val="TableText"/>
              <w:jc w:val="right"/>
            </w:pPr>
            <w:r>
              <w:t>38.9%</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26 August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03">
        <w:r>
          <w:rPr>
            <w:rFonts w:ascii="Arial" w:hAnsi="Arial" w:eastAsia="Arial" w:cs="Arial"/>
            <w:i w:val="false"/>
            <w:b w:val="false"/>
            <w:u w:val="none"/>
            <w:sz w:val="18"/>
            <w:szCs w:val="18"/>
            <w:color w:val="000000"/>
          </w:rPr>
          <w:t xml:space="preserve">Community performance annual</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14">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Random mandatory drug testing (traditional drugs)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percentage of random mandatory drug tests which show drugs to be present, hence a downward trend is positive. This measure excludes tests for new psychoactive substances. The values for 2018/19 onwards are calculated using a new weighted methodology - please refer to the relevant publication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2019-20 is 10.5 %, up 0.1ppt from 2018-19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9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115"/>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2012 to Mar 2013</w:t>
            </w:r>
          </w:p>
        </w:tc>
        <w:tc>
          <w:p>
            <w:pPr>
              <w:pStyle w:val="TableText"/>
              <w:jc w:val="right"/>
            </w:pPr>
            <w:r>
              <w:t>7.2 %</w:t>
            </w:r>
          </w:p>
        </w:tc>
      </w:tr>
      <w:tr>
        <w:tc>
          <w:p>
            <w:pPr>
              <w:pStyle w:val="TableText"/>
              <w:jc w:val="left"/>
            </w:pPr>
            <w:r>
              <w:t>Apr 2013 to Mar 2014</w:t>
            </w:r>
          </w:p>
        </w:tc>
        <w:tc>
          <w:p>
            <w:pPr>
              <w:pStyle w:val="TableText"/>
              <w:jc w:val="right"/>
            </w:pPr>
            <w:r>
              <w:t>7.5 %</w:t>
            </w:r>
          </w:p>
        </w:tc>
      </w:tr>
      <w:tr>
        <w:tc>
          <w:p>
            <w:pPr>
              <w:pStyle w:val="TableText"/>
              <w:jc w:val="left"/>
            </w:pPr>
            <w:r>
              <w:t>Apr 2014 to Mar 2015</w:t>
            </w:r>
          </w:p>
        </w:tc>
        <w:tc>
          <w:p>
            <w:pPr>
              <w:pStyle w:val="TableText"/>
              <w:jc w:val="right"/>
            </w:pPr>
            <w:r>
              <w:t>7.0 %</w:t>
            </w:r>
          </w:p>
        </w:tc>
      </w:tr>
      <w:tr>
        <w:tc>
          <w:p>
            <w:pPr>
              <w:pStyle w:val="TableText"/>
              <w:jc w:val="left"/>
            </w:pPr>
            <w:r>
              <w:t>Apr 2015 to Mar 2016</w:t>
            </w:r>
          </w:p>
        </w:tc>
        <w:tc>
          <w:p>
            <w:pPr>
              <w:pStyle w:val="TableText"/>
              <w:jc w:val="right"/>
            </w:pPr>
            <w:r>
              <w:t>7.8 %</w:t>
            </w:r>
          </w:p>
        </w:tc>
      </w:tr>
      <w:tr>
        <w:tc>
          <w:p>
            <w:pPr>
              <w:pStyle w:val="TableText"/>
              <w:jc w:val="left"/>
            </w:pPr>
            <w:r>
              <w:t>Apr 2016 to Mar 2017</w:t>
            </w:r>
          </w:p>
        </w:tc>
        <w:tc>
          <w:p>
            <w:pPr>
              <w:pStyle w:val="TableText"/>
              <w:jc w:val="right"/>
            </w:pPr>
            <w:r>
              <w:t>9.3 %</w:t>
            </w:r>
          </w:p>
        </w:tc>
      </w:tr>
      <w:tr>
        <w:tc>
          <w:p>
            <w:pPr>
              <w:pStyle w:val="TableText"/>
              <w:jc w:val="left"/>
            </w:pPr>
            <w:r>
              <w:t>Apr 2017 to Mar 2018</w:t>
            </w:r>
          </w:p>
        </w:tc>
        <w:tc>
          <w:p>
            <w:pPr>
              <w:pStyle w:val="TableText"/>
              <w:jc w:val="right"/>
            </w:pPr>
            <w:r>
              <w:t>10.9 %</w:t>
            </w:r>
          </w:p>
        </w:tc>
      </w:tr>
      <w:tr>
        <w:tc>
          <w:p>
            <w:pPr>
              <w:pStyle w:val="TableText"/>
              <w:jc w:val="left"/>
            </w:pPr>
            <w:r>
              <w:t>Apr 2018 to Mar 2019</w:t>
            </w:r>
          </w:p>
        </w:tc>
        <w:tc>
          <w:p>
            <w:pPr>
              <w:pStyle w:val="TableText"/>
              <w:jc w:val="right"/>
            </w:pPr>
            <w:r>
              <w:t>10.4 %</w:t>
            </w:r>
          </w:p>
        </w:tc>
      </w:tr>
      <w:tr>
        <w:tc>
          <w:p>
            <w:pPr>
              <w:pStyle w:val="TableText"/>
              <w:jc w:val="left"/>
            </w:pPr>
            <w:r>
              <w:t>Apr 2019 to Mar 2020</w:t>
            </w:r>
          </w:p>
        </w:tc>
        <w:tc>
          <w:p>
            <w:pPr>
              <w:pStyle w:val="TableText"/>
              <w:jc w:val="right"/>
            </w:pPr>
            <w:r>
              <w:t>10.5 %</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July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9">
        <w:r>
          <w:rPr>
            <w:rFonts w:ascii="Arial" w:hAnsi="Arial" w:eastAsia="Arial" w:cs="Arial"/>
            <w:i w:val="false"/>
            <w:b w:val="false"/>
            <w:u w:val="none"/>
            <w:sz w:val="18"/>
            <w:szCs w:val="18"/>
            <w:color w:val="000000"/>
          </w:rPr>
          <w:t xml:space="preserve">HM Prison and Probation Service annual digest</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81">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Random mandatory drug testing - new psychoactive substances only</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percentage of random mandatory drug tests which show drugs to be present, hence a downward trend is positive. This measure includes tests for new psychoactive substances ("NPS"), as defined in the Psychoactive Substances Act 2016. Note this measure replaces "random mandatory drug testing including new psychoactive substances".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2019-20 is 4.3 %, down 4.7ppt from 2018-19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9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116"/>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2017 to Mar 2018</w:t>
            </w:r>
          </w:p>
        </w:tc>
        <w:tc>
          <w:p>
            <w:pPr>
              <w:pStyle w:val="TableText"/>
              <w:jc w:val="right"/>
            </w:pPr>
            <w:r>
              <w:t>12.9 %</w:t>
            </w:r>
          </w:p>
        </w:tc>
      </w:tr>
      <w:tr>
        <w:tc>
          <w:p>
            <w:pPr>
              <w:pStyle w:val="TableText"/>
              <w:jc w:val="left"/>
            </w:pPr>
            <w:r>
              <w:t>Apr 2018 to Mar 2019</w:t>
            </w:r>
          </w:p>
        </w:tc>
        <w:tc>
          <w:p>
            <w:pPr>
              <w:pStyle w:val="TableText"/>
              <w:jc w:val="right"/>
            </w:pPr>
            <w:r>
              <w:t>9.0 %</w:t>
            </w:r>
          </w:p>
        </w:tc>
      </w:tr>
      <w:tr>
        <w:tc>
          <w:p>
            <w:pPr>
              <w:pStyle w:val="TableText"/>
              <w:jc w:val="left"/>
            </w:pPr>
            <w:r>
              <w:t>Apr 2019 to Mar 2020</w:t>
            </w:r>
          </w:p>
        </w:tc>
        <w:tc>
          <w:p>
            <w:pPr>
              <w:pStyle w:val="TableText"/>
              <w:jc w:val="right"/>
            </w:pPr>
            <w:r>
              <w:t>4.3 %</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July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9">
        <w:r>
          <w:rPr>
            <w:rFonts w:ascii="Arial" w:hAnsi="Arial" w:eastAsia="Arial" w:cs="Arial"/>
            <w:i w:val="false"/>
            <w:b w:val="false"/>
            <w:u w:val="none"/>
            <w:sz w:val="18"/>
            <w:szCs w:val="18"/>
            <w:color w:val="000000"/>
          </w:rPr>
          <w:t xml:space="preserve">HM Prison and Probation Service annual digest</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81">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Prisoners completing treatment free from dependence</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percentage of adults exiting treatment free from dependence on drugs or alcohol.</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2020-21 is 32.5%, up 6.2ppt from 2019-20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9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118"/>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2015 - Mar 2016</w:t>
            </w:r>
          </w:p>
        </w:tc>
        <w:tc>
          <w:p>
            <w:pPr>
              <w:pStyle w:val="TableText"/>
              <w:jc w:val="right"/>
            </w:pPr>
            <w:r>
              <w:t>22.9%</w:t>
            </w:r>
          </w:p>
        </w:tc>
      </w:tr>
      <w:tr>
        <w:tc>
          <w:p>
            <w:pPr>
              <w:pStyle w:val="TableText"/>
              <w:jc w:val="left"/>
            </w:pPr>
            <w:r>
              <w:t>Apr 2016 - Mar 2017</w:t>
            </w:r>
          </w:p>
        </w:tc>
        <w:tc>
          <w:p>
            <w:pPr>
              <w:pStyle w:val="TableText"/>
              <w:jc w:val="right"/>
            </w:pPr>
            <w:r>
              <w:t>27.0%</w:t>
            </w:r>
          </w:p>
        </w:tc>
      </w:tr>
      <w:tr>
        <w:tc>
          <w:p>
            <w:pPr>
              <w:pStyle w:val="TableText"/>
              <w:jc w:val="left"/>
            </w:pPr>
            <w:r>
              <w:t>Apr 2017 - Mar 2018</w:t>
            </w:r>
          </w:p>
        </w:tc>
        <w:tc>
          <w:p>
            <w:pPr>
              <w:pStyle w:val="TableText"/>
              <w:jc w:val="right"/>
            </w:pPr>
            <w:r>
              <w:t>29.7%</w:t>
            </w:r>
          </w:p>
        </w:tc>
      </w:tr>
      <w:tr>
        <w:tc>
          <w:p>
            <w:pPr>
              <w:pStyle w:val="TableText"/>
              <w:jc w:val="left"/>
            </w:pPr>
            <w:r>
              <w:t>Apr 2018 - Mar 2019</w:t>
            </w:r>
          </w:p>
        </w:tc>
        <w:tc>
          <w:p>
            <w:pPr>
              <w:pStyle w:val="TableText"/>
              <w:jc w:val="right"/>
            </w:pPr>
            <w:r>
              <w:t>27.2%</w:t>
            </w:r>
          </w:p>
        </w:tc>
      </w:tr>
      <w:tr>
        <w:tc>
          <w:p>
            <w:pPr>
              <w:pStyle w:val="TableText"/>
              <w:jc w:val="left"/>
            </w:pPr>
            <w:r>
              <w:t>Apr 2019 - Mar 2020</w:t>
            </w:r>
          </w:p>
        </w:tc>
        <w:tc>
          <w:p>
            <w:pPr>
              <w:pStyle w:val="TableText"/>
              <w:jc w:val="right"/>
            </w:pPr>
            <w:r>
              <w:t>26.3%</w:t>
            </w:r>
          </w:p>
        </w:tc>
      </w:tr>
      <w:tr>
        <w:tc>
          <w:p>
            <w:pPr>
              <w:pStyle w:val="TableText"/>
              <w:jc w:val="left"/>
            </w:pPr>
            <w:r>
              <w:t>Apr 2020 - Mar 2021</w:t>
            </w:r>
          </w:p>
        </w:tc>
        <w:tc>
          <w:p>
            <w:pPr>
              <w:pStyle w:val="TableText"/>
              <w:jc w:val="right"/>
            </w:pPr>
            <w:r>
              <w:t>32.5%</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January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19">
        <w:r>
          <w:rPr>
            <w:rFonts w:ascii="Arial" w:hAnsi="Arial" w:eastAsia="Arial" w:cs="Arial"/>
            <w:i w:val="false"/>
            <w:b w:val="false"/>
            <w:u w:val="none"/>
            <w:sz w:val="18"/>
            <w:szCs w:val="18"/>
            <w:color w:val="000000"/>
          </w:rPr>
          <w:t xml:space="preserve">Alcohol and drug treatment statistics: prisons and secure settings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20">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Access to justice</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Crown court disposals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 count of the number of cases only when all the offences have been completed (following a validation process) in the reporting period. Disposals figures in this report may change if the case results are entered after the first collation of the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91,609, down 4,159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9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121"/>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130,757</w:t>
            </w:r>
          </w:p>
        </w:tc>
      </w:tr>
      <w:tr>
        <w:tc>
          <w:p>
            <w:pPr>
              <w:pStyle w:val="TableText"/>
              <w:jc w:val="left"/>
            </w:pPr>
            <w:r>
              <w:t>Jan - Dec 2016</w:t>
            </w:r>
          </w:p>
        </w:tc>
        <w:tc>
          <w:p>
            <w:pPr>
              <w:pStyle w:val="TableText"/>
              <w:jc w:val="right"/>
            </w:pPr>
            <w:r>
              <w:t>123,218</w:t>
            </w:r>
          </w:p>
        </w:tc>
      </w:tr>
      <w:tr>
        <w:tc>
          <w:p>
            <w:pPr>
              <w:pStyle w:val="TableText"/>
              <w:jc w:val="left"/>
            </w:pPr>
            <w:r>
              <w:t>Jan - Dec 2017</w:t>
            </w:r>
          </w:p>
        </w:tc>
        <w:tc>
          <w:p>
            <w:pPr>
              <w:pStyle w:val="TableText"/>
              <w:jc w:val="right"/>
            </w:pPr>
            <w:r>
              <w:t>115,703</w:t>
            </w:r>
          </w:p>
        </w:tc>
      </w:tr>
      <w:tr>
        <w:tc>
          <w:p>
            <w:pPr>
              <w:pStyle w:val="TableText"/>
              <w:jc w:val="left"/>
            </w:pPr>
            <w:r>
              <w:t>Jan - Dec 2018</w:t>
            </w:r>
          </w:p>
        </w:tc>
        <w:tc>
          <w:p>
            <w:pPr>
              <w:pStyle w:val="TableText"/>
              <w:jc w:val="right"/>
            </w:pPr>
            <w:r>
              <w:t>105,751</w:t>
            </w:r>
          </w:p>
        </w:tc>
      </w:tr>
      <w:tr>
        <w:tc>
          <w:p>
            <w:pPr>
              <w:pStyle w:val="TableText"/>
              <w:jc w:val="left"/>
            </w:pPr>
            <w:r>
              <w:t>Jan - Dec 2019</w:t>
            </w:r>
          </w:p>
        </w:tc>
        <w:tc>
          <w:p>
            <w:pPr>
              <w:pStyle w:val="TableText"/>
              <w:jc w:val="right"/>
            </w:pPr>
            <w:r>
              <w:t>99,630</w:t>
            </w:r>
          </w:p>
        </w:tc>
      </w:tr>
      <w:tr>
        <w:tc>
          <w:p>
            <w:pPr>
              <w:pStyle w:val="TableText"/>
              <w:jc w:val="left"/>
            </w:pPr>
            <w:r>
              <w:t>Jan - Dec 2020</w:t>
            </w:r>
          </w:p>
        </w:tc>
        <w:tc>
          <w:p>
            <w:pPr>
              <w:pStyle w:val="TableText"/>
              <w:jc w:val="right"/>
            </w:pPr>
            <w:r>
              <w:t>78,202</w:t>
            </w:r>
          </w:p>
        </w:tc>
      </w:tr>
      <w:tr>
        <w:tc>
          <w:p>
            <w:pPr>
              <w:pStyle w:val="TableText"/>
              <w:jc w:val="left"/>
            </w:pPr>
            <w:r>
              <w:t>Jan - Dec 2021</w:t>
            </w:r>
          </w:p>
        </w:tc>
        <w:tc>
          <w:p>
            <w:pPr>
              <w:pStyle w:val="TableText"/>
              <w:jc w:val="right"/>
            </w:pPr>
            <w:r>
              <w:t>95,768</w:t>
            </w:r>
          </w:p>
        </w:tc>
      </w:tr>
      <w:tr>
        <w:tc>
          <w:p>
            <w:pPr>
              <w:pStyle w:val="TableText"/>
              <w:jc w:val="left"/>
            </w:pPr>
            <w:r>
              <w:t>Jan - Dec 2022</w:t>
            </w:r>
          </w:p>
        </w:tc>
        <w:tc>
          <w:p>
            <w:pPr>
              <w:pStyle w:val="TableText"/>
              <w:jc w:val="right"/>
            </w:pPr>
            <w:r>
              <w:t>91,609</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30">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Crown court outstanding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 count of all cases where one or more offence remains incomplete. The data is a snapshot based on outstanding cases on the final day of the reporting period. This is a count of live cases on the system and is not a calculation based on receipts and disposals. Transferred cases may be double counted for a period while they show in both sending and receiving courts; offences subsequently entered in error may change the categorisation of the case.</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31 Dec 2022 is 62,511, up 4,123 from 31 Dec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0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122"/>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31 Dec 2015</w:t>
            </w:r>
          </w:p>
        </w:tc>
        <w:tc>
          <w:p>
            <w:pPr>
              <w:pStyle w:val="TableText"/>
              <w:jc w:val="right"/>
            </w:pPr>
            <w:r>
              <w:t>51,585</w:t>
            </w:r>
          </w:p>
        </w:tc>
      </w:tr>
      <w:tr>
        <w:tc>
          <w:p>
            <w:pPr>
              <w:pStyle w:val="TableText"/>
              <w:jc w:val="left"/>
            </w:pPr>
            <w:r>
              <w:t>31 Dec 2016</w:t>
            </w:r>
          </w:p>
        </w:tc>
        <w:tc>
          <w:p>
            <w:pPr>
              <w:pStyle w:val="TableText"/>
              <w:jc w:val="right"/>
            </w:pPr>
            <w:r>
              <w:t>42,942</w:t>
            </w:r>
          </w:p>
        </w:tc>
      </w:tr>
      <w:tr>
        <w:tc>
          <w:p>
            <w:pPr>
              <w:pStyle w:val="TableText"/>
              <w:jc w:val="left"/>
            </w:pPr>
            <w:r>
              <w:t>31 Dec 2017</w:t>
            </w:r>
          </w:p>
        </w:tc>
        <w:tc>
          <w:p>
            <w:pPr>
              <w:pStyle w:val="TableText"/>
              <w:jc w:val="right"/>
            </w:pPr>
            <w:r>
              <w:t>38,828</w:t>
            </w:r>
          </w:p>
        </w:tc>
      </w:tr>
      <w:tr>
        <w:tc>
          <w:p>
            <w:pPr>
              <w:pStyle w:val="TableText"/>
              <w:jc w:val="left"/>
            </w:pPr>
            <w:r>
              <w:t>31 Dec 2018</w:t>
            </w:r>
          </w:p>
        </w:tc>
        <w:tc>
          <w:p>
            <w:pPr>
              <w:pStyle w:val="TableText"/>
              <w:jc w:val="right"/>
            </w:pPr>
            <w:r>
              <w:t>32,882</w:t>
            </w:r>
          </w:p>
        </w:tc>
      </w:tr>
      <w:tr>
        <w:tc>
          <w:p>
            <w:pPr>
              <w:pStyle w:val="TableText"/>
              <w:jc w:val="left"/>
            </w:pPr>
            <w:r>
              <w:t>31 Dec 2019</w:t>
            </w:r>
          </w:p>
        </w:tc>
        <w:tc>
          <w:p>
            <w:pPr>
              <w:pStyle w:val="TableText"/>
              <w:jc w:val="right"/>
            </w:pPr>
            <w:r>
              <w:t>37,958</w:t>
            </w:r>
          </w:p>
        </w:tc>
      </w:tr>
      <w:tr>
        <w:tc>
          <w:p>
            <w:pPr>
              <w:pStyle w:val="TableText"/>
              <w:jc w:val="left"/>
            </w:pPr>
            <w:r>
              <w:t>31 Dec 2020</w:t>
            </w:r>
          </w:p>
        </w:tc>
        <w:tc>
          <w:p>
            <w:pPr>
              <w:pStyle w:val="TableText"/>
              <w:jc w:val="right"/>
            </w:pPr>
            <w:r>
              <w:t>56,905</w:t>
            </w:r>
          </w:p>
        </w:tc>
      </w:tr>
      <w:tr>
        <w:tc>
          <w:p>
            <w:pPr>
              <w:pStyle w:val="TableText"/>
              <w:jc w:val="left"/>
            </w:pPr>
            <w:r>
              <w:t>31 Dec 2021</w:t>
            </w:r>
          </w:p>
        </w:tc>
        <w:tc>
          <w:p>
            <w:pPr>
              <w:pStyle w:val="TableText"/>
              <w:jc w:val="right"/>
            </w:pPr>
            <w:r>
              <w:t>58,388</w:t>
            </w:r>
          </w:p>
        </w:tc>
      </w:tr>
      <w:tr>
        <w:tc>
          <w:p>
            <w:pPr>
              <w:pStyle w:val="TableText"/>
              <w:jc w:val="left"/>
            </w:pPr>
            <w:r>
              <w:t>31 Dec 2022</w:t>
            </w:r>
          </w:p>
        </w:tc>
        <w:tc>
          <w:p>
            <w:pPr>
              <w:pStyle w:val="TableText"/>
              <w:jc w:val="right"/>
            </w:pPr>
            <w:r>
              <w:t>62,511</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32">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Crown courts cracked trials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Cracked trials as a percentage of total trials.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26%, down 3ppt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0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123"/>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35%</w:t>
            </w:r>
          </w:p>
        </w:tc>
      </w:tr>
      <w:tr>
        <w:tc>
          <w:p>
            <w:pPr>
              <w:pStyle w:val="TableText"/>
              <w:jc w:val="left"/>
            </w:pPr>
            <w:r>
              <w:t>Jan - Dec 2016</w:t>
            </w:r>
          </w:p>
        </w:tc>
        <w:tc>
          <w:p>
            <w:pPr>
              <w:pStyle w:val="TableText"/>
              <w:jc w:val="right"/>
            </w:pPr>
            <w:r>
              <w:t>34%</w:t>
            </w:r>
          </w:p>
        </w:tc>
      </w:tr>
      <w:tr>
        <w:tc>
          <w:p>
            <w:pPr>
              <w:pStyle w:val="TableText"/>
              <w:jc w:val="left"/>
            </w:pPr>
            <w:r>
              <w:t>Jan - Dec 2017</w:t>
            </w:r>
          </w:p>
        </w:tc>
        <w:tc>
          <w:p>
            <w:pPr>
              <w:pStyle w:val="TableText"/>
              <w:jc w:val="right"/>
            </w:pPr>
            <w:r>
              <w:t>34%</w:t>
            </w:r>
          </w:p>
        </w:tc>
      </w:tr>
      <w:tr>
        <w:tc>
          <w:p>
            <w:pPr>
              <w:pStyle w:val="TableText"/>
              <w:jc w:val="left"/>
            </w:pPr>
            <w:r>
              <w:t>Jan - Dec 2018</w:t>
            </w:r>
          </w:p>
        </w:tc>
        <w:tc>
          <w:p>
            <w:pPr>
              <w:pStyle w:val="TableText"/>
              <w:jc w:val="right"/>
            </w:pPr>
            <w:r>
              <w:t>35%</w:t>
            </w:r>
          </w:p>
        </w:tc>
      </w:tr>
      <w:tr>
        <w:tc>
          <w:p>
            <w:pPr>
              <w:pStyle w:val="TableText"/>
              <w:jc w:val="left"/>
            </w:pPr>
            <w:r>
              <w:t>Jan - Dec 2019</w:t>
            </w:r>
          </w:p>
        </w:tc>
        <w:tc>
          <w:p>
            <w:pPr>
              <w:pStyle w:val="TableText"/>
              <w:jc w:val="right"/>
            </w:pPr>
            <w:r>
              <w:t>34%</w:t>
            </w:r>
          </w:p>
        </w:tc>
      </w:tr>
      <w:tr>
        <w:tc>
          <w:p>
            <w:pPr>
              <w:pStyle w:val="TableText"/>
              <w:jc w:val="left"/>
            </w:pPr>
            <w:r>
              <w:t>Jan - Dec 2020</w:t>
            </w:r>
          </w:p>
        </w:tc>
        <w:tc>
          <w:p>
            <w:pPr>
              <w:pStyle w:val="TableText"/>
              <w:jc w:val="right"/>
            </w:pPr>
            <w:r>
              <w:t>28%</w:t>
            </w:r>
          </w:p>
        </w:tc>
      </w:tr>
      <w:tr>
        <w:tc>
          <w:p>
            <w:pPr>
              <w:pStyle w:val="TableText"/>
              <w:jc w:val="left"/>
            </w:pPr>
            <w:r>
              <w:t>Jan - Dec 2021</w:t>
            </w:r>
          </w:p>
        </w:tc>
        <w:tc>
          <w:p>
            <w:pPr>
              <w:pStyle w:val="TableText"/>
              <w:jc w:val="right"/>
            </w:pPr>
            <w:r>
              <w:t>29%</w:t>
            </w:r>
          </w:p>
        </w:tc>
      </w:tr>
      <w:tr>
        <w:tc>
          <w:p>
            <w:pPr>
              <w:pStyle w:val="TableText"/>
              <w:jc w:val="left"/>
            </w:pPr>
            <w:r>
              <w:t>Jan - Dec 2022</w:t>
            </w:r>
          </w:p>
        </w:tc>
        <w:tc>
          <w:p>
            <w:pPr>
              <w:pStyle w:val="TableText"/>
              <w:jc w:val="right"/>
            </w:pPr>
            <w:r>
              <w:t>26%</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24">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Crown courts ineffective trials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Ineffective trials as a percentage of total trials.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37%, up 13ppt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0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125"/>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15%</w:t>
            </w:r>
          </w:p>
        </w:tc>
      </w:tr>
      <w:tr>
        <w:tc>
          <w:p>
            <w:pPr>
              <w:pStyle w:val="TableText"/>
              <w:jc w:val="left"/>
            </w:pPr>
            <w:r>
              <w:t>Jan - Dec 2016</w:t>
            </w:r>
          </w:p>
        </w:tc>
        <w:tc>
          <w:p>
            <w:pPr>
              <w:pStyle w:val="TableText"/>
              <w:jc w:val="right"/>
            </w:pPr>
            <w:r>
              <w:t>15%</w:t>
            </w:r>
          </w:p>
        </w:tc>
      </w:tr>
      <w:tr>
        <w:tc>
          <w:p>
            <w:pPr>
              <w:pStyle w:val="TableText"/>
              <w:jc w:val="left"/>
            </w:pPr>
            <w:r>
              <w:t>Jan - Dec 2017</w:t>
            </w:r>
          </w:p>
        </w:tc>
        <w:tc>
          <w:p>
            <w:pPr>
              <w:pStyle w:val="TableText"/>
              <w:jc w:val="right"/>
            </w:pPr>
            <w:r>
              <w:t>15%</w:t>
            </w:r>
          </w:p>
        </w:tc>
      </w:tr>
      <w:tr>
        <w:tc>
          <w:p>
            <w:pPr>
              <w:pStyle w:val="TableText"/>
              <w:jc w:val="left"/>
            </w:pPr>
            <w:r>
              <w:t>Jan - Dec 2018</w:t>
            </w:r>
          </w:p>
        </w:tc>
        <w:tc>
          <w:p>
            <w:pPr>
              <w:pStyle w:val="TableText"/>
              <w:jc w:val="right"/>
            </w:pPr>
            <w:r>
              <w:t>14%</w:t>
            </w:r>
          </w:p>
        </w:tc>
      </w:tr>
      <w:tr>
        <w:tc>
          <w:p>
            <w:pPr>
              <w:pStyle w:val="TableText"/>
              <w:jc w:val="left"/>
            </w:pPr>
            <w:r>
              <w:t>Jan - Dec 2019</w:t>
            </w:r>
          </w:p>
        </w:tc>
        <w:tc>
          <w:p>
            <w:pPr>
              <w:pStyle w:val="TableText"/>
              <w:jc w:val="right"/>
            </w:pPr>
            <w:r>
              <w:t>16%</w:t>
            </w:r>
          </w:p>
        </w:tc>
      </w:tr>
      <w:tr>
        <w:tc>
          <w:p>
            <w:pPr>
              <w:pStyle w:val="TableText"/>
              <w:jc w:val="left"/>
            </w:pPr>
            <w:r>
              <w:t>Jan - Dec 2020</w:t>
            </w:r>
          </w:p>
        </w:tc>
        <w:tc>
          <w:p>
            <w:pPr>
              <w:pStyle w:val="TableText"/>
              <w:jc w:val="right"/>
            </w:pPr>
            <w:r>
              <w:t>21%</w:t>
            </w:r>
          </w:p>
        </w:tc>
      </w:tr>
      <w:tr>
        <w:tc>
          <w:p>
            <w:pPr>
              <w:pStyle w:val="TableText"/>
              <w:jc w:val="left"/>
            </w:pPr>
            <w:r>
              <w:t>Jan - Dec 2021</w:t>
            </w:r>
          </w:p>
        </w:tc>
        <w:tc>
          <w:p>
            <w:pPr>
              <w:pStyle w:val="TableText"/>
              <w:jc w:val="right"/>
            </w:pPr>
            <w:r>
              <w:t>23%</w:t>
            </w:r>
          </w:p>
        </w:tc>
      </w:tr>
      <w:tr>
        <w:tc>
          <w:p>
            <w:pPr>
              <w:pStyle w:val="TableText"/>
              <w:jc w:val="left"/>
            </w:pPr>
            <w:r>
              <w:t>Jan - Dec 2022</w:t>
            </w:r>
          </w:p>
        </w:tc>
        <w:tc>
          <w:p>
            <w:pPr>
              <w:pStyle w:val="TableText"/>
              <w:jc w:val="right"/>
            </w:pPr>
            <w:r>
              <w:t>37%</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26">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Magistrates' courts disposals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 count of the number of cases only when all the offences have been completed (following a validation process) in the reporting period. Disposals figures in this report may change if the case results are entered after the first collation of the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1,266,872, up 91,693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0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127"/>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1,594,051</w:t>
            </w:r>
          </w:p>
        </w:tc>
      </w:tr>
      <w:tr>
        <w:tc>
          <w:p>
            <w:pPr>
              <w:pStyle w:val="TableText"/>
              <w:jc w:val="left"/>
            </w:pPr>
            <w:r>
              <w:t>Jan - Dec 2016</w:t>
            </w:r>
          </w:p>
        </w:tc>
        <w:tc>
          <w:p>
            <w:pPr>
              <w:pStyle w:val="TableText"/>
              <w:jc w:val="right"/>
            </w:pPr>
            <w:r>
              <w:t>1,566,357</w:t>
            </w:r>
          </w:p>
        </w:tc>
      </w:tr>
      <w:tr>
        <w:tc>
          <w:p>
            <w:pPr>
              <w:pStyle w:val="TableText"/>
              <w:jc w:val="left"/>
            </w:pPr>
            <w:r>
              <w:t>Jan - Dec 2017</w:t>
            </w:r>
          </w:p>
        </w:tc>
        <w:tc>
          <w:p>
            <w:pPr>
              <w:pStyle w:val="TableText"/>
              <w:jc w:val="right"/>
            </w:pPr>
            <w:r>
              <w:t>1,509,022</w:t>
            </w:r>
          </w:p>
        </w:tc>
      </w:tr>
      <w:tr>
        <w:tc>
          <w:p>
            <w:pPr>
              <w:pStyle w:val="TableText"/>
              <w:jc w:val="left"/>
            </w:pPr>
            <w:r>
              <w:t>Jan - Dec 2018</w:t>
            </w:r>
          </w:p>
        </w:tc>
        <w:tc>
          <w:p>
            <w:pPr>
              <w:pStyle w:val="TableText"/>
              <w:jc w:val="right"/>
            </w:pPr>
            <w:r>
              <w:t>1,456,735</w:t>
            </w:r>
          </w:p>
        </w:tc>
      </w:tr>
      <w:tr>
        <w:tc>
          <w:p>
            <w:pPr>
              <w:pStyle w:val="TableText"/>
              <w:jc w:val="left"/>
            </w:pPr>
            <w:r>
              <w:t>Jan - Dec 2019</w:t>
            </w:r>
          </w:p>
        </w:tc>
        <w:tc>
          <w:p>
            <w:pPr>
              <w:pStyle w:val="TableText"/>
              <w:jc w:val="right"/>
            </w:pPr>
            <w:r>
              <w:t>1,441,903</w:t>
            </w:r>
          </w:p>
        </w:tc>
      </w:tr>
      <w:tr>
        <w:tc>
          <w:p>
            <w:pPr>
              <w:pStyle w:val="TableText"/>
              <w:jc w:val="left"/>
            </w:pPr>
            <w:r>
              <w:t>Jan - Dec 2020</w:t>
            </w:r>
          </w:p>
        </w:tc>
        <w:tc>
          <w:p>
            <w:pPr>
              <w:pStyle w:val="TableText"/>
              <w:jc w:val="right"/>
            </w:pPr>
            <w:r>
              <w:t>1,041,021</w:t>
            </w:r>
          </w:p>
        </w:tc>
      </w:tr>
      <w:tr>
        <w:tc>
          <w:p>
            <w:pPr>
              <w:pStyle w:val="TableText"/>
              <w:jc w:val="left"/>
            </w:pPr>
            <w:r>
              <w:t>Jan - Dec 2021</w:t>
            </w:r>
          </w:p>
        </w:tc>
        <w:tc>
          <w:p>
            <w:pPr>
              <w:pStyle w:val="TableText"/>
              <w:jc w:val="right"/>
            </w:pPr>
            <w:r>
              <w:t>1,175,179</w:t>
            </w:r>
          </w:p>
        </w:tc>
      </w:tr>
      <w:tr>
        <w:tc>
          <w:p>
            <w:pPr>
              <w:pStyle w:val="TableText"/>
              <w:jc w:val="left"/>
            </w:pPr>
            <w:r>
              <w:t>Jan - Dec 2022</w:t>
            </w:r>
          </w:p>
        </w:tc>
        <w:tc>
          <w:p>
            <w:pPr>
              <w:pStyle w:val="TableText"/>
              <w:jc w:val="right"/>
            </w:pPr>
            <w:r>
              <w:t>1,266,872</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34">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Employment tribunals disposals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Data for 2021/22 is not available. Please refer to the publication.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0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128"/>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2014 - Mar 2015</w:t>
            </w:r>
          </w:p>
        </w:tc>
        <w:tc>
          <w:p>
            <w:pPr>
              <w:pStyle w:val="TableText"/>
              <w:jc w:val="right"/>
            </w:pPr>
            <w:r>
              <w:t>312,773</w:t>
            </w:r>
          </w:p>
        </w:tc>
      </w:tr>
      <w:tr>
        <w:tc>
          <w:p>
            <w:pPr>
              <w:pStyle w:val="TableText"/>
              <w:jc w:val="left"/>
            </w:pPr>
            <w:r>
              <w:t>Apr 2015 - Mar 2016</w:t>
            </w:r>
          </w:p>
        </w:tc>
        <w:tc>
          <w:p>
            <w:pPr>
              <w:pStyle w:val="TableText"/>
              <w:jc w:val="right"/>
            </w:pPr>
            <w:r>
              <w:t>49,529</w:t>
            </w:r>
          </w:p>
        </w:tc>
      </w:tr>
      <w:tr>
        <w:tc>
          <w:p>
            <w:pPr>
              <w:pStyle w:val="TableText"/>
              <w:jc w:val="left"/>
            </w:pPr>
            <w:r>
              <w:t>Apr 2016 - Mar 2017</w:t>
            </w:r>
          </w:p>
        </w:tc>
        <w:tc>
          <w:p>
            <w:pPr>
              <w:pStyle w:val="TableText"/>
              <w:jc w:val="right"/>
            </w:pPr>
            <w:r>
              <w:t>45,177</w:t>
            </w:r>
          </w:p>
        </w:tc>
      </w:tr>
      <w:tr>
        <w:tc>
          <w:p>
            <w:pPr>
              <w:pStyle w:val="TableText"/>
              <w:jc w:val="left"/>
            </w:pPr>
            <w:r>
              <w:t>Apr 2017 - Mar 2018</w:t>
            </w:r>
          </w:p>
        </w:tc>
        <w:tc>
          <w:p>
            <w:pPr>
              <w:pStyle w:val="TableText"/>
              <w:jc w:val="right"/>
            </w:pPr>
            <w:r>
              <w:t>38,671</w:t>
            </w:r>
          </w:p>
        </w:tc>
      </w:tr>
      <w:tr>
        <w:tc>
          <w:p>
            <w:pPr>
              <w:pStyle w:val="TableText"/>
              <w:jc w:val="left"/>
            </w:pPr>
            <w:r>
              <w:t>Apr 2018 - Mar 2019</w:t>
            </w:r>
          </w:p>
        </w:tc>
        <w:tc>
          <w:p>
            <w:pPr>
              <w:pStyle w:val="TableText"/>
              <w:jc w:val="right"/>
            </w:pPr>
            <w:r>
              <w:t>43,594</w:t>
            </w:r>
          </w:p>
        </w:tc>
      </w:tr>
      <w:tr>
        <w:tc>
          <w:p>
            <w:pPr>
              <w:pStyle w:val="TableText"/>
              <w:jc w:val="left"/>
            </w:pPr>
            <w:r>
              <w:t>Apr 2019 - Mar 2020</w:t>
            </w:r>
          </w:p>
        </w:tc>
        <w:tc>
          <w:p>
            <w:pPr>
              <w:pStyle w:val="TableText"/>
              <w:jc w:val="right"/>
            </w:pPr>
            <w:r>
              <w:t>50,217</w:t>
            </w:r>
          </w:p>
        </w:tc>
      </w:tr>
      <w:tr>
        <w:tc>
          <w:p>
            <w:pPr>
              <w:pStyle w:val="TableText"/>
              <w:jc w:val="left"/>
            </w:pPr>
            <w:r>
              <w:t>Apr 2020 - Mar 2021</w:t>
            </w:r>
          </w:p>
        </w:tc>
        <w:tc>
          <w:p>
            <w:pPr>
              <w:pStyle w:val="TableText"/>
              <w:jc w:val="right"/>
            </w:pPr>
            <w:r>
              <w:t>41,622</w:t>
            </w:r>
          </w:p>
        </w:tc>
      </w:tr>
      <w:tr>
        <w:tc>
          <w:p>
            <w:pPr>
              <w:pStyle w:val="TableText"/>
              <w:jc w:val="left"/>
            </w:pPr>
            <w:r>
              <w:t>Apr 2022  - Mar 2023</w:t>
            </w:r>
          </w:p>
        </w:tc>
        <w:tc>
          <w:p>
            <w:pPr>
              <w:pStyle w:val="TableText"/>
              <w:jc w:val="right"/>
            </w:pPr>
            <w:r>
              <w:t>71,316</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8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14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42">
        <w:r>
          <w:rPr>
            <w:rFonts w:ascii="Arial" w:hAnsi="Arial" w:eastAsia="Arial" w:cs="Arial"/>
            <w:i w:val="false"/>
            <w:b w:val="false"/>
            <w:u w:val="none"/>
            <w:sz w:val="18"/>
            <w:szCs w:val="18"/>
            <w:color w:val="000000"/>
          </w:rPr>
          <w:t xml:space="preserve">Tribunals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29">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Mean days from receipt at Crown Court to completion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Completion means any outcome, including guilty pleas, acquittals and convictions. Data from the Crown Court timeliness tool (all offences, all cases closed).</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Jan-Mar 2023 is 253, up 5 days from Oct-Dec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130"/>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Q2 (Apr-Jun) 2021</w:t>
            </w:r>
          </w:p>
        </w:tc>
        <w:tc>
          <w:p>
            <w:pPr>
              <w:pStyle w:val="TableText"/>
              <w:jc w:val="right"/>
            </w:pPr>
            <w:r>
              <w:t>203</w:t>
            </w:r>
          </w:p>
        </w:tc>
      </w:tr>
      <w:tr>
        <w:tc>
          <w:p>
            <w:pPr>
              <w:pStyle w:val="TableText"/>
              <w:jc w:val="left"/>
            </w:pPr>
            <w:r>
              <w:t>Q3 (Jul-Sep) 2021</w:t>
            </w:r>
          </w:p>
        </w:tc>
        <w:tc>
          <w:p>
            <w:pPr>
              <w:pStyle w:val="TableText"/>
              <w:jc w:val="right"/>
            </w:pPr>
            <w:r>
              <w:t>219</w:t>
            </w:r>
          </w:p>
        </w:tc>
      </w:tr>
      <w:tr>
        <w:tc>
          <w:p>
            <w:pPr>
              <w:pStyle w:val="TableText"/>
              <w:jc w:val="left"/>
            </w:pPr>
            <w:r>
              <w:t>Q4 (Oct-Dec) 2021</w:t>
            </w:r>
          </w:p>
        </w:tc>
        <w:tc>
          <w:p>
            <w:pPr>
              <w:pStyle w:val="TableText"/>
              <w:jc w:val="right"/>
            </w:pPr>
            <w:r>
              <w:t>232</w:t>
            </w:r>
          </w:p>
        </w:tc>
      </w:tr>
      <w:tr>
        <w:tc>
          <w:p>
            <w:pPr>
              <w:pStyle w:val="TableText"/>
              <w:jc w:val="left"/>
            </w:pPr>
            <w:r>
              <w:t>Q1 (Jan-Mar) 2022</w:t>
            </w:r>
          </w:p>
        </w:tc>
        <w:tc>
          <w:p>
            <w:pPr>
              <w:pStyle w:val="TableText"/>
              <w:jc w:val="right"/>
            </w:pPr>
            <w:r>
              <w:t>235</w:t>
            </w:r>
          </w:p>
        </w:tc>
      </w:tr>
      <w:tr>
        <w:tc>
          <w:p>
            <w:pPr>
              <w:pStyle w:val="TableText"/>
              <w:jc w:val="left"/>
            </w:pPr>
            <w:r>
              <w:t>Q2 (Apr-Jun) 2022</w:t>
            </w:r>
          </w:p>
        </w:tc>
        <w:tc>
          <w:p>
            <w:pPr>
              <w:pStyle w:val="TableText"/>
              <w:jc w:val="right"/>
            </w:pPr>
            <w:r>
              <w:t>230</w:t>
            </w:r>
          </w:p>
        </w:tc>
      </w:tr>
      <w:tr>
        <w:tc>
          <w:p>
            <w:pPr>
              <w:pStyle w:val="TableText"/>
              <w:jc w:val="left"/>
            </w:pPr>
            <w:r>
              <w:t>Q3 (Jul-Sep) 2022</w:t>
            </w:r>
          </w:p>
        </w:tc>
        <w:tc>
          <w:p>
            <w:pPr>
              <w:pStyle w:val="TableText"/>
              <w:jc w:val="right"/>
            </w:pPr>
            <w:r>
              <w:t>225</w:t>
            </w:r>
          </w:p>
        </w:tc>
      </w:tr>
      <w:tr>
        <w:tc>
          <w:p>
            <w:pPr>
              <w:pStyle w:val="TableText"/>
              <w:jc w:val="left"/>
            </w:pPr>
            <w:r>
              <w:t>Q4 (Oct-Dec) 2022</w:t>
            </w:r>
          </w:p>
        </w:tc>
        <w:tc>
          <w:p>
            <w:pPr>
              <w:pStyle w:val="TableText"/>
              <w:jc w:val="right"/>
            </w:pPr>
            <w:r>
              <w:t>248</w:t>
            </w:r>
          </w:p>
        </w:tc>
      </w:tr>
      <w:tr>
        <w:tc>
          <w:p>
            <w:pPr>
              <w:pStyle w:val="TableText"/>
              <w:jc w:val="left"/>
            </w:pPr>
            <w:r>
              <w:t>Q1 (Jan-Mar) 2023</w:t>
            </w:r>
          </w:p>
        </w:tc>
        <w:tc>
          <w:p>
            <w:pPr>
              <w:pStyle w:val="TableText"/>
              <w:jc w:val="right"/>
            </w:pPr>
            <w:r>
              <w:t>253</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Number of receipts of adult rape cases at the Crown Court</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Cases arriving at the Crown Court. Data from the Crown Court cases received, disposed and outstanding tool.</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Jan-Mar 2023 is 605, up 93 from Oct-Dec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132"/>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Q2 (Apr-Jun) 2021</w:t>
            </w:r>
          </w:p>
        </w:tc>
        <w:tc>
          <w:p>
            <w:pPr>
              <w:pStyle w:val="TableText"/>
              <w:jc w:val="right"/>
            </w:pPr>
            <w:r>
              <w:t>346</w:t>
            </w:r>
          </w:p>
        </w:tc>
      </w:tr>
      <w:tr>
        <w:tc>
          <w:p>
            <w:pPr>
              <w:pStyle w:val="TableText"/>
              <w:jc w:val="left"/>
            </w:pPr>
            <w:r>
              <w:t>Q3 (Jul-Sep) 2021</w:t>
            </w:r>
          </w:p>
        </w:tc>
        <w:tc>
          <w:p>
            <w:pPr>
              <w:pStyle w:val="TableText"/>
              <w:jc w:val="right"/>
            </w:pPr>
            <w:r>
              <w:t>332</w:t>
            </w:r>
          </w:p>
        </w:tc>
      </w:tr>
      <w:tr>
        <w:tc>
          <w:p>
            <w:pPr>
              <w:pStyle w:val="TableText"/>
              <w:jc w:val="left"/>
            </w:pPr>
            <w:r>
              <w:t>Q4 (Oct-Dec) 2021</w:t>
            </w:r>
          </w:p>
        </w:tc>
        <w:tc>
          <w:p>
            <w:pPr>
              <w:pStyle w:val="TableText"/>
              <w:jc w:val="right"/>
            </w:pPr>
            <w:r>
              <w:t>324</w:t>
            </w:r>
          </w:p>
        </w:tc>
      </w:tr>
      <w:tr>
        <w:tc>
          <w:p>
            <w:pPr>
              <w:pStyle w:val="TableText"/>
              <w:jc w:val="left"/>
            </w:pPr>
            <w:r>
              <w:t>Q1 (Jan-Mar) 2022</w:t>
            </w:r>
          </w:p>
        </w:tc>
        <w:tc>
          <w:p>
            <w:pPr>
              <w:pStyle w:val="TableText"/>
              <w:jc w:val="right"/>
            </w:pPr>
            <w:r>
              <w:t>433</w:t>
            </w:r>
          </w:p>
        </w:tc>
      </w:tr>
      <w:tr>
        <w:tc>
          <w:p>
            <w:pPr>
              <w:pStyle w:val="TableText"/>
              <w:jc w:val="left"/>
            </w:pPr>
            <w:r>
              <w:t>Q2 (Apr-Jun) 2022</w:t>
            </w:r>
          </w:p>
        </w:tc>
        <w:tc>
          <w:p>
            <w:pPr>
              <w:pStyle w:val="TableText"/>
              <w:jc w:val="right"/>
            </w:pPr>
            <w:r>
              <w:t>461</w:t>
            </w:r>
          </w:p>
        </w:tc>
      </w:tr>
      <w:tr>
        <w:tc>
          <w:p>
            <w:pPr>
              <w:pStyle w:val="TableText"/>
              <w:jc w:val="left"/>
            </w:pPr>
            <w:r>
              <w:t>Q3 (Jul-Sep) 2022</w:t>
            </w:r>
          </w:p>
        </w:tc>
        <w:tc>
          <w:p>
            <w:pPr>
              <w:pStyle w:val="TableText"/>
              <w:jc w:val="right"/>
            </w:pPr>
            <w:r>
              <w:t>476</w:t>
            </w:r>
          </w:p>
        </w:tc>
      </w:tr>
      <w:tr>
        <w:tc>
          <w:p>
            <w:pPr>
              <w:pStyle w:val="TableText"/>
              <w:jc w:val="left"/>
            </w:pPr>
            <w:r>
              <w:t>Q4 (Oct-Dec) 2022</w:t>
            </w:r>
          </w:p>
        </w:tc>
        <w:tc>
          <w:p>
            <w:pPr>
              <w:pStyle w:val="TableText"/>
              <w:jc w:val="right"/>
            </w:pPr>
            <w:r>
              <w:t>512</w:t>
            </w:r>
          </w:p>
        </w:tc>
      </w:tr>
      <w:tr>
        <w:tc>
          <w:p>
            <w:pPr>
              <w:pStyle w:val="TableText"/>
              <w:jc w:val="left"/>
            </w:pPr>
            <w:r>
              <w:t>Q1 (Jan-Mar) 2023</w:t>
            </w:r>
          </w:p>
        </w:tc>
        <w:tc>
          <w:p>
            <w:pPr>
              <w:pStyle w:val="TableText"/>
              <w:jc w:val="right"/>
            </w:pPr>
            <w:r>
              <w:t>605</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Civil courts - total judgments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Total number of judgments in the county courts. Some civil cases are resolved via mediation or settled out of court and don't proceed to a judgement.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901,278, down 79,196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134"/>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867,665</w:t>
            </w:r>
          </w:p>
        </w:tc>
      </w:tr>
      <w:tr>
        <w:tc>
          <w:p>
            <w:pPr>
              <w:pStyle w:val="TableText"/>
              <w:jc w:val="left"/>
            </w:pPr>
            <w:r>
              <w:t>Jan - Dec 2016</w:t>
            </w:r>
          </w:p>
        </w:tc>
        <w:tc>
          <w:p>
            <w:pPr>
              <w:pStyle w:val="TableText"/>
              <w:jc w:val="right"/>
            </w:pPr>
            <w:r>
              <w:t>1,055,035</w:t>
            </w:r>
          </w:p>
        </w:tc>
      </w:tr>
      <w:tr>
        <w:tc>
          <w:p>
            <w:pPr>
              <w:pStyle w:val="TableText"/>
              <w:jc w:val="left"/>
            </w:pPr>
            <w:r>
              <w:t>Jan - Dec 2017</w:t>
            </w:r>
          </w:p>
        </w:tc>
        <w:tc>
          <w:p>
            <w:pPr>
              <w:pStyle w:val="TableText"/>
              <w:jc w:val="right"/>
            </w:pPr>
            <w:r>
              <w:t>1,284,364</w:t>
            </w:r>
          </w:p>
        </w:tc>
      </w:tr>
      <w:tr>
        <w:tc>
          <w:p>
            <w:pPr>
              <w:pStyle w:val="TableText"/>
              <w:jc w:val="left"/>
            </w:pPr>
            <w:r>
              <w:t>Jan - Dec 2018</w:t>
            </w:r>
          </w:p>
        </w:tc>
        <w:tc>
          <w:p>
            <w:pPr>
              <w:pStyle w:val="TableText"/>
              <w:jc w:val="right"/>
            </w:pPr>
            <w:r>
              <w:t>1,291,142</w:t>
            </w:r>
          </w:p>
        </w:tc>
      </w:tr>
      <w:tr>
        <w:tc>
          <w:p>
            <w:pPr>
              <w:pStyle w:val="TableText"/>
              <w:jc w:val="left"/>
            </w:pPr>
            <w:r>
              <w:t>Jan - Dec 2019</w:t>
            </w:r>
          </w:p>
        </w:tc>
        <w:tc>
          <w:p>
            <w:pPr>
              <w:pStyle w:val="TableText"/>
              <w:jc w:val="right"/>
            </w:pPr>
            <w:r>
              <w:t>1,323,750</w:t>
            </w:r>
          </w:p>
        </w:tc>
      </w:tr>
      <w:tr>
        <w:tc>
          <w:p>
            <w:pPr>
              <w:pStyle w:val="TableText"/>
              <w:jc w:val="left"/>
            </w:pPr>
            <w:r>
              <w:t>Jan - Dec 2020</w:t>
            </w:r>
          </w:p>
        </w:tc>
        <w:tc>
          <w:p>
            <w:pPr>
              <w:pStyle w:val="TableText"/>
              <w:jc w:val="right"/>
            </w:pPr>
            <w:r>
              <w:t>727,438</w:t>
            </w:r>
          </w:p>
        </w:tc>
      </w:tr>
      <w:tr>
        <w:tc>
          <w:p>
            <w:pPr>
              <w:pStyle w:val="TableText"/>
              <w:jc w:val="left"/>
            </w:pPr>
            <w:r>
              <w:t>Jan - Dec 2021</w:t>
            </w:r>
          </w:p>
        </w:tc>
        <w:tc>
          <w:p>
            <w:pPr>
              <w:pStyle w:val="TableText"/>
              <w:jc w:val="right"/>
            </w:pPr>
            <w:r>
              <w:t>980,474</w:t>
            </w:r>
          </w:p>
        </w:tc>
      </w:tr>
      <w:tr>
        <w:tc>
          <w:p>
            <w:pPr>
              <w:pStyle w:val="TableText"/>
              <w:jc w:val="left"/>
            </w:pPr>
            <w:r>
              <w:t>Jan - Dec 2022</w:t>
            </w:r>
          </w:p>
        </w:tc>
        <w:tc>
          <w:p>
            <w:pPr>
              <w:pStyle w:val="TableText"/>
              <w:jc w:val="right"/>
            </w:pPr>
            <w:r>
              <w:t>901,278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1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7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36">
        <w:r>
          <w:rPr>
            <w:rFonts w:ascii="Arial" w:hAnsi="Arial" w:eastAsia="Arial" w:cs="Arial"/>
            <w:i w:val="false"/>
            <w:b w:val="false"/>
            <w:u w:val="none"/>
            <w:sz w:val="18"/>
            <w:szCs w:val="18"/>
            <w:color w:val="000000"/>
          </w:rPr>
          <w:t xml:space="preserve">Civil justice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37">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Family court - total cases disposed</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Total cases disposed at family court.</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205,088, down 44,441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135"/>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221,558</w:t>
            </w:r>
          </w:p>
        </w:tc>
      </w:tr>
      <w:tr>
        <w:tc>
          <w:p>
            <w:pPr>
              <w:pStyle w:val="TableText"/>
              <w:jc w:val="left"/>
            </w:pPr>
            <w:r>
              <w:t>Jan - Dec 2016</w:t>
            </w:r>
          </w:p>
        </w:tc>
        <w:tc>
          <w:p>
            <w:pPr>
              <w:pStyle w:val="TableText"/>
              <w:jc w:val="right"/>
            </w:pPr>
            <w:r>
              <w:t>228,960</w:t>
            </w:r>
          </w:p>
        </w:tc>
      </w:tr>
      <w:tr>
        <w:tc>
          <w:p>
            <w:pPr>
              <w:pStyle w:val="TableText"/>
              <w:jc w:val="left"/>
            </w:pPr>
            <w:r>
              <w:t>Jan - Dec 2017</w:t>
            </w:r>
          </w:p>
        </w:tc>
        <w:tc>
          <w:p>
            <w:pPr>
              <w:pStyle w:val="TableText"/>
              <w:jc w:val="right"/>
            </w:pPr>
            <w:r>
              <w:t>226,980</w:t>
            </w:r>
          </w:p>
        </w:tc>
      </w:tr>
      <w:tr>
        <w:tc>
          <w:p>
            <w:pPr>
              <w:pStyle w:val="TableText"/>
              <w:jc w:val="left"/>
            </w:pPr>
            <w:r>
              <w:t>Jan - Dec 2018</w:t>
            </w:r>
          </w:p>
        </w:tc>
        <w:tc>
          <w:p>
            <w:pPr>
              <w:pStyle w:val="TableText"/>
              <w:jc w:val="right"/>
            </w:pPr>
            <w:r>
              <w:t>214,294</w:t>
            </w:r>
          </w:p>
        </w:tc>
      </w:tr>
      <w:tr>
        <w:tc>
          <w:p>
            <w:pPr>
              <w:pStyle w:val="TableText"/>
              <w:jc w:val="left"/>
            </w:pPr>
            <w:r>
              <w:t>Jan - Dec 2019</w:t>
            </w:r>
          </w:p>
        </w:tc>
        <w:tc>
          <w:p>
            <w:pPr>
              <w:pStyle w:val="TableText"/>
              <w:jc w:val="right"/>
            </w:pPr>
            <w:r>
              <w:t>234,344</w:t>
            </w:r>
          </w:p>
        </w:tc>
      </w:tr>
      <w:tr>
        <w:tc>
          <w:p>
            <w:pPr>
              <w:pStyle w:val="TableText"/>
              <w:jc w:val="left"/>
            </w:pPr>
            <w:r>
              <w:t>Jan - Dec 2020</w:t>
            </w:r>
          </w:p>
        </w:tc>
        <w:tc>
          <w:p>
            <w:pPr>
              <w:pStyle w:val="TableText"/>
              <w:jc w:val="right"/>
            </w:pPr>
            <w:r>
              <w:t>225,930</w:t>
            </w:r>
          </w:p>
        </w:tc>
      </w:tr>
      <w:tr>
        <w:tc>
          <w:p>
            <w:pPr>
              <w:pStyle w:val="TableText"/>
              <w:jc w:val="left"/>
            </w:pPr>
            <w:r>
              <w:t>Jan - Dec 2021</w:t>
            </w:r>
          </w:p>
        </w:tc>
        <w:tc>
          <w:p>
            <w:pPr>
              <w:pStyle w:val="TableText"/>
              <w:jc w:val="right"/>
            </w:pPr>
            <w:r>
              <w:t>249,529</w:t>
            </w:r>
          </w:p>
        </w:tc>
      </w:tr>
      <w:tr>
        <w:tc>
          <w:p>
            <w:pPr>
              <w:pStyle w:val="TableText"/>
              <w:jc w:val="left"/>
            </w:pPr>
            <w:r>
              <w:t>Jan - Dec 2022</w:t>
            </w:r>
          </w:p>
        </w:tc>
        <w:tc>
          <w:p>
            <w:pPr>
              <w:pStyle w:val="TableText"/>
              <w:jc w:val="right"/>
            </w:pPr>
            <w:r>
              <w:t>205,088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39">
        <w:r>
          <w:rPr>
            <w:rFonts w:ascii="Arial" w:hAnsi="Arial" w:eastAsia="Arial" w:cs="Arial"/>
            <w:i w:val="false"/>
            <w:b w:val="false"/>
            <w:u w:val="none"/>
            <w:sz w:val="18"/>
            <w:szCs w:val="18"/>
            <w:color w:val="000000"/>
          </w:rPr>
          <w:t xml:space="preserve">Family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40">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Tribunals disposals - overall</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Data for 2021/22 and 2022/23 is not available. Please refer to the publication.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136"/>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2013 - Mar 2014</w:t>
            </w:r>
          </w:p>
        </w:tc>
        <w:tc>
          <w:p>
            <w:pPr>
              <w:pStyle w:val="TableText"/>
              <w:jc w:val="right"/>
            </w:pPr>
            <w:r>
              <w:t>878,007</w:t>
            </w:r>
          </w:p>
        </w:tc>
      </w:tr>
      <w:tr>
        <w:tc>
          <w:p>
            <w:pPr>
              <w:pStyle w:val="TableText"/>
              <w:jc w:val="left"/>
            </w:pPr>
            <w:r>
              <w:t>Apr 2014 - Mar 2015</w:t>
            </w:r>
          </w:p>
        </w:tc>
        <w:tc>
          <w:p>
            <w:pPr>
              <w:pStyle w:val="TableText"/>
              <w:jc w:val="right"/>
            </w:pPr>
            <w:r>
              <w:t>649,068</w:t>
            </w:r>
          </w:p>
        </w:tc>
      </w:tr>
      <w:tr>
        <w:tc>
          <w:p>
            <w:pPr>
              <w:pStyle w:val="TableText"/>
              <w:jc w:val="left"/>
            </w:pPr>
            <w:r>
              <w:t>Apr 2015 - Mar 2016</w:t>
            </w:r>
          </w:p>
        </w:tc>
        <w:tc>
          <w:p>
            <w:pPr>
              <w:pStyle w:val="TableText"/>
              <w:jc w:val="right"/>
            </w:pPr>
            <w:r>
              <w:t>372,926</w:t>
            </w:r>
          </w:p>
        </w:tc>
      </w:tr>
      <w:tr>
        <w:tc>
          <w:p>
            <w:pPr>
              <w:pStyle w:val="TableText"/>
              <w:jc w:val="left"/>
            </w:pPr>
            <w:r>
              <w:t>Apr 2016 - Mar 2017</w:t>
            </w:r>
          </w:p>
        </w:tc>
        <w:tc>
          <w:p>
            <w:pPr>
              <w:pStyle w:val="TableText"/>
              <w:jc w:val="right"/>
            </w:pPr>
            <w:r>
              <w:t>394,102</w:t>
            </w:r>
          </w:p>
        </w:tc>
      </w:tr>
      <w:tr>
        <w:tc>
          <w:p>
            <w:pPr>
              <w:pStyle w:val="TableText"/>
              <w:jc w:val="left"/>
            </w:pPr>
            <w:r>
              <w:t>Apr 2017 - Mar 2018</w:t>
            </w:r>
          </w:p>
        </w:tc>
        <w:tc>
          <w:p>
            <w:pPr>
              <w:pStyle w:val="TableText"/>
              <w:jc w:val="right"/>
            </w:pPr>
            <w:r>
              <w:t>407,638</w:t>
            </w:r>
          </w:p>
        </w:tc>
      </w:tr>
      <w:tr>
        <w:tc>
          <w:p>
            <w:pPr>
              <w:pStyle w:val="TableText"/>
              <w:jc w:val="left"/>
            </w:pPr>
            <w:r>
              <w:t>Apr 2018 - Mar 2019</w:t>
            </w:r>
          </w:p>
        </w:tc>
        <w:tc>
          <w:p>
            <w:pPr>
              <w:pStyle w:val="TableText"/>
              <w:jc w:val="right"/>
            </w:pPr>
            <w:r>
              <w:t>400,816</w:t>
            </w:r>
          </w:p>
        </w:tc>
      </w:tr>
      <w:tr>
        <w:tc>
          <w:p>
            <w:pPr>
              <w:pStyle w:val="TableText"/>
              <w:jc w:val="left"/>
            </w:pPr>
            <w:r>
              <w:t>Apr 2019 - Mar 2020</w:t>
            </w:r>
          </w:p>
        </w:tc>
        <w:tc>
          <w:p>
            <w:pPr>
              <w:pStyle w:val="TableText"/>
              <w:jc w:val="right"/>
            </w:pPr>
            <w:r>
              <w:t>378,629</w:t>
            </w:r>
          </w:p>
        </w:tc>
      </w:tr>
      <w:tr>
        <w:tc>
          <w:p>
            <w:pPr>
              <w:pStyle w:val="TableText"/>
              <w:jc w:val="left"/>
            </w:pPr>
            <w:r>
              <w:t>Apr 2020 - Mar 2021</w:t>
            </w:r>
          </w:p>
        </w:tc>
        <w:tc>
          <w:p>
            <w:pPr>
              <w:pStyle w:val="TableText"/>
              <w:jc w:val="right"/>
            </w:pPr>
            <w:r>
              <w:t>265,628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8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14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42">
        <w:r>
          <w:rPr>
            <w:rFonts w:ascii="Arial" w:hAnsi="Arial" w:eastAsia="Arial" w:cs="Arial"/>
            <w:i w:val="false"/>
            <w:b w:val="false"/>
            <w:u w:val="none"/>
            <w:sz w:val="18"/>
            <w:szCs w:val="18"/>
            <w:color w:val="000000"/>
          </w:rPr>
          <w:t xml:space="preserve">Tribunals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4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Legal aid - overall annual expenditure (£m)</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closed-claim measure of expenditure shows the total value of payments made to legal aid providers in relation to pieces of work that are completed in each period, even where a portion of the work may have taken place over previous periods. Most expenditure figures in the legal aid statistics are shown on this basis.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2022-23 is 1,808 (£m), up 160 (£m) from 2021-22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137"/>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2015 - Mar 2016</w:t>
            </w:r>
          </w:p>
        </w:tc>
        <w:tc>
          <w:p>
            <w:pPr>
              <w:pStyle w:val="TableText"/>
              <w:jc w:val="right"/>
            </w:pPr>
            <w:r>
              <w:t>1,638 (£m)</w:t>
            </w:r>
          </w:p>
        </w:tc>
      </w:tr>
      <w:tr>
        <w:tc>
          <w:p>
            <w:pPr>
              <w:pStyle w:val="TableText"/>
              <w:jc w:val="left"/>
            </w:pPr>
            <w:r>
              <w:t>Apr 2016 - Mar 2017</w:t>
            </w:r>
          </w:p>
        </w:tc>
        <w:tc>
          <w:p>
            <w:pPr>
              <w:pStyle w:val="TableText"/>
              <w:jc w:val="right"/>
            </w:pPr>
            <w:r>
              <w:t>1,610 (£m)</w:t>
            </w:r>
          </w:p>
        </w:tc>
      </w:tr>
      <w:tr>
        <w:tc>
          <w:p>
            <w:pPr>
              <w:pStyle w:val="TableText"/>
              <w:jc w:val="left"/>
            </w:pPr>
            <w:r>
              <w:t>Apr 2017 - Mar 2018</w:t>
            </w:r>
          </w:p>
        </w:tc>
        <w:tc>
          <w:p>
            <w:pPr>
              <w:pStyle w:val="TableText"/>
              <w:jc w:val="right"/>
            </w:pPr>
            <w:r>
              <w:t>1,649 (£m)</w:t>
            </w:r>
          </w:p>
        </w:tc>
      </w:tr>
      <w:tr>
        <w:tc>
          <w:p>
            <w:pPr>
              <w:pStyle w:val="TableText"/>
              <w:jc w:val="left"/>
            </w:pPr>
            <w:r>
              <w:t>Apr 2018 - Mar 2019</w:t>
            </w:r>
          </w:p>
        </w:tc>
        <w:tc>
          <w:p>
            <w:pPr>
              <w:pStyle w:val="TableText"/>
              <w:jc w:val="right"/>
            </w:pPr>
            <w:r>
              <w:t>1,661 (£m)</w:t>
            </w:r>
          </w:p>
        </w:tc>
      </w:tr>
      <w:tr>
        <w:tc>
          <w:p>
            <w:pPr>
              <w:pStyle w:val="TableText"/>
              <w:jc w:val="left"/>
            </w:pPr>
            <w:r>
              <w:t>Apr 2019 - Mar 2020</w:t>
            </w:r>
          </w:p>
        </w:tc>
        <w:tc>
          <w:p>
            <w:pPr>
              <w:pStyle w:val="TableText"/>
              <w:jc w:val="right"/>
            </w:pPr>
            <w:r>
              <w:t>1,675 (£m)</w:t>
            </w:r>
          </w:p>
        </w:tc>
      </w:tr>
      <w:tr>
        <w:tc>
          <w:p>
            <w:pPr>
              <w:pStyle w:val="TableText"/>
              <w:jc w:val="left"/>
            </w:pPr>
            <w:r>
              <w:t>Apr 2020 - Mar 2021</w:t>
            </w:r>
          </w:p>
        </w:tc>
        <w:tc>
          <w:p>
            <w:pPr>
              <w:pStyle w:val="TableText"/>
              <w:jc w:val="right"/>
            </w:pPr>
            <w:r>
              <w:t>1,344 (£m)</w:t>
            </w:r>
          </w:p>
        </w:tc>
      </w:tr>
      <w:tr>
        <w:tc>
          <w:p>
            <w:pPr>
              <w:pStyle w:val="TableText"/>
              <w:jc w:val="left"/>
            </w:pPr>
            <w:r>
              <w:t>Apr 2021 - Mar 2022</w:t>
            </w:r>
          </w:p>
        </w:tc>
        <w:tc>
          <w:p>
            <w:pPr>
              <w:pStyle w:val="TableText"/>
              <w:jc w:val="right"/>
            </w:pPr>
            <w:r>
              <w:t>1,648 (£m)</w:t>
            </w:r>
          </w:p>
        </w:tc>
      </w:tr>
      <w:tr>
        <w:tc>
          <w:p>
            <w:pPr>
              <w:pStyle w:val="TableText"/>
              <w:jc w:val="left"/>
            </w:pPr>
            <w:r>
              <w:t>Apr 2022 - Mar 2023</w:t>
            </w:r>
          </w:p>
        </w:tc>
        <w:tc>
          <w:p>
            <w:pPr>
              <w:pStyle w:val="TableText"/>
              <w:jc w:val="right"/>
            </w:pPr>
            <w:r>
              <w:t>1,808 (£m)</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38">
        <w:r>
          <w:rPr>
            <w:rFonts w:ascii="Arial" w:hAnsi="Arial" w:eastAsia="Arial" w:cs="Arial"/>
            <w:i w:val="false"/>
            <w:b w:val="false"/>
            <w:u w:val="none"/>
            <w:sz w:val="18"/>
            <w:szCs w:val="18"/>
            <w:color w:val="000000"/>
          </w:rPr>
          <w:t xml:space="preserve">Legal aid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sectPr w:rsidR="00493C3D" w:rsidRPr="00956233" w:rsidSect="00711E85">
      <w:pgSz w:w="8419" w:h="11906" w:orient="landscape" w:code="9"/>
      <w:pgMar w:top="1138" w:right="1138" w:bottom="1138" w:left="1138"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F2246" w14:textId="77777777" w:rsidR="003E014C" w:rsidRDefault="003E014C" w:rsidP="00B91315">
      <w:pPr>
        <w:spacing w:after="0" w:line="240" w:lineRule="auto"/>
      </w:pPr>
      <w:r>
        <w:separator/>
      </w:r>
    </w:p>
  </w:endnote>
  <w:endnote w:type="continuationSeparator" w:id="0">
    <w:p w14:paraId="0A0AFD80" w14:textId="77777777" w:rsidR="003E014C" w:rsidRDefault="003E014C" w:rsidP="00B91315">
      <w:pPr>
        <w:spacing w:after="0" w:line="240" w:lineRule="auto"/>
      </w:pPr>
      <w:r>
        <w:continuationSeparator/>
      </w:r>
    </w:p>
  </w:endnote>
  <w:endnote w:type="continuationNotice" w:id="1">
    <w:p w14:paraId="7614CDC7" w14:textId="77777777" w:rsidR="003E014C" w:rsidRDefault="003E01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BD0E5" w14:textId="77777777" w:rsidR="009A1CE1" w:rsidRPr="004E613D" w:rsidRDefault="00990242">
    <w:pPr>
      <w:pStyle w:val="Footer"/>
      <w:rPr>
        <w:b w:val="0"/>
        <w:bCs/>
        <w:sz w:val="20"/>
        <w:szCs w:val="20"/>
      </w:rPr>
    </w:pPr>
    <w:r w:rsidRPr="004E613D">
      <w:rPr>
        <w:b w:val="0"/>
        <w:bCs/>
        <w:sz w:val="20"/>
        <w:szCs w:val="20"/>
      </w:rPr>
      <w:fldChar w:fldCharType="begin"/>
    </w:r>
    <w:r w:rsidRPr="004E613D">
      <w:rPr>
        <w:b w:val="0"/>
        <w:bCs/>
        <w:sz w:val="20"/>
        <w:szCs w:val="20"/>
      </w:rPr>
      <w:instrText xml:space="preserve"> PAGE   \* MERGEFORMAT </w:instrText>
    </w:r>
    <w:r w:rsidRPr="004E613D">
      <w:rPr>
        <w:b w:val="0"/>
        <w:bCs/>
        <w:sz w:val="20"/>
        <w:szCs w:val="20"/>
      </w:rPr>
      <w:fldChar w:fldCharType="separate"/>
    </w:r>
    <w:r w:rsidR="00EE0FB8" w:rsidRPr="004E613D">
      <w:rPr>
        <w:b w:val="0"/>
        <w:bCs/>
        <w:noProof/>
        <w:sz w:val="20"/>
        <w:szCs w:val="20"/>
      </w:rPr>
      <w:t>2</w:t>
    </w:r>
    <w:r w:rsidRPr="004E613D">
      <w:rPr>
        <w:b w:val="0"/>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3A94D" w14:textId="77777777" w:rsidR="003E014C" w:rsidRDefault="003E014C" w:rsidP="00B91315">
      <w:pPr>
        <w:spacing w:after="0" w:line="240" w:lineRule="auto"/>
      </w:pPr>
      <w:r>
        <w:separator/>
      </w:r>
    </w:p>
  </w:footnote>
  <w:footnote w:type="continuationSeparator" w:id="0">
    <w:p w14:paraId="456C5175" w14:textId="77777777" w:rsidR="003E014C" w:rsidRDefault="003E014C" w:rsidP="00B91315">
      <w:pPr>
        <w:spacing w:after="0" w:line="240" w:lineRule="auto"/>
      </w:pPr>
      <w:r>
        <w:continuationSeparator/>
      </w:r>
    </w:p>
  </w:footnote>
  <w:footnote w:type="continuationNotice" w:id="1">
    <w:p w14:paraId="61F82416" w14:textId="77777777" w:rsidR="003E014C" w:rsidRDefault="003E01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BD99A" w14:textId="77777777" w:rsidR="00F507D8" w:rsidRDefault="00EE0FB8">
    <w:pPr>
      <w:pStyle w:val="Header"/>
    </w:pPr>
    <w:r w:rsidRPr="006D258B">
      <w:rPr>
        <w:noProof/>
      </w:rPr>
      <w:drawing>
        <wp:anchor distT="0" distB="0" distL="114300" distR="114300" simplePos="0" relativeHeight="251659264" behindDoc="1" locked="0" layoutInCell="0" allowOverlap="1" wp14:anchorId="28A01E9E" wp14:editId="21C365AC">
          <wp:simplePos x="0" y="0"/>
          <wp:positionH relativeFrom="page">
            <wp:posOffset>720090</wp:posOffset>
          </wp:positionH>
          <wp:positionV relativeFrom="page">
            <wp:posOffset>720090</wp:posOffset>
          </wp:positionV>
          <wp:extent cx="1331640" cy="1033920"/>
          <wp:effectExtent l="0" t="0" r="1905" b="0"/>
          <wp:wrapNone/>
          <wp:docPr id="123" name="Picture 1" descr="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60203BE4" wp14:editId="4FA693D0">
          <wp:simplePos x="723900" y="361950"/>
          <wp:positionH relativeFrom="page">
            <wp:align>left</wp:align>
          </wp:positionH>
          <wp:positionV relativeFrom="page">
            <wp:align>top</wp:align>
          </wp:positionV>
          <wp:extent cx="10693440" cy="7560360"/>
          <wp:effectExtent l="0" t="0" r="0" b="2540"/>
          <wp:wrapNone/>
          <wp:docPr id="125"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 descr="C:\Users\nhogben\AppData\Local\Microsoft\Windows\INetCache\Content.Word\6.5394_MoJ_Brand refresh_covers_210319_RW-18.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93440" cy="75603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130F6F8"/>
    <w:lvl w:ilvl="0">
      <w:start w:val="1"/>
      <w:numFmt w:val="bullet"/>
      <w:pStyle w:val="ListBullet2"/>
      <w:lvlText w:val=""/>
      <w:lvlJc w:val="left"/>
      <w:pPr>
        <w:ind w:left="717" w:hanging="360"/>
      </w:pPr>
      <w:rPr>
        <w:rFonts w:ascii="Symbol" w:hAnsi="Symbol" w:hint="default"/>
        <w:color w:val="00B1EB"/>
      </w:rPr>
    </w:lvl>
  </w:abstractNum>
  <w:abstractNum w:abstractNumId="1" w15:restartNumberingAfterBreak="0">
    <w:nsid w:val="FFFFFF88"/>
    <w:multiLevelType w:val="singleLevel"/>
    <w:tmpl w:val="4CB2C802"/>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5CCC8D44"/>
    <w:lvl w:ilvl="0">
      <w:start w:val="1"/>
      <w:numFmt w:val="bullet"/>
      <w:pStyle w:val="ListBullet"/>
      <w:lvlText w:val=""/>
      <w:lvlJc w:val="left"/>
      <w:pPr>
        <w:ind w:left="360" w:hanging="360"/>
      </w:pPr>
      <w:rPr>
        <w:rFonts w:ascii="Symbol" w:hAnsi="Symbol" w:hint="default"/>
        <w:color w:val="1D609D"/>
      </w:rPr>
    </w:lvl>
  </w:abstractNum>
  <w:num w:numId="1">
    <w:abstractNumId w:val="2"/>
  </w:num>
  <w:num w:numId="2">
    <w:abstractNumId w:val="0"/>
  </w:num>
  <w:num w:numId="3">
    <w:abstractNumId w:val="1"/>
  </w:num>
  <w:num w:numId="4">
    <w:abstractNumId w:val="2"/>
    <w:lvlOverride w:ilvl="0">
      <w:startOverride w:val="1"/>
    </w:lvlOverride>
  </w:num>
  <w:num w:numId="5">
    <w:abstractNumId w:val="0"/>
    <w:lvlOverride w:ilvl="0">
      <w:startOverride w:val="1"/>
    </w:lvlOverride>
  </w:num>
  <w:num w:numId="6">
    <w:abstractNumId w:val="2"/>
  </w:num>
  <w:num w:numId="7">
    <w:abstractNumId w:val="1"/>
    <w:lvlOverride w:ilvl="0">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bookFoldPrint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8C"/>
    <w:rsid w:val="00001DED"/>
    <w:rsid w:val="00022442"/>
    <w:rsid w:val="0005178C"/>
    <w:rsid w:val="00090E40"/>
    <w:rsid w:val="000C211C"/>
    <w:rsid w:val="00100D66"/>
    <w:rsid w:val="00100F5B"/>
    <w:rsid w:val="00116DC3"/>
    <w:rsid w:val="00175D09"/>
    <w:rsid w:val="001A2D5B"/>
    <w:rsid w:val="001A6CD8"/>
    <w:rsid w:val="001A71CD"/>
    <w:rsid w:val="00220707"/>
    <w:rsid w:val="00240F37"/>
    <w:rsid w:val="00265F83"/>
    <w:rsid w:val="00270EDF"/>
    <w:rsid w:val="0027535E"/>
    <w:rsid w:val="00293CEB"/>
    <w:rsid w:val="002A5FFC"/>
    <w:rsid w:val="002F075A"/>
    <w:rsid w:val="003355F1"/>
    <w:rsid w:val="003736D4"/>
    <w:rsid w:val="003D27AC"/>
    <w:rsid w:val="003E014C"/>
    <w:rsid w:val="00401CF2"/>
    <w:rsid w:val="00403615"/>
    <w:rsid w:val="004151C4"/>
    <w:rsid w:val="00437D4E"/>
    <w:rsid w:val="00446DDB"/>
    <w:rsid w:val="00472DA0"/>
    <w:rsid w:val="00493C3D"/>
    <w:rsid w:val="004B559C"/>
    <w:rsid w:val="004E0E18"/>
    <w:rsid w:val="004E613D"/>
    <w:rsid w:val="004F1A16"/>
    <w:rsid w:val="00506DCE"/>
    <w:rsid w:val="00514350"/>
    <w:rsid w:val="00526855"/>
    <w:rsid w:val="00545B6C"/>
    <w:rsid w:val="00570BF8"/>
    <w:rsid w:val="005E51D0"/>
    <w:rsid w:val="00601DDB"/>
    <w:rsid w:val="00617188"/>
    <w:rsid w:val="0062433C"/>
    <w:rsid w:val="0064503D"/>
    <w:rsid w:val="006650B9"/>
    <w:rsid w:val="00711E85"/>
    <w:rsid w:val="008114F6"/>
    <w:rsid w:val="008152C5"/>
    <w:rsid w:val="00833B84"/>
    <w:rsid w:val="0083559F"/>
    <w:rsid w:val="00850529"/>
    <w:rsid w:val="00864C6B"/>
    <w:rsid w:val="00871395"/>
    <w:rsid w:val="0089438B"/>
    <w:rsid w:val="008A6C4B"/>
    <w:rsid w:val="008B2C35"/>
    <w:rsid w:val="008F2B65"/>
    <w:rsid w:val="008F6F60"/>
    <w:rsid w:val="009136B4"/>
    <w:rsid w:val="00916276"/>
    <w:rsid w:val="009179CD"/>
    <w:rsid w:val="00924182"/>
    <w:rsid w:val="00932F7F"/>
    <w:rsid w:val="00956233"/>
    <w:rsid w:val="00990242"/>
    <w:rsid w:val="009A1CE1"/>
    <w:rsid w:val="009E6E8B"/>
    <w:rsid w:val="00AA2744"/>
    <w:rsid w:val="00AC5FCF"/>
    <w:rsid w:val="00AC6247"/>
    <w:rsid w:val="00AD05F3"/>
    <w:rsid w:val="00AD52C7"/>
    <w:rsid w:val="00AD6D5D"/>
    <w:rsid w:val="00AE4DF7"/>
    <w:rsid w:val="00B4736D"/>
    <w:rsid w:val="00B60F6D"/>
    <w:rsid w:val="00B91315"/>
    <w:rsid w:val="00B97D74"/>
    <w:rsid w:val="00BC4DBC"/>
    <w:rsid w:val="00BE158B"/>
    <w:rsid w:val="00D00084"/>
    <w:rsid w:val="00D12165"/>
    <w:rsid w:val="00D3677D"/>
    <w:rsid w:val="00D50660"/>
    <w:rsid w:val="00D70D9E"/>
    <w:rsid w:val="00DB6550"/>
    <w:rsid w:val="00DD30C2"/>
    <w:rsid w:val="00DE0D6C"/>
    <w:rsid w:val="00E4123E"/>
    <w:rsid w:val="00E455B9"/>
    <w:rsid w:val="00EE0FB8"/>
    <w:rsid w:val="00EE5E60"/>
    <w:rsid w:val="00F42C92"/>
    <w:rsid w:val="00F507D8"/>
    <w:rsid w:val="00F65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E2B739B"/>
  <w15:chartTrackingRefBased/>
  <w15:docId w15:val="{8659DDD2-9AC0-4B4A-82DD-D6C0B432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3" w:qFormat="1"/>
    <w:lsdException w:name="annotation text" w:semiHidden="1"/>
    <w:lsdException w:name="header" w:uiPriority="8"/>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iPriority="3"/>
    <w:lsdException w:name="annotation reference" w:semiHidden="1"/>
    <w:lsdException w:name="line number" w:semiHidden="1"/>
    <w:lsdException w:name="page number" w:semiHidden="1" w:uiPriority="8"/>
    <w:lsdException w:name="endnote reference" w:semiHidden="1" w:uiPriority="3"/>
    <w:lsdException w:name="endnote text" w:semiHidden="1" w:uiPriority="3"/>
    <w:lsdException w:name="table of authorities" w:semiHidden="1"/>
    <w:lsdException w:name="macro" w:semiHidden="1"/>
    <w:lsdException w:name="toa heading" w:semiHidden="1"/>
    <w:lsdException w:name="List" w:semiHidden="1"/>
    <w:lsdException w:name="List Bullet" w:uiPriority="2" w:qFormat="1"/>
    <w:lsdException w:name="List Number" w:uiPriority="1" w:qFormat="1"/>
    <w:lsdException w:name="List 2" w:semiHidden="1"/>
    <w:lsdException w:name="List 3" w:semiHidden="1"/>
    <w:lsdException w:name="List 4" w:semiHidden="1"/>
    <w:lsdException w:name="List 5" w:semiHidden="1"/>
    <w:lsdException w:name="List Bullet 2" w:uiPriority="2"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8" w:qFormat="1"/>
    <w:lsdException w:name="Closing" w:semiHidden="1"/>
    <w:lsdException w:name="Signature" w:semiHidden="1"/>
    <w:lsdException w:name="Default Paragraph Font" w:semiHidden="1" w:uiPriority="1" w:unhideWhenUsed="1"/>
    <w:lsdException w:name="Body Text" w:uiPriority="1" w:qFormat="1"/>
    <w:lsdException w:name="Body Text Indent" w:uiPriority="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lsdException w:name="Salutation" w:semiHidden="1"/>
    <w:lsdException w:name="Date" w:semiHidden="1" w:uiPriority="8"/>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8"/>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8"/>
    <w:semiHidden/>
    <w:qFormat/>
    <w:rsid w:val="00BE158B"/>
    <w:pPr>
      <w:spacing w:after="240" w:line="276" w:lineRule="auto"/>
    </w:pPr>
    <w:rPr>
      <w:sz w:val="24"/>
    </w:rPr>
  </w:style>
  <w:style w:type="paragraph" w:styleId="Heading1">
    <w:name w:val="heading 1"/>
    <w:next w:val="BodyText"/>
    <w:link w:val="Heading1Char"/>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qFormat/>
    <w:rsid w:val="00100F5B"/>
    <w:pPr>
      <w:keepNext/>
      <w:keepLines/>
      <w:spacing w:before="240" w:after="120" w:line="276" w:lineRule="auto"/>
      <w:outlineLvl w:val="1"/>
    </w:pPr>
    <w:rPr>
      <w:rFonts w:asciiTheme="majorHAnsi" w:eastAsiaTheme="majorEastAsia" w:hAnsiTheme="majorHAnsi" w:cstheme="majorBidi"/>
      <w:b/>
      <w:color w:val="1D609D" w:themeColor="accent1"/>
      <w:sz w:val="32"/>
      <w:szCs w:val="26"/>
    </w:rPr>
  </w:style>
  <w:style w:type="paragraph" w:styleId="Heading3">
    <w:name w:val="heading 3"/>
    <w:next w:val="BodyText"/>
    <w:link w:val="Heading3Char"/>
    <w:qFormat/>
    <w:rsid w:val="004F1A16"/>
    <w:pPr>
      <w:keepNext/>
      <w:keepLines/>
      <w:spacing w:after="240" w:line="276" w:lineRule="auto"/>
      <w:contextualSpacing/>
      <w:outlineLvl w:val="2"/>
    </w:pPr>
    <w:rPr>
      <w:rFonts w:asciiTheme="majorHAnsi" w:eastAsiaTheme="majorEastAsia" w:hAnsiTheme="majorHAnsi" w:cstheme="majorBidi"/>
      <w:b/>
      <w:sz w:val="24"/>
      <w:szCs w:val="24"/>
    </w:rPr>
  </w:style>
  <w:style w:type="paragraph" w:styleId="Heading4">
    <w:name w:val="heading 4"/>
    <w:next w:val="BodyText"/>
    <w:link w:val="Heading4Char"/>
    <w:qFormat/>
    <w:rsid w:val="002F075A"/>
    <w:pPr>
      <w:keepNext/>
      <w:keepLines/>
      <w:spacing w:after="0" w:line="276" w:lineRule="auto"/>
      <w:contextualSpacing/>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paragraph" w:styleId="Title">
    <w:name w:val="Title"/>
    <w:next w:val="Subtitle"/>
    <w:link w:val="TitleChar"/>
    <w:uiPriority w:val="8"/>
    <w:semiHidden/>
    <w:qFormat/>
    <w:rsid w:val="00BE158B"/>
    <w:pPr>
      <w:spacing w:before="2940" w:after="0" w:line="240" w:lineRule="auto"/>
      <w:contextualSpacing/>
      <w:outlineLvl w:val="0"/>
    </w:pPr>
    <w:rPr>
      <w:rFonts w:asciiTheme="majorHAnsi" w:eastAsiaTheme="majorEastAsia" w:hAnsiTheme="majorHAnsi" w:cstheme="majorBidi"/>
      <w:b/>
      <w:color w:val="1D609D" w:themeColor="accent1"/>
      <w:sz w:val="68"/>
      <w:szCs w:val="56"/>
    </w:rPr>
  </w:style>
  <w:style w:type="character" w:customStyle="1" w:styleId="TitleChar">
    <w:name w:val="Title Char"/>
    <w:basedOn w:val="DefaultParagraphFont"/>
    <w:link w:val="Title"/>
    <w:uiPriority w:val="8"/>
    <w:semiHidden/>
    <w:rsid w:val="00BE158B"/>
    <w:rPr>
      <w:rFonts w:asciiTheme="majorHAnsi" w:eastAsiaTheme="majorEastAsia" w:hAnsiTheme="majorHAnsi" w:cstheme="majorBidi"/>
      <w:b/>
      <w:color w:val="1D609D" w:themeColor="accent1"/>
      <w:sz w:val="68"/>
      <w:szCs w:val="56"/>
    </w:rPr>
  </w:style>
  <w:style w:type="paragraph" w:styleId="Subtitle">
    <w:name w:val="Subtitle"/>
    <w:next w:val="BodyText"/>
    <w:link w:val="SubtitleChar"/>
    <w:uiPriority w:val="8"/>
    <w:semiHidden/>
    <w:rsid w:val="00BE158B"/>
    <w:pPr>
      <w:numPr>
        <w:ilvl w:val="1"/>
      </w:numPr>
      <w:spacing w:after="0" w:line="240" w:lineRule="auto"/>
      <w:contextualSpacing/>
      <w:outlineLvl w:val="1"/>
    </w:pPr>
    <w:rPr>
      <w:rFonts w:asciiTheme="majorHAnsi" w:eastAsiaTheme="minorEastAsia" w:hAnsiTheme="majorHAnsi"/>
      <w:b/>
      <w:color w:val="1D609D" w:themeColor="accent1"/>
      <w:sz w:val="48"/>
    </w:rPr>
  </w:style>
  <w:style w:type="character" w:customStyle="1" w:styleId="SubtitleChar">
    <w:name w:val="Subtitle Char"/>
    <w:basedOn w:val="DefaultParagraphFont"/>
    <w:link w:val="Subtitle"/>
    <w:uiPriority w:val="8"/>
    <w:semiHidden/>
    <w:rsid w:val="00BE158B"/>
    <w:rPr>
      <w:rFonts w:asciiTheme="majorHAnsi" w:eastAsiaTheme="minorEastAsia" w:hAnsiTheme="majorHAnsi"/>
      <w:b/>
      <w:color w:val="1D609D" w:themeColor="accent1"/>
      <w:sz w:val="48"/>
    </w:rPr>
  </w:style>
  <w:style w:type="character" w:styleId="FollowedHyperlink">
    <w:name w:val="FollowedHyperlink"/>
    <w:uiPriority w:val="8"/>
    <w:unhideWhenUsed/>
    <w:rsid w:val="00D50660"/>
    <w:rPr>
      <w:color w:val="00B1EB" w:themeColor="followedHyperlink"/>
      <w:u w:val="single"/>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8"/>
    <w:semiHidden/>
    <w:rsid w:val="00AD05F3"/>
    <w:pPr>
      <w:outlineLvl w:val="9"/>
    </w:pPr>
  </w:style>
  <w:style w:type="character" w:customStyle="1" w:styleId="Heading2Char">
    <w:name w:val="Heading 2 Char"/>
    <w:basedOn w:val="DefaultParagraphFont"/>
    <w:link w:val="Heading2"/>
    <w:rsid w:val="00100F5B"/>
    <w:rPr>
      <w:rFonts w:asciiTheme="majorHAnsi" w:eastAsiaTheme="majorEastAsia" w:hAnsiTheme="majorHAnsi" w:cstheme="majorBidi"/>
      <w:b/>
      <w:color w:val="1D609D" w:themeColor="accent1"/>
      <w:sz w:val="32"/>
      <w:szCs w:val="26"/>
    </w:rPr>
  </w:style>
  <w:style w:type="character" w:customStyle="1" w:styleId="Heading3Char">
    <w:name w:val="Heading 3 Char"/>
    <w:basedOn w:val="DefaultParagraphFont"/>
    <w:link w:val="Heading3"/>
    <w:rsid w:val="004F1A16"/>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pPr>
      <w:spacing w:after="240" w:line="276" w:lineRule="auto"/>
    </w:pPr>
    <w:rPr>
      <w:sz w:val="24"/>
    </w:rPr>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1"/>
      </w:numPr>
      <w:contextualSpacing/>
    </w:pPr>
  </w:style>
  <w:style w:type="paragraph" w:styleId="ListBullet2">
    <w:name w:val="List Bullet 2"/>
    <w:uiPriority w:val="2"/>
    <w:qFormat/>
    <w:rsid w:val="00446DDB"/>
    <w:pPr>
      <w:numPr>
        <w:numId w:val="2"/>
      </w:numPr>
      <w:spacing w:after="240" w:line="276" w:lineRule="auto"/>
      <w:contextualSpacing/>
    </w:pPr>
    <w:rPr>
      <w:sz w:val="24"/>
    </w:rPr>
  </w:style>
  <w:style w:type="paragraph" w:styleId="ListNumber">
    <w:name w:val="List Number"/>
    <w:basedOn w:val="BodyText"/>
    <w:uiPriority w:val="1"/>
    <w:qFormat/>
    <w:rsid w:val="002F075A"/>
    <w:pPr>
      <w:numPr>
        <w:numId w:val="3"/>
      </w:numPr>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99"/>
    <w:rsid w:val="00990242"/>
    <w:pPr>
      <w:spacing w:after="0" w:line="240" w:lineRule="auto"/>
      <w:jc w:val="center"/>
    </w:pPr>
    <w:rPr>
      <w:b/>
    </w:rPr>
  </w:style>
  <w:style w:type="character" w:customStyle="1" w:styleId="FooterChar">
    <w:name w:val="Footer Char"/>
    <w:basedOn w:val="DefaultParagraphFont"/>
    <w:link w:val="Footer"/>
    <w:uiPriority w:val="99"/>
    <w:rsid w:val="00BC4DBC"/>
    <w:rPr>
      <w:b/>
      <w:sz w:val="24"/>
    </w:rPr>
  </w:style>
  <w:style w:type="paragraph" w:styleId="TOC1">
    <w:name w:val="toc 1"/>
    <w:basedOn w:val="BodyText"/>
    <w:uiPriority w:val="39"/>
    <w:semiHidden/>
    <w:rsid w:val="003D27AC"/>
    <w:pPr>
      <w:tabs>
        <w:tab w:val="right" w:pos="9639"/>
      </w:tabs>
      <w:spacing w:before="240" w:after="120"/>
    </w:pPr>
    <w:rPr>
      <w:b/>
    </w:rPr>
  </w:style>
  <w:style w:type="paragraph" w:styleId="TOC2">
    <w:name w:val="toc 2"/>
    <w:basedOn w:val="TableText"/>
    <w:next w:val="BodyText"/>
    <w:uiPriority w:val="39"/>
    <w:semiHidden/>
    <w:rsid w:val="00956233"/>
    <w:pPr>
      <w:spacing w:before="120" w:after="120"/>
    </w:pPr>
    <w:rPr>
      <w:b/>
    </w:rPr>
  </w:style>
  <w:style w:type="character" w:styleId="Hyperlink">
    <w:name w:val="Hyperlink"/>
    <w:uiPriority w:val="7"/>
    <w:unhideWhenUsed/>
    <w:rsid w:val="00990242"/>
    <w:rPr>
      <w:color w:val="00B1EB" w:themeColor="hyperlink"/>
      <w:u w:val="single"/>
    </w:rPr>
  </w:style>
  <w:style w:type="paragraph" w:customStyle="1" w:styleId="EmphasisHeading">
    <w:name w:val="Emphasis Heading"/>
    <w:basedOn w:val="BodyText"/>
    <w:next w:val="EmphasisText"/>
    <w:uiPriority w:val="3"/>
    <w:qFormat/>
    <w:rsid w:val="00601DDB"/>
    <w:pPr>
      <w:keepNext/>
      <w:keepLines/>
      <w:pBdr>
        <w:top w:val="single" w:sz="48" w:space="6" w:color="F0FAFE"/>
        <w:left w:val="single" w:sz="48" w:space="4" w:color="F0FAFE"/>
        <w:bottom w:val="single" w:sz="48" w:space="6" w:color="F0FAFE"/>
        <w:right w:val="single" w:sz="48" w:space="4" w:color="F0FAFE"/>
      </w:pBdr>
      <w:shd w:val="clear" w:color="auto" w:fill="F0FAFE"/>
      <w:spacing w:before="240"/>
      <w:ind w:left="199"/>
    </w:pPr>
    <w:rPr>
      <w:b/>
      <w:color w:val="003057"/>
      <w:sz w:val="20"/>
    </w:rPr>
  </w:style>
  <w:style w:type="paragraph" w:customStyle="1" w:styleId="EmphasisText">
    <w:name w:val="Emphasis Text"/>
    <w:basedOn w:val="BodyText"/>
    <w:uiPriority w:val="3"/>
    <w:qFormat/>
    <w:rsid w:val="00601DDB"/>
    <w:pPr>
      <w:keepLines/>
      <w:pBdr>
        <w:top w:val="single" w:sz="48" w:space="0" w:color="F0FAFE"/>
        <w:left w:val="single" w:sz="48" w:space="4" w:color="F0FAFE"/>
        <w:bottom w:val="single" w:sz="48" w:space="6" w:color="F0FAFE"/>
        <w:right w:val="single" w:sz="48" w:space="4" w:color="F0FAFE"/>
      </w:pBdr>
      <w:shd w:val="clear" w:color="auto" w:fill="F0FAFE"/>
      <w:spacing w:after="0"/>
      <w:ind w:left="199"/>
    </w:pPr>
    <w:rPr>
      <w:color w:val="003057"/>
      <w:sz w:val="20"/>
      <w:szCs w:val="20"/>
    </w:rPr>
  </w:style>
  <w:style w:type="table" w:styleId="TableGrid">
    <w:name w:val="Table Grid"/>
    <w:basedOn w:val="TableNormal"/>
    <w:uiPriority w:val="39"/>
    <w:rsid w:val="00B60F6D"/>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auto"/>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F0FAFE"/>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styleId="UnresolvedMention">
    <w:name w:val="Unresolved Mention"/>
    <w:basedOn w:val="DefaultParagraphFont"/>
    <w:uiPriority w:val="99"/>
    <w:semiHidden/>
    <w:rsid w:val="00AD52C7"/>
    <w:rPr>
      <w:color w:val="808080"/>
      <w:shd w:val="clear" w:color="auto" w:fill="E6E6E6"/>
    </w:rPr>
  </w:style>
  <w:style w:type="paragraph" w:customStyle="1" w:styleId="TableText">
    <w:name w:val="Table Text"/>
    <w:basedOn w:val="BodyText"/>
    <w:link w:val="TableTextChar"/>
    <w:uiPriority w:val="8"/>
    <w:qFormat/>
    <w:rsid w:val="004B559C"/>
    <w:pPr>
      <w:spacing w:after="0" w:line="240" w:lineRule="auto"/>
    </w:pPr>
    <w:rPr>
      <w:sz w:val="16"/>
    </w:rPr>
  </w:style>
  <w:style w:type="character" w:customStyle="1" w:styleId="TableTextChar">
    <w:name w:val="Table Text Char"/>
    <w:basedOn w:val="BodyTextChar"/>
    <w:link w:val="TableText"/>
    <w:uiPriority w:val="8"/>
    <w:rsid w:val="004B559C"/>
    <w:rPr>
      <w:sz w:val="16"/>
    </w:rPr>
  </w:style>
  <w:style w:type="table" w:customStyle="1" w:styleId="MoJTable1">
    <w:name w:val="MoJTable1"/>
    <w:basedOn w:val="TableNormal"/>
    <w:next w:val="TableGrid"/>
    <w:uiPriority w:val="39"/>
    <w:rsid w:val="00B60F6D"/>
    <w:pPr>
      <w:spacing w:after="0" w:line="240" w:lineRule="auto"/>
    </w:pPr>
    <w:tblPr>
      <w:tblBorders>
        <w:top w:val="single" w:sz="4" w:space="0" w:color="1D609D"/>
        <w:left w:val="single" w:sz="4" w:space="0" w:color="1D609D"/>
        <w:bottom w:val="single" w:sz="4" w:space="0" w:color="1D609D"/>
        <w:right w:val="single" w:sz="4" w:space="0" w:color="1D609D"/>
        <w:insideH w:val="single" w:sz="4" w:space="0" w:color="1D609D"/>
        <w:insideV w:val="single" w:sz="4" w:space="0" w:color="1D609D"/>
      </w:tblBorders>
      <w:tblCellMar>
        <w:top w:w="57" w:type="dxa"/>
        <w:left w:w="57" w:type="dxa"/>
        <w:bottom w:w="57" w:type="dxa"/>
        <w:right w:w="57" w:type="dxa"/>
      </w:tblCellMar>
    </w:tblPr>
    <w:tblStylePr w:type="firstRow">
      <w:pPr>
        <w:keepNext/>
        <w:keepLines/>
        <w:widowControl/>
        <w:wordWrap/>
      </w:pPr>
      <w:rPr>
        <w:b/>
        <w:color w:val="auto"/>
      </w:rPr>
      <w:tblPr/>
      <w:tcPr>
        <w:tcBorders>
          <w:top w:val="single" w:sz="4" w:space="0" w:color="1D609D"/>
          <w:left w:val="single" w:sz="4" w:space="0" w:color="1D609D"/>
          <w:bottom w:val="single" w:sz="4" w:space="0" w:color="1D609D"/>
          <w:right w:val="single" w:sz="4" w:space="0" w:color="1D609D"/>
          <w:insideH w:val="single" w:sz="4" w:space="0" w:color="1D609D"/>
          <w:insideV w:val="single" w:sz="4" w:space="0" w:color="1D609D"/>
          <w:tl2br w:val="nil"/>
          <w:tr2bl w:val="nil"/>
        </w:tcBorders>
        <w:shd w:val="clear" w:color="auto" w:fill="F0FAFE"/>
      </w:tcPr>
    </w:tblStylePr>
    <w:tblStylePr w:type="firstCol">
      <w:rPr>
        <w:b/>
        <w:i w:val="0"/>
      </w:rPr>
    </w:tblStylePr>
  </w:style>
  <w:style w:type="table" w:styleId="TableGridLight">
    <w:name w:val="Grid Table Light"/>
    <w:basedOn w:val="TableNormal"/>
    <w:uiPriority w:val="40"/>
    <w:rsid w:val="00B60F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TableText"/>
    <w:next w:val="Normal"/>
    <w:autoRedefine/>
    <w:uiPriority w:val="99"/>
    <w:semiHidden/>
    <w:rsid w:val="008A6C4B"/>
    <w:pPr>
      <w:spacing w:after="100"/>
      <w:ind w:left="480"/>
    </w:pPr>
  </w:style>
  <w:style w:type="paragraph" w:customStyle="1" w:styleId="ContentsHeading">
    <w:name w:val="Contents Heading"/>
    <w:link w:val="ContentsHeadingChar"/>
    <w:uiPriority w:val="8"/>
    <w:qFormat/>
    <w:rsid w:val="00472DA0"/>
    <w:rPr>
      <w:rFonts w:asciiTheme="majorHAnsi" w:eastAsiaTheme="majorEastAsia" w:hAnsiTheme="majorHAnsi" w:cstheme="majorBidi"/>
      <w:b/>
      <w:color w:val="1D609D" w:themeColor="accent1"/>
      <w:sz w:val="32"/>
      <w:szCs w:val="26"/>
    </w:rPr>
  </w:style>
  <w:style w:type="character" w:customStyle="1" w:styleId="ContentsHeadingChar">
    <w:name w:val="Contents Heading Char"/>
    <w:basedOn w:val="Heading2Char"/>
    <w:link w:val="ContentsHeading"/>
    <w:uiPriority w:val="8"/>
    <w:rsid w:val="00472DA0"/>
    <w:rPr>
      <w:rFonts w:asciiTheme="majorHAnsi" w:eastAsiaTheme="majorEastAsia" w:hAnsiTheme="majorHAnsi" w:cstheme="majorBidi"/>
      <w:b/>
      <w:color w:val="1D609D" w:themeColor="accent1"/>
      <w:sz w:val="32"/>
      <w:szCs w:val="26"/>
    </w:rPr>
  </w:style>
  <w:style w:type="paragraph" w:customStyle="1" w:styleId="Descriptiontext">
    <w:name w:val="Description text"/>
    <w:basedOn w:val="TableText"/>
    <w:link w:val="DescriptiontextChar"/>
    <w:uiPriority w:val="8"/>
    <w:qFormat/>
    <w:rsid w:val="008F6F60"/>
    <w:pPr>
      <w:spacing w:after="160"/>
    </w:pPr>
    <w:rPr>
      <w:sz w:val="18"/>
    </w:rPr>
  </w:style>
  <w:style w:type="character" w:customStyle="1" w:styleId="DescriptiontextChar">
    <w:name w:val="Description text Char"/>
    <w:basedOn w:val="TableTextChar"/>
    <w:link w:val="Descriptiontext"/>
    <w:uiPriority w:val="8"/>
    <w:rsid w:val="008F6F60"/>
    <w:rPr>
      <w:sz w:val="18"/>
    </w:rPr>
  </w:style>
  <w:style w:type="paragraph" w:customStyle="1" w:styleId="Cover">
    <w:name w:val="Cover"/>
    <w:link w:val="CoverChar"/>
    <w:uiPriority w:val="8"/>
    <w:qFormat/>
    <w:rsid w:val="00B97D74"/>
    <w:pPr>
      <w:spacing w:before="120" w:after="280"/>
    </w:pPr>
    <w:rPr>
      <w:rFonts w:asciiTheme="majorHAnsi" w:eastAsiaTheme="majorEastAsia" w:hAnsiTheme="majorHAnsi" w:cstheme="majorBidi"/>
      <w:b/>
      <w:color w:val="1D609D" w:themeColor="accent1"/>
      <w:sz w:val="48"/>
      <w:szCs w:val="32"/>
    </w:rPr>
  </w:style>
  <w:style w:type="character" w:customStyle="1" w:styleId="CoverChar">
    <w:name w:val="Cover Char"/>
    <w:basedOn w:val="Heading1Char"/>
    <w:link w:val="Cover"/>
    <w:uiPriority w:val="8"/>
    <w:rsid w:val="00B97D74"/>
    <w:rPr>
      <w:rFonts w:asciiTheme="majorHAnsi" w:eastAsiaTheme="majorEastAsia" w:hAnsiTheme="majorHAnsi" w:cstheme="majorBidi"/>
      <w:b/>
      <w:color w:val="1D609D" w:themeColor="accent1"/>
      <w:sz w:val="48"/>
      <w:szCs w:val="32"/>
    </w:rPr>
  </w:style>
  <w:style w:type="paragraph" w:customStyle="1" w:styleId="SummaryTable">
    <w:name w:val="Summary Table"/>
    <w:basedOn w:val="TableText"/>
    <w:link w:val="SummaryTableChar"/>
    <w:uiPriority w:val="8"/>
    <w:qFormat/>
    <w:rsid w:val="00570BF8"/>
    <w:pPr>
      <w:keepLines/>
    </w:pPr>
    <w:rPr>
      <w:noProof/>
      <w:sz w:val="14"/>
    </w:rPr>
  </w:style>
  <w:style w:type="character" w:customStyle="1" w:styleId="SummaryTableChar">
    <w:name w:val="Summary Table Char"/>
    <w:basedOn w:val="TableTextChar"/>
    <w:link w:val="SummaryTable"/>
    <w:uiPriority w:val="8"/>
    <w:rsid w:val="00570BF8"/>
    <w:rPr>
      <w:noProof/>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1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image" Target="media/image1.jp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footer" Target="footer1.xml"/>
<Relationship Id="rId13" Type="http://schemas.openxmlformats.org/officeDocument/2006/relationships/hyperlink" Target="https://data.justice.gov.uk/justice-in-numbers" TargetMode="External"/>
<Relationship Id="rId14" Type="http://schemas.openxmlformats.org/officeDocument/2006/relationships/image" Target="media/file50bc4c6c4.png"/>
<Relationship Id="rId15" Type="http://schemas.openxmlformats.org/officeDocument/2006/relationships/image" Target="media/file50b4aa00b0c.png"/>
<Relationship Id="rId16" Type="http://schemas.openxmlformats.org/officeDocument/2006/relationships/hyperlink" Target="https://www.ons.gov.uk/peoplepopulationandcommunity/crimeandjustice/datasets/crimeinenglandandwalesappendixtables" TargetMode="External"/>
<Relationship Id="rId17" Type="http://schemas.openxmlformats.org/officeDocument/2006/relationships/hyperlink" Target="https://data.justice.gov.uk/cjs-statistics/cjs-crime#ons-crime-survey" TargetMode="External"/>
<Relationship Id="rId18" Type="http://schemas.openxmlformats.org/officeDocument/2006/relationships/image" Target="media/file50b145ffbb5.png"/>
<Relationship Id="rId19" Type="http://schemas.openxmlformats.org/officeDocument/2006/relationships/hyperlink" Target="https://data.justice.gov.uk/cjs-statistics/cjs-crime#ons-police-recorded-crime" TargetMode="External"/>
<Relationship Id="rId20" Type="http://schemas.openxmlformats.org/officeDocument/2006/relationships/image" Target="media/file50b3332c27c.png"/>
<Relationship Id="rId21" Type="http://schemas.openxmlformats.org/officeDocument/2006/relationships/hyperlink" Target="https://www.gov.uk/government/collections/offender-management-statistics-quarterly" TargetMode="External"/>
<Relationship Id="rId22" Type="http://schemas.openxmlformats.org/officeDocument/2006/relationships/hyperlink" Target="https://data.justice.gov.uk/prisons/offender-management#population" TargetMode="External"/>
<Relationship Id="rId23" Type="http://schemas.openxmlformats.org/officeDocument/2006/relationships/image" Target="media/file50b4ce3b17c.png"/>
<Relationship Id="rId24" Type="http://schemas.openxmlformats.org/officeDocument/2006/relationships/hyperlink" Target="https://data.justice.gov.uk/probation/offender-management#caseload-total" TargetMode="External"/>
<Relationship Id="rId25" Type="http://schemas.openxmlformats.org/officeDocument/2006/relationships/image" Target="media/file50b3edd352.png"/>
<Relationship Id="rId26" Type="http://schemas.openxmlformats.org/officeDocument/2006/relationships/hyperlink" Target="https://www.gov.uk/government/collections/proven-reoffending-statistics" TargetMode="External"/>
<Relationship Id="rId27" Type="http://schemas.openxmlformats.org/officeDocument/2006/relationships/hyperlink" Target="https://data.justice.gov.uk/cjs-statistics/cjs-reoffending#proven-reoffending" TargetMode="External"/>
<Relationship Id="rId28" Type="http://schemas.openxmlformats.org/officeDocument/2006/relationships/image" Target="media/file50b28968139.png"/>
<Relationship Id="rId29" Type="http://schemas.openxmlformats.org/officeDocument/2006/relationships/hyperlink" Target="https://www.gov.uk/government/collections/criminal-court-statistics" TargetMode="External"/>
<Relationship Id="rId30" Type="http://schemas.openxmlformats.org/officeDocument/2006/relationships/hyperlink" Target="https://data.justice.gov.uk/courts/criminal-courts#courts-crowns-disposals" TargetMode="External"/>
<Relationship Id="rId31" Type="http://schemas.openxmlformats.org/officeDocument/2006/relationships/image" Target="media/file50b26340251.png"/>
<Relationship Id="rId32" Type="http://schemas.openxmlformats.org/officeDocument/2006/relationships/hyperlink" Target="https://data.justice.gov.uk/courts/criminal-courts#courts-crowns-outstanding" TargetMode="External"/>
<Relationship Id="rId33" Type="http://schemas.openxmlformats.org/officeDocument/2006/relationships/image" Target="media/file50b27a9ffb8.png"/>
<Relationship Id="rId34" Type="http://schemas.openxmlformats.org/officeDocument/2006/relationships/hyperlink" Target="https://data.justice.gov.uk/courts/criminal-courts#courts-magistrates-disposals" TargetMode="External"/>
<Relationship Id="rId35" Type="http://schemas.openxmlformats.org/officeDocument/2006/relationships/image" Target="media/file50b1b901d7.png"/>
<Relationship Id="rId36" Type="http://schemas.openxmlformats.org/officeDocument/2006/relationships/hyperlink" Target="https://www.gov.uk/government/collections/civil-justice-statistics-quarterly" TargetMode="External"/>
<Relationship Id="rId37" Type="http://schemas.openxmlformats.org/officeDocument/2006/relationships/hyperlink" Target="https://data.justice.gov.uk/courts/civil-courts#courts-civil-total-judgments" TargetMode="External"/>
<Relationship Id="rId38" Type="http://schemas.openxmlformats.org/officeDocument/2006/relationships/image" Target="media/file50b6708e400.png"/>
<Relationship Id="rId39" Type="http://schemas.openxmlformats.org/officeDocument/2006/relationships/hyperlink" Target="https://www.gov.uk/government/collections/family-court-statistics-quarterly" TargetMode="External"/>
<Relationship Id="rId40" Type="http://schemas.openxmlformats.org/officeDocument/2006/relationships/hyperlink" Target="https://data.justice.gov.uk/courts/family-courts#courts-family-total-disposals" TargetMode="External"/>
<Relationship Id="rId41" Type="http://schemas.openxmlformats.org/officeDocument/2006/relationships/image" Target="media/file50bf3275d7.png"/>
<Relationship Id="rId42" Type="http://schemas.openxmlformats.org/officeDocument/2006/relationships/hyperlink" Target="https://www.gov.uk/government/collections/tribunals-statistics" TargetMode="External"/>
<Relationship Id="rId43" Type="http://schemas.openxmlformats.org/officeDocument/2006/relationships/hyperlink" Target="https://data.justice.gov.uk/courts/tribunals#courts-tribunals-disposals-overall" TargetMode="External"/>
<Relationship Id="rId44" Type="http://schemas.openxmlformats.org/officeDocument/2006/relationships/image" Target="media/file50b4f815074.png"/>
<Relationship Id="rId45" Type="http://schemas.openxmlformats.org/officeDocument/2006/relationships/hyperlink" Target="https://data.justice.gov.uk/prisons/offender-management#receptions" TargetMode="External"/>
<Relationship Id="rId46" Type="http://schemas.openxmlformats.org/officeDocument/2006/relationships/image" Target="media/file50b32d05772.png"/>
<Relationship Id="rId47" Type="http://schemas.openxmlformats.org/officeDocument/2006/relationships/image" Target="media/file50b73494ea3.png"/>
<Relationship Id="rId48" Type="http://schemas.openxmlformats.org/officeDocument/2006/relationships/hyperlink" Target="https://data.justice.gov.uk/justice-in-numbers/jin-public-protection#jin-prison-population-sex" TargetMode="External"/>
<Relationship Id="rId49" Type="http://schemas.openxmlformats.org/officeDocument/2006/relationships/image" Target="media/file50b58c0d15e.png"/>
<Relationship Id="rId50" Type="http://schemas.openxmlformats.org/officeDocument/2006/relationships/hyperlink" Target="https://data.justice.gov.uk/justice-in-numbers/jin-public-protection#jin-prison-population-age" TargetMode="External"/>
<Relationship Id="rId51" Type="http://schemas.openxmlformats.org/officeDocument/2006/relationships/image" Target="media/file50b528d0436.png"/>
<Relationship Id="rId52" Type="http://schemas.openxmlformats.org/officeDocument/2006/relationships/hyperlink" Target="https://data.justice.gov.uk/justice-in-numbers/jin-public-protection#jin-prison-population-offence" TargetMode="External"/>
<Relationship Id="rId53" Type="http://schemas.openxmlformats.org/officeDocument/2006/relationships/image" Target="media/file50b756841f5.png"/>
<Relationship Id="rId54" Type="http://schemas.openxmlformats.org/officeDocument/2006/relationships/hyperlink" Target="https://data.justice.gov.uk/prisons/offender-management#releases" TargetMode="External"/>
<Relationship Id="rId55" Type="http://schemas.openxmlformats.org/officeDocument/2006/relationships/image" Target="media/file50b66903d75.png"/>
<Relationship Id="rId56" Type="http://schemas.openxmlformats.org/officeDocument/2006/relationships/hyperlink" Target="https://data.justice.gov.uk/prisons/offender-management#rotl" TargetMode="External"/>
<Relationship Id="rId57" Type="http://schemas.openxmlformats.org/officeDocument/2006/relationships/image" Target="media/file50b2c367887.png"/>
<Relationship Id="rId58" Type="http://schemas.openxmlformats.org/officeDocument/2006/relationships/hyperlink" Target="https://www.gov.uk/government/publications/prisons-and-their-resettlement-providers" TargetMode="External"/>
<Relationship Id="rId59" Type="http://schemas.openxmlformats.org/officeDocument/2006/relationships/hyperlink" Target="https://data.justice.gov.uk/justice-in-numbers/jin-public-protection#jin-prison-type" TargetMode="External"/>
<Relationship Id="rId60" Type="http://schemas.openxmlformats.org/officeDocument/2006/relationships/image" Target="media/file50b4a4204ca.png"/>
<Relationship Id="rId61" Type="http://schemas.openxmlformats.org/officeDocument/2006/relationships/hyperlink" Target="https://data.justice.gov.uk/justice-in-numbers/jin-public-protection#jin-prison-ownership" TargetMode="External"/>
<Relationship Id="rId62" Type="http://schemas.openxmlformats.org/officeDocument/2006/relationships/image" Target="media/file50b166f71bd.png"/>
<Relationship Id="rId63" Type="http://schemas.openxmlformats.org/officeDocument/2006/relationships/hyperlink" Target="https://www.gov.uk/government/collections/prison-population-statistics" TargetMode="External"/>
<Relationship Id="rId64" Type="http://schemas.openxmlformats.org/officeDocument/2006/relationships/hyperlink" Target="https://data.justice.gov.uk/prisons/offender-management#prison-opcap" TargetMode="External"/>
<Relationship Id="rId65" Type="http://schemas.openxmlformats.org/officeDocument/2006/relationships/image" Target="media/file50b1443c4f6.png"/>
<Relationship Id="rId66" Type="http://schemas.openxmlformats.org/officeDocument/2006/relationships/hyperlink" Target="https://www.gov.uk/government/collections/national-offender-management-service-workforce-statistics" TargetMode="External"/>
<Relationship Id="rId67" Type="http://schemas.openxmlformats.org/officeDocument/2006/relationships/hyperlink" Target="https://data.justice.gov.uk/prisons/additional#prison-staff-in-post" TargetMode="External"/>
<Relationship Id="rId68" Type="http://schemas.openxmlformats.org/officeDocument/2006/relationships/image" Target="media/file50b29ef5439.png"/>
<Relationship Id="rId69" Type="http://schemas.openxmlformats.org/officeDocument/2006/relationships/hyperlink" Target="https://www.gov.uk/government/statistics/hmpps-annual-digest-april-2021-to-march-2022" TargetMode="External"/>
<Relationship Id="rId70" Type="http://schemas.openxmlformats.org/officeDocument/2006/relationships/hyperlink" Target="https://data.justice.gov.uk/prisons/additional#crowding" TargetMode="External"/>
<Relationship Id="rId71" Type="http://schemas.openxmlformats.org/officeDocument/2006/relationships/image" Target="media/file50bbd0804c.png"/>
<Relationship Id="rId72" Type="http://schemas.openxmlformats.org/officeDocument/2006/relationships/hyperlink" Target="https://www.gov.uk/government/collections/safety-in-custody-statistics" TargetMode="External"/>
<Relationship Id="rId73" Type="http://schemas.openxmlformats.org/officeDocument/2006/relationships/hyperlink" Target="https://data.justice.gov.uk/prisons/safety-and-order#assaults-rate-prisoner" TargetMode="External"/>
<Relationship Id="rId74" Type="http://schemas.openxmlformats.org/officeDocument/2006/relationships/image" Target="media/file50b431a3e24.png"/>
<Relationship Id="rId75" Type="http://schemas.openxmlformats.org/officeDocument/2006/relationships/hyperlink" Target="https://data.justice.gov.uk/prisons/safety-and-order#assaults-rate-staff" TargetMode="External"/>
<Relationship Id="rId76" Type="http://schemas.openxmlformats.org/officeDocument/2006/relationships/image" Target="media/file50b47286ecd.png"/>
<Relationship Id="rId77" Type="http://schemas.openxmlformats.org/officeDocument/2006/relationships/hyperlink" Target="https://data.justice.gov.uk/prisons/safety-and-order#self-harm-rate" TargetMode="External"/>
<Relationship Id="rId78" Type="http://schemas.openxmlformats.org/officeDocument/2006/relationships/image" Target="media/file50b2822ac29.png"/>
<Relationship Id="rId79" Type="http://schemas.openxmlformats.org/officeDocument/2006/relationships/hyperlink" Target="https://data.justice.gov.uk/prisons/safety-and-order#self-inflicted-deaths" TargetMode="External"/>
<Relationship Id="rId80" Type="http://schemas.openxmlformats.org/officeDocument/2006/relationships/image" Target="media/file50b65ad7f79.png"/>
<Relationship Id="rId81" Type="http://schemas.openxmlformats.org/officeDocument/2006/relationships/hyperlink" Target="https://data.justice.gov.uk/prisons/prison-reform#random-mandatory-drug-testing" TargetMode="External"/>
<Relationship Id="rId82" Type="http://schemas.openxmlformats.org/officeDocument/2006/relationships/image" Target="media/file50b4c0a58d.png"/>
<Relationship Id="rId83" Type="http://schemas.openxmlformats.org/officeDocument/2006/relationships/hyperlink" Target="https://data.justice.gov.uk/prisons/safety-and-order#barricades" TargetMode="External"/>
<Relationship Id="rId84" Type="http://schemas.openxmlformats.org/officeDocument/2006/relationships/image" Target="media/file50b6e7923e3.png"/>
<Relationship Id="rId85" Type="http://schemas.openxmlformats.org/officeDocument/2006/relationships/hyperlink" Target="https://www.gov.uk/government/collections/prison-and-probation-trusts-performance-statistics#prison-performance-statistics" TargetMode="External"/>
<Relationship Id="rId86" Type="http://schemas.openxmlformats.org/officeDocument/2006/relationships/hyperlink" Target="https://data.justice.gov.uk/prisons/safety-and-order#risk-management-audit" TargetMode="External"/>
<Relationship Id="rId87" Type="http://schemas.openxmlformats.org/officeDocument/2006/relationships/image" Target="media/file50b1373de97.png"/>
<Relationship Id="rId88" Type="http://schemas.openxmlformats.org/officeDocument/2006/relationships/hyperlink" Target="https://data.justice.gov.uk/prisons/public-protection#escapes" TargetMode="External"/>
<Relationship Id="rId89" Type="http://schemas.openxmlformats.org/officeDocument/2006/relationships/image" Target="media/file50b718fbf10.png"/>
<Relationship Id="rId90" Type="http://schemas.openxmlformats.org/officeDocument/2006/relationships/hyperlink" Target="https://data.justice.gov.uk/prisons/public-protection#absconds" TargetMode="External"/>
<Relationship Id="rId91" Type="http://schemas.openxmlformats.org/officeDocument/2006/relationships/image" Target="media/file50b289e4f65.png"/>
<Relationship Id="rId92" Type="http://schemas.openxmlformats.org/officeDocument/2006/relationships/hyperlink" Target="https://data.justice.gov.uk/prisons/public-protection#security-audit" TargetMode="External"/>
<Relationship Id="rId93" Type="http://schemas.openxmlformats.org/officeDocument/2006/relationships/image" Target="media/file50b73ecac77.png"/>
<Relationship Id="rId94" Type="http://schemas.openxmlformats.org/officeDocument/2006/relationships/hyperlink" Target="https://www.gov.uk/government/collections/electronic-monitoring-publication" TargetMode="External"/>
<Relationship Id="rId95" Type="http://schemas.openxmlformats.org/officeDocument/2006/relationships/hyperlink" Target="https://data.justice.gov.uk/contracts/electronic-monitoring#em-total-caseload" TargetMode="External"/>
<Relationship Id="rId96" Type="http://schemas.openxmlformats.org/officeDocument/2006/relationships/image" Target="media/file50b1d7680e2.png"/>
<Relationship Id="rId97" Type="http://schemas.openxmlformats.org/officeDocument/2006/relationships/image" Target="media/file50b33e8ac7a.png"/>
<Relationship Id="rId98" Type="http://schemas.openxmlformats.org/officeDocument/2006/relationships/hyperlink" Target="https://data.justice.gov.uk/probation/additional#probation-staff-in-post" TargetMode="External"/>
<Relationship Id="rId99" Type="http://schemas.openxmlformats.org/officeDocument/2006/relationships/image" Target="media/file50b30a28656.png"/>
<Relationship Id="rId100" Type="http://schemas.openxmlformats.org/officeDocument/2006/relationships/hyperlink" Target="https://data.justice.gov.uk/probation/offender-management#sfo-convictions" TargetMode="External"/>
<Relationship Id="rId101" Type="http://schemas.openxmlformats.org/officeDocument/2006/relationships/image" Target="media/file50b65fbef4a.png"/>
<Relationship Id="rId102" Type="http://schemas.openxmlformats.org/officeDocument/2006/relationships/image" Target="media/file50b4d90b1c1.png"/>
<Relationship Id="rId103" Type="http://schemas.openxmlformats.org/officeDocument/2006/relationships/hyperlink" Target="https://www.gov.uk/government/collections/prison-and-probation-trusts-performance-statistics#community-performance-statistics" TargetMode="External"/>
<Relationship Id="rId104" Type="http://schemas.openxmlformats.org/officeDocument/2006/relationships/hyperlink" Target="https://data.justice.gov.uk/probation/ps-performance#ps-sl014" TargetMode="External"/>
<Relationship Id="rId105" Type="http://schemas.openxmlformats.org/officeDocument/2006/relationships/image" Target="media/file50b198ab463.png"/>
<Relationship Id="rId106" Type="http://schemas.openxmlformats.org/officeDocument/2006/relationships/hyperlink" Target="https://data.justice.gov.uk/probation/ps-performance#ps-sl015a" TargetMode="External"/>
<Relationship Id="rId107" Type="http://schemas.openxmlformats.org/officeDocument/2006/relationships/image" Target="media/file50b19f293.png"/>
<Relationship Id="rId108" Type="http://schemas.openxmlformats.org/officeDocument/2006/relationships/hyperlink" Target="https://data.justice.gov.uk/probation/ps-performance#ps-sl015b" TargetMode="External"/>
<Relationship Id="rId109" Type="http://schemas.openxmlformats.org/officeDocument/2006/relationships/image" Target="media/file50b4e4dc1f7.png"/>
<Relationship Id="rId110" Type="http://schemas.openxmlformats.org/officeDocument/2006/relationships/hyperlink" Target="https://data.justice.gov.uk/probation/ps-performance#ps-sl016" TargetMode="External"/>
<Relationship Id="rId111" Type="http://schemas.openxmlformats.org/officeDocument/2006/relationships/image" Target="media/file50b775ce273.png"/>
<Relationship Id="rId112" Type="http://schemas.openxmlformats.org/officeDocument/2006/relationships/hyperlink" Target="https://data.justice.gov.uk/probation/ps-performance#ps-sl017a" TargetMode="External"/>
<Relationship Id="rId113" Type="http://schemas.openxmlformats.org/officeDocument/2006/relationships/image" Target="media/file50b32fa258.png"/>
<Relationship Id="rId114" Type="http://schemas.openxmlformats.org/officeDocument/2006/relationships/hyperlink" Target="https://data.justice.gov.uk/probation/ps-performance#ps-sl017b" TargetMode="External"/>
<Relationship Id="rId115" Type="http://schemas.openxmlformats.org/officeDocument/2006/relationships/image" Target="media/file50bcf20f8d.png"/>
<Relationship Id="rId116" Type="http://schemas.openxmlformats.org/officeDocument/2006/relationships/image" Target="media/file50b599efeeb.png"/>
<Relationship Id="rId117" Type="http://schemas.openxmlformats.org/officeDocument/2006/relationships/hyperlink" Target="https://data.justice.gov.uk/prisons/prison-reform#random-mandatory-drug-testing-nps" TargetMode="External"/>
<Relationship Id="rId118" Type="http://schemas.openxmlformats.org/officeDocument/2006/relationships/image" Target="media/file50b32aeee56.png"/>
<Relationship Id="rId119" Type="http://schemas.openxmlformats.org/officeDocument/2006/relationships/hyperlink" Target="https://www.gov.uk/government/collections/alcohol-and-drug-misuse-and-treatment-statistics#alcohol-and-drug-treatment-statistics:-prisons-and-secure-settings" TargetMode="External"/>
<Relationship Id="rId120" Type="http://schemas.openxmlformats.org/officeDocument/2006/relationships/hyperlink" Target="https://data.justice.gov.uk/prisons/prison-reform#alcohol-drug-treatment" TargetMode="External"/>
<Relationship Id="rId121" Type="http://schemas.openxmlformats.org/officeDocument/2006/relationships/image" Target="media/file50b29420eb0.png"/>
<Relationship Id="rId122" Type="http://schemas.openxmlformats.org/officeDocument/2006/relationships/image" Target="media/file50b234eba80.png"/>
<Relationship Id="rId123" Type="http://schemas.openxmlformats.org/officeDocument/2006/relationships/image" Target="media/file50b302205a7.png"/>
<Relationship Id="rId124" Type="http://schemas.openxmlformats.org/officeDocument/2006/relationships/hyperlink" Target="https://data.justice.gov.uk/courts/criminal-courts#courts-crowns-trials-cracked" TargetMode="External"/>
<Relationship Id="rId125" Type="http://schemas.openxmlformats.org/officeDocument/2006/relationships/image" Target="media/file50b5b5d6c69.png"/>
<Relationship Id="rId126" Type="http://schemas.openxmlformats.org/officeDocument/2006/relationships/hyperlink" Target="https://data.justice.gov.uk/courts/criminal-courts#courts-crowns-trials-ineffective" TargetMode="External"/>
<Relationship Id="rId127" Type="http://schemas.openxmlformats.org/officeDocument/2006/relationships/image" Target="media/file50b74ab2e03.png"/>
<Relationship Id="rId128" Type="http://schemas.openxmlformats.org/officeDocument/2006/relationships/image" Target="media/file50b2c372392.png"/>
<Relationship Id="rId129" Type="http://schemas.openxmlformats.org/officeDocument/2006/relationships/hyperlink" Target="https://data.justice.gov.uk/courts/tribunals#courts-tribunals-employment-disposals" TargetMode="External"/>
<Relationship Id="rId130" Type="http://schemas.openxmlformats.org/officeDocument/2006/relationships/image" Target="media/file50b6691cd4f.png"/>
<Relationship Id="rId131" Type="http://schemas.openxmlformats.org/officeDocument/2006/relationships/hyperlink" Target="https://data.justice.gov.uk/justice-in-numbers/jin-access-to-justice#entry-to-completion-crown-mean-all" TargetMode="External"/>
<Relationship Id="rId132" Type="http://schemas.openxmlformats.org/officeDocument/2006/relationships/image" Target="media/file50b4c738ce3.png"/>
<Relationship Id="rId133" Type="http://schemas.openxmlformats.org/officeDocument/2006/relationships/hyperlink" Target="https://data.justice.gov.uk/justice-in-numbers/jin-access-to-justice#court-number-of-receipts-rape" TargetMode="External"/>
<Relationship Id="rId134" Type="http://schemas.openxmlformats.org/officeDocument/2006/relationships/image" Target="media/file50ba72c539.png"/>
<Relationship Id="rId135" Type="http://schemas.openxmlformats.org/officeDocument/2006/relationships/image" Target="media/file50b60cfa4e3.png"/>
<Relationship Id="rId136" Type="http://schemas.openxmlformats.org/officeDocument/2006/relationships/image" Target="media/file50b74ca1e33.png"/>
<Relationship Id="rId137" Type="http://schemas.openxmlformats.org/officeDocument/2006/relationships/image" Target="media/file50bcbbc8a1.png"/>
<Relationship Id="rId138" Type="http://schemas.openxmlformats.org/officeDocument/2006/relationships/hyperlink" Target="https://www.gov.uk/government/collections/legal-aid-statistics" TargetMode="External"/>
<Relationship Id="rId139" Type="http://schemas.openxmlformats.org/officeDocument/2006/relationships/hyperlink" Target="https://data.justice.gov.uk/justice-in-numbers/jin-access-to-justice#jin-legal-aid-total-expenditure" TargetMode="External"/>
</Relationships>

</file>

<file path=word/_rels/header1.xml.rels><?xml version="1.0" encoding="UTF-8" standalone="yes"?>

<Relationships  xmlns="http://schemas.openxmlformats.org/package/2006/relationships">
<Relationship Id="rId2" Type="http://schemas.openxmlformats.org/officeDocument/2006/relationships/image" Target="media/image3.png"/>
<Relationship Id="rId1" Type="http://schemas.openxmlformats.org/officeDocument/2006/relationships/image" Target="media/image2.pn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oo55o\Downloads\word-short-report-template-landscape.dotx" TargetMode="External"/></Relationships>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BB4B9-0C39-41D1-A017-6479DCA8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word-short-report-template-landscape.dotx</Template>
  <TotalTime>3</TotalTime>
  <Pages>2</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Manager>Ministry of Justice</Manager>
  <Company>Ministry of Justice</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Justice in Numbers Pocketbook</dc:title>
  <dc:subject>[Subtitle or description]</dc:subject>
  <dc:creator>Hall, Philip</dc:creator>
  <cp:keywords>Justice in Numbers</cp:keywords>
  <dc:description/>
  <cp:lastModifiedBy>phil-hall-moj</cp:lastModifiedBy>
  <cp:revision>4</cp:revision>
  <cp:lastPrinted>2022-10-06T13:50:00Z</cp:lastPrinted>
  <dcterms:created xsi:type="dcterms:W3CDTF">2023-04-18T07:51:00Z</dcterms:created>
  <dcterms:modified xsi:type="dcterms:W3CDTF">2023-07-27T17:21:49Z</dcterms:modified>
</cp:coreProperties>
</file>