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2924"/>
          <w:sz w:val="30"/>
          <w:szCs w:val="30"/>
        </w:rPr>
        <w:t xml:space="preserve">Sego Competitive Intelligence Memo — Prostate (mCRPC)</w:t>
      </w:r>
    </w:p>
    <w:p>
      <w:pPr>
        <w:pBdr>
          <w:bottom w:val="single" w:color="D5ED99" w:sz="12"/>
        </w:pBdr>
        <w:spacing w:after="200"/>
      </w:pPr>
      <w:r>
        <w:rPr>
          <w:rFonts w:ascii="Arial" w:cs="Arial" w:eastAsia="Arial" w:hAnsi="Arial"/>
          <w:color w:val="6B7770"/>
          <w:sz w:val="18"/>
          <w:szCs w:val="18"/>
        </w:rPr>
        <w:t xml:space="preserve">Monthly landscape for metastatic castration-resistant prostate cancer  |  Targets in scope: ACP3, KLK2  |  [Month Year]</w:t>
      </w:r>
    </w:p>
    <w:p>
      <w:pPr>
        <w:spacing w:after="40"/>
      </w:pPr>
      <w:r>
        <w:rPr>
          <w:rFonts w:ascii="Arial" w:cs="Arial" w:eastAsia="Arial" w:hAnsi="Arial"/>
          <w:color w:val="6B7770"/>
          <w:sz w:val="15"/>
          <w:szCs w:val="15"/>
        </w:rPr>
        <w:t xml:space="preserve">Prepared for: </w:t>
      </w:r>
      <w:r>
        <w:rPr>
          <w:rFonts w:ascii="Arial" w:cs="Arial" w:eastAsia="Arial" w:hAnsi="Arial"/>
          <w:sz w:val="15"/>
          <w:szCs w:val="15"/>
        </w:rPr>
        <w:t xml:space="preserve">Jeevan Virk (CEO), Richard Tavare (Research), Greg Mullen (CMO / Clinical Development)</w:t>
      </w:r>
    </w:p>
    <w:p>
      <w:pPr>
        <w:spacing w:after="200"/>
      </w:pPr>
      <w:r>
        <w:rPr>
          <w:rFonts w:ascii="Arial" w:cs="Arial" w:eastAsia="Arial" w:hAnsi="Arial"/>
          <w:color w:val="6B7770"/>
          <w:sz w:val="15"/>
          <w:szCs w:val="15"/>
        </w:rPr>
        <w:t xml:space="preserve">Generated from: </w:t>
      </w:r>
      <w:r>
        <w:rPr>
          <w:rFonts w:ascii="Arial" w:cs="Arial" w:eastAsia="Arial" w:hAnsi="Arial"/>
          <w:sz w:val="15"/>
          <w:szCs w:val="15"/>
        </w:rPr>
        <w:t xml:space="preserve">Sego CI Tracker, filtered to Indication = prostate  |  Cadence: monthly  |  Coverage cutoff: [date]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Template note: one memo per indication. This is the prostate/mCRPC memo and the master template the other indications clone (CRC, lung-squamous, lung-adeno, bladder). Everything is scoped to a single therapeutic arena so the SOC narrative, movements, and catalysts are comparable. Amber-bracketed text is agent-filled. Populated with real mid-2026 mCRPC data.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1.  Executive summary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The mCRPC standard of care is moving toward alpha-emitters and earlier lines; this cycle sharpened the salvage bar but did not change the strategic opening Sego targets.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The broad signal is unchanged: PSMA beta-RLT (Pluvicto) is the anchor of late-line mCRPC and is pushing earlier, while alpha-emitters are establishing a post-Pluvicto salvage standard where none existed. Sego's opening, PSMA-orthogonal antigens (ACP3, KLK2) for the ~30% of patients PSMA agents cannot reach, remains intact and, this cycle, was externally validated by the first non-PSMA prostate RLT entering the clinic.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Salvage bar quantified: CONV01-α (8.4-mo rPFS post-177Lu) and AcTION (56.3% PSA50 post-Pluvicto) turned post-Pluvicto whitespace into a benchmark Sego must now beat or side-step.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Thesis validated: AKY-2519 (B7-H3) is the first non-PSMA prostate RLT in clinic, confirming clinical interest in the PSMA-non-responder population ACP3 and KLK2 address.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KLK2 competitive set static: JNJ-6420 unchanged this cycle; its Dec 2026 RP2D / ILD readout remains the single most important external event for the KLK2 lane.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2.  Standard of care: where it is, where it is heading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Current SOC is PSMA beta-RLT after ARPI and taxane; the next shift is alpha-emitters into salvage and PSMA-RLT into earlier lines; no data this cycle altered that trajectory.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Where it is. </w:t>
      </w:r>
      <w:r>
        <w:rPr>
          <w:rFonts w:ascii="Arial" w:cs="Arial" w:eastAsia="Arial" w:hAnsi="Arial"/>
          <w:sz w:val="18"/>
          <w:szCs w:val="18"/>
        </w:rPr>
        <w:t xml:space="preserve">mCRPC is sequenced by prior exposure. First line is an ARPI (abiraterone or enzalutamide); post-ARPI is a taxane (docetaxel, then cabazitaxel); post-taxane in PSMA-positive disease is Pluvicto (177Lu-PSMA-617), the only approved targeted radiotherapy. Two structural gaps define the opportunity: PSMA-low patients (~20-40% of mCRPC) are ineligible for all approved PSMA agents, and post-Pluvicto / PSMA-low disease has no approved targeted option, with cabazitaxel the de facto fallback.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Where it is heading. </w:t>
      </w:r>
      <w:r>
        <w:rPr>
          <w:rFonts w:ascii="Arial" w:cs="Arial" w:eastAsia="Arial" w:hAnsi="Arial"/>
          <w:sz w:val="18"/>
          <w:szCs w:val="18"/>
        </w:rPr>
        <w:t xml:space="preserve">Two moves are underway. (i) Alpha-emitters are establishing a post-177Lu salvage standard: 225Ac agents now show meaningful activity after Pluvicto failure where no SOC exists. (ii) PSMA-RLT is pushing earlier, into taxane-naive and hormone-sensitive disease, on the thesis that earlier sequencing preserves benefit before ARPI resistance compounds. The likely 12-24 month SOC change is a post-Pluvicto alpha-RLT becoming standard, and Pluvicto's label moving earlier if mHSPC OS matures.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Did this cycle shift it? </w:t>
      </w:r>
      <w:r>
        <w:rPr>
          <w:rFonts w:ascii="Arial" w:cs="Arial" w:eastAsia="Arial" w:hAnsi="Arial"/>
          <w:sz w:val="18"/>
          <w:szCs w:val="18"/>
        </w:rPr>
        <w:t xml:space="preserve">No. This cycle added data points that populate the trajectory (AcTION and CONVERGE-01 quantify the salvage bar; PSMAddition and PRECISION reinforce the earlier-line push), but none reversed or redirected it. The two open questions that could shift it, mHSPC OS significance and whether alpha toxicity (ILD, xerostomia, sink effect) caps the earlier-line move, remain open.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D5A54"/>
          <w:sz w:val="17"/>
          <w:szCs w:val="17"/>
        </w:rPr>
        <w:t xml:space="preserve">mCRPC — standard of care vs new 2026 data, by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 (setting)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SOC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New data (2026)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Trial / agent</w:t>
            </w:r>
          </w:p>
        </w:tc>
      </w:tr>
      <w:tr>
        <w:tc>
          <w:tcPr>
            <w:tcW w:type="dxa" w:w="9360"/>
            <w:gridSpan w:val="4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3D5A5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Post-ARPI, taxane-naive mCRPC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mPFS (months)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5.6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12.0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PSMAfore (177Lu-PSMA-617)</w:t>
            </w:r>
          </w:p>
        </w:tc>
      </w:tr>
      <w:tr>
        <w:tc>
          <w:tcPr>
            <w:tcW w:type="dxa" w:w="9360"/>
            <w:gridSpan w:val="4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3D5A5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Post-taxane mCRPC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mOS (months)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11.3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15.3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VISION (177Lu-PSMA-617)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ORR (%)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2%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30%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VISION (177Lu-PSMA-617)</w:t>
            </w:r>
          </w:p>
        </w:tc>
      </w:tr>
      <w:tr>
        <w:tc>
          <w:tcPr>
            <w:tcW w:type="dxa" w:w="9360"/>
            <w:gridSpan w:val="4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3D5A5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Post-177Lu failure (salvage)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rPFS (months)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~2-4 (no SOC)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8.4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CONVERGE-01 (225Ac-rosopatamab)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PSA50 (%)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56.3%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AcTION Ph1 (225Ac-PSMA-617)</w:t>
            </w:r>
          </w:p>
        </w:tc>
      </w:tr>
      <w:tr>
        <w:tc>
          <w:tcPr>
            <w:tcW w:type="dxa" w:w="9360"/>
            <w:gridSpan w:val="4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3D5A54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Earlier-line intensification (mHSPC)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rPFS HR vs SOC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 (ref)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0.72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PSMAddition (Pluvicto + ADT/ARPI)</w:t>
            </w:r>
          </w:p>
        </w:tc>
      </w:tr>
      <w:tr>
        <w:tc>
          <w:tcPr>
            <w:tcW w:type="dxa" w:w="30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Grade 3+ anemia (%)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14%</w:t>
            </w:r>
          </w:p>
        </w:tc>
        <w:tc>
          <w:tcPr>
            <w:tcW w:type="dxa" w:w="16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D5ED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2924"/>
                <w:sz w:val="15"/>
                <w:szCs w:val="15"/>
              </w:rPr>
              <w:t xml:space="preserve">28%</w:t>
            </w:r>
          </w:p>
        </w:tc>
        <w:tc>
          <w:tcPr>
            <w:tcW w:type="dxa" w:w="3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PSMAddition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Reading the table. </w:t>
      </w:r>
      <w:r>
        <w:rPr>
          <w:rFonts w:ascii="Arial" w:cs="Arial" w:eastAsia="Arial" w:hAnsi="Arial"/>
          <w:sz w:val="18"/>
          <w:szCs w:val="18"/>
        </w:rPr>
        <w:t xml:space="preserve">The pattern is uniform: every line shows a new-data value ahead of current SOC, which is why the trajectory is toward RLT displacing chemotherapy across the sequence. The countervailing signal is safety, Grade 3+ anemia doubles to 28% when RLT moves into mHSPC, which is the main brake on the earlier-line move.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This SOC-trajectory section is the narrative spine. It restates the standing thesis (current SOC, next likely shift) and explicitly tests it against the cycle's data, so a reader who skips the target detail still knows whether the strategic picture moved. It changes slowly; most months the answer to 'did this cycle shift it?' is 'no', which is itself the signal.</w:t>
      </w:r>
    </w:p>
    <w:p>
      <w:r>
        <w:br w:type="page"/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3.  Target watch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One subsection per Sego prostate target. Each ties the cycle's movements back to the SOC trajectory in Section 2, rather than listing facts. Order: ACP3 (lead), KLK2.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D5A54"/>
          <w:sz w:val="17"/>
          <w:szCs w:val="17"/>
        </w:rPr>
        <w:t xml:space="preserve">3.1  ACP3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ACP3 remains a PSMA-orthogonal option for post-Pluvicto / PSMA-low mCRPC; the reference competitor (OncoACP3) is unchanged this cycle, but the salvage bar it must beat rose.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What changed this cycle. </w:t>
      </w:r>
      <w:r>
        <w:rPr>
          <w:rFonts w:ascii="Arial" w:cs="Arial" w:eastAsia="Arial" w:hAnsi="Arial"/>
          <w:sz w:val="18"/>
          <w:szCs w:val="18"/>
        </w:rPr>
        <w:t xml:space="preserve">No ACP3-specific developments. OncoACP3 (Philochem / BMS-RayzeBio, 225Ac radioligand) remains the reference program; no new clinical disclosure. [Agent: confirm against latest RayzeBio pipeline and ClinicalTrials.gov.]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How the SOC move affects ACP3. </w:t>
      </w:r>
      <w:r>
        <w:rPr>
          <w:rFonts w:ascii="Arial" w:cs="Arial" w:eastAsia="Arial" w:hAnsi="Arial"/>
          <w:sz w:val="18"/>
          <w:szCs w:val="18"/>
        </w:rPr>
        <w:t xml:space="preserve">The trajectory in Section 2 is the relevant read. ACP3's value rests on the same post-Pluvicto / PSMA-low gap that alpha-PSMA salvage agents are now filling. This cycle's salvage data (56.3% PSA50; 8.4-mo rPFS) raise the efficacy bar an ACP3 program must clear, but they do not touch ACP3's core differentiation, which is a non-PSMA antigen accessible when PSMA is low or lost. The B7-H3 entrant (AKY-2519) strengthens that differentiation by validating non-PSMA targeting clinically.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TPP implication. </w:t>
      </w:r>
      <w:r>
        <w:rPr>
          <w:rFonts w:ascii="Arial" w:cs="Arial" w:eastAsia="Arial" w:hAnsi="Arial"/>
          <w:sz w:val="18"/>
          <w:szCs w:val="18"/>
        </w:rPr>
        <w:t xml:space="preserve">Position ACP3 on the PSMA-orthogonal population, not on being first into salvage, which is no longer available. The competitive question is ACP3 vs a non-PSMA field (B7-H3, hK2), not ACP3 vs PSMA-RLT.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D5A54"/>
          <w:sz w:val="17"/>
          <w:szCs w:val="17"/>
        </w:rPr>
        <w:t xml:space="preserve">3.2  KLK2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KLK2 is validated as a prostate-restricted antigen, but the only clinical KLK2 RLT (JNJ-6420) is unchanged this cycle pending its Dec 2026 gate.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What changed this cycle. </w:t>
      </w:r>
      <w:r>
        <w:rPr>
          <w:rFonts w:ascii="Arial" w:cs="Arial" w:eastAsia="Arial" w:hAnsi="Arial"/>
          <w:sz w:val="18"/>
          <w:szCs w:val="18"/>
        </w:rPr>
        <w:t xml:space="preserve">No KLK2-specific movement. JNJ-6420 (J&amp;J, anti-hK2 225Ac, Ph1) remains the only clinical-stage KLK2 RLT; its fatal-ILD signal (&gt;500 uCi) and undefined RP2D are unresolved, with NCT04644770 primary completion in Dec 2026 the adjudicating event. Pasritamig (KLK2xCD3 TCE, Ph3) continues to validate KLK2 via a non-RLT modality (clinical). Diaprost h11B6 theranostic imaging remains the only published in-vivo hK2 target-engagement evidence (imaging, preclinical).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How the SOC move affects KLK2. </w:t>
      </w:r>
      <w:r>
        <w:rPr>
          <w:rFonts w:ascii="Arial" w:cs="Arial" w:eastAsia="Arial" w:hAnsi="Arial"/>
          <w:sz w:val="18"/>
          <w:szCs w:val="18"/>
        </w:rPr>
        <w:t xml:space="preserve">KLK2's mechanistic case is that hK2 rises as PSMA falls under AR reactivation, which is precisely the post-Pluvicto / PSMA-low setting the SOC trajectory is racing to fill. This cycle's antibody-carrier alpha data (CONV01-α) are a modality read-through: they show antibody-based 225Ac works and mitigates the xerostomia that limits small-molecule ligands, de-risking the vector class anti-hK2 uses.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TPP implication. </w:t>
      </w:r>
      <w:r>
        <w:rPr>
          <w:rFonts w:ascii="Arial" w:cs="Arial" w:eastAsia="Arial" w:hAnsi="Arial"/>
          <w:sz w:val="18"/>
          <w:szCs w:val="18"/>
        </w:rPr>
        <w:t xml:space="preserve">The Dec 2026 JNJ-6420 readout is the pivotal external event. A clean RP2D with resolved ILD raises the bar and confirms KLK2 alpha-RLT is tractable; an adverse ILD read may open the lane for a differentiated KLK2 approach. Sego should pre-position its KLK2 dosimetry and safety narrative against both outcomes.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4.  Movements this cycle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Four tracked developments; the salvage-bar reset (AcTION, CONVERGE-01) is the highest-leverage, and no KLK2-specific data moved.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050"/>
        <w:gridCol w:w="850"/>
        <w:gridCol w:w="1160"/>
        <w:gridCol w:w="3450"/>
        <w:gridCol w:w="1200"/>
      </w:tblGrid>
      <w:tr>
        <w:trPr>
          <w:tblHeader/>
        </w:trPr>
        <w:tc>
          <w:tcPr>
            <w:tcW w:type="dxa" w:w="16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Development</w:t>
            </w:r>
          </w:p>
        </w:tc>
        <w:tc>
          <w:tcPr>
            <w:tcW w:type="dxa" w:w="10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8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Relevance</w:t>
            </w:r>
          </w:p>
        </w:tc>
        <w:tc>
          <w:tcPr>
            <w:tcW w:type="dxa" w:w="34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 what for Sego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00292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6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225Ac-PSMA-617 (AcTION Ph1)</w:t>
            </w:r>
          </w:p>
        </w:tc>
        <w:tc>
          <w:tcPr>
            <w:tcW w:type="dxa" w:w="10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PSMA (context)</w:t>
            </w:r>
          </w:p>
        </w:tc>
        <w:tc>
          <w:tcPr>
            <w:tcW w:type="dxa" w:w="8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Ph1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 Threatens</w:t>
            </w:r>
          </w:p>
        </w:tc>
        <w:tc>
          <w:tcPr>
            <w:tcW w:type="dxa" w:w="34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Sets the post-Pluvicto salvage bar: 56.3% PSA50 post-177Lu, RP2D 10 MBq q8w. An ACP3 or KLK2 program entering salvage must clear this, or win on the PSMA-non-responder population PSMA agents cannot reach.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770E"/>
                <w:sz w:val="15"/>
                <w:szCs w:val="15"/>
              </w:rPr>
              <w:t xml:space="preserve">UPDATED</w:t>
            </w:r>
          </w:p>
        </w:tc>
      </w:tr>
      <w:tr>
        <w:tc>
          <w:tcPr>
            <w:tcW w:type="dxa" w:w="16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CONV01-α (CONVERGE-01 Ph2)</w:t>
            </w:r>
          </w:p>
        </w:tc>
        <w:tc>
          <w:tcPr>
            <w:tcW w:type="dxa" w:w="10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PSMA (context)</w:t>
            </w:r>
          </w:p>
        </w:tc>
        <w:tc>
          <w:tcPr>
            <w:tcW w:type="dxa" w:w="8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Ph2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 Threatens</w:t>
            </w:r>
          </w:p>
        </w:tc>
        <w:tc>
          <w:tcPr>
            <w:tcW w:type="dxa" w:w="34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Antibody-carrier 225Ac: 8.4-mo rPFS post-177Lu, reduced xerostomia vs small-molecule ligands. Validates the antibody-alpha vector class that anti-hK2 (KLK2) also uses.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16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AKY-2519 (B7-H3, Ph1b)</w:t>
            </w:r>
          </w:p>
        </w:tc>
        <w:tc>
          <w:tcPr>
            <w:tcW w:type="dxa" w:w="10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Non-PSMA (thesis)</w:t>
            </w:r>
          </w:p>
        </w:tc>
        <w:tc>
          <w:tcPr>
            <w:tcW w:type="dxa" w:w="8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Ph1b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1E7145"/>
                <w:sz w:val="16"/>
                <w:szCs w:val="16"/>
              </w:rPr>
              <w:t xml:space="preserve">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 Validates</w:t>
            </w:r>
          </w:p>
        </w:tc>
        <w:tc>
          <w:tcPr>
            <w:tcW w:type="dxa" w:w="34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First non-PSMA prostate RLT in clinic (Jul 2026), targeting the ~30% PSMA-non-responders. Direct external validation of Sego's non-PSMA-antigen thesis for both ACP3 and KLK2.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16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JNJ-6420 (anti-hK2 225Ac)</w:t>
            </w:r>
          </w:p>
        </w:tc>
        <w:tc>
          <w:tcPr>
            <w:tcW w:type="dxa" w:w="10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KLK2</w:t>
            </w:r>
          </w:p>
        </w:tc>
        <w:tc>
          <w:tcPr>
            <w:tcW w:type="dxa" w:w="8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Ph1</w:t>
            </w:r>
          </w:p>
        </w:tc>
        <w:tc>
          <w:tcPr>
            <w:tcW w:type="dxa" w:w="116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●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 Threatens</w:t>
            </w:r>
          </w:p>
        </w:tc>
        <w:tc>
          <w:tcPr>
            <w:tcW w:type="dxa" w:w="345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Only clinical-stage KLK2 RLT. Dec 2026 readout adjudicates RP2D and the fatal-ILD signal. A clean read raises the bar for a Sego KLK2 program; an adverse read may open the lane.</w:t>
            </w:r>
          </w:p>
        </w:tc>
        <w:tc>
          <w:tcPr>
            <w:tcW w:type="dxa" w:w="1200"/>
            <w:tcBorders>
              <w:top w:val="single" w:color="C8D2CC" w:sz="4"/>
              <w:left w:val="single" w:color="C8D2CC" w:sz="4"/>
              <w:bottom w:val="single" w:color="C8D2CC" w:sz="4"/>
              <w:right w:val="single" w:color="C8D2CC" w:sz="4"/>
            </w:tcBorders>
            <w:shd w:fill="EEF3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70"/>
                <w:sz w:val="15"/>
                <w:szCs w:val="15"/>
              </w:rPr>
              <w:t xml:space="preserve">No change</w:t>
            </w:r>
          </w:p>
        </w:tc>
      </w:tr>
    </w:tbl>
    <w:p>
      <w:pPr>
        <w:spacing w:after="40"/>
      </w:pPr>
    </w:p>
    <w:p>
      <w:r>
        <w:rPr>
          <w:rFonts w:ascii="Arial" w:cs="Arial" w:eastAsia="Arial" w:hAnsi="Arial"/>
          <w:color w:val="B03A2E"/>
          <w:sz w:val="16"/>
          <w:szCs w:val="16"/>
        </w:rPr>
        <w:t xml:space="preserve">●</w:t>
      </w:r>
      <w:r>
        <w:rPr>
          <w:rFonts w:ascii="Arial" w:cs="Arial" w:eastAsia="Arial" w:hAnsi="Arial"/>
          <w:color w:val="6B7770"/>
          <w:sz w:val="14"/>
          <w:szCs w:val="14"/>
        </w:rPr>
        <w:t xml:space="preserve">  Threatens    </w:t>
      </w:r>
      <w:r>
        <w:rPr>
          <w:rFonts w:ascii="Arial" w:cs="Arial" w:eastAsia="Arial" w:hAnsi="Arial"/>
          <w:color w:val="B9770E"/>
          <w:sz w:val="16"/>
          <w:szCs w:val="16"/>
        </w:rPr>
        <w:t xml:space="preserve">●</w:t>
      </w:r>
      <w:r>
        <w:rPr>
          <w:rFonts w:ascii="Arial" w:cs="Arial" w:eastAsia="Arial" w:hAnsi="Arial"/>
          <w:color w:val="6B7770"/>
          <w:sz w:val="14"/>
          <w:szCs w:val="14"/>
        </w:rPr>
        <w:t xml:space="preserve">  Reprices    </w:t>
      </w:r>
      <w:r>
        <w:rPr>
          <w:rFonts w:ascii="Arial" w:cs="Arial" w:eastAsia="Arial" w:hAnsi="Arial"/>
          <w:color w:val="1E7145"/>
          <w:sz w:val="16"/>
          <w:szCs w:val="16"/>
        </w:rPr>
        <w:t xml:space="preserve">●</w:t>
      </w:r>
      <w:r>
        <w:rPr>
          <w:rFonts w:ascii="Arial" w:cs="Arial" w:eastAsia="Arial" w:hAnsi="Arial"/>
          <w:color w:val="6B7770"/>
          <w:sz w:val="14"/>
          <w:szCs w:val="14"/>
        </w:rPr>
        <w:t xml:space="preserve">  Validates    </w:t>
      </w:r>
      <w:r>
        <w:rPr>
          <w:rFonts w:ascii="Arial" w:cs="Arial" w:eastAsia="Arial" w:hAnsi="Arial"/>
          <w:color w:val="6B7770"/>
          <w:sz w:val="16"/>
          <w:szCs w:val="16"/>
        </w:rPr>
        <w:t xml:space="preserve">●</w:t>
      </w:r>
      <w:r>
        <w:rPr>
          <w:rFonts w:ascii="Arial" w:cs="Arial" w:eastAsia="Arial" w:hAnsi="Arial"/>
          <w:color w:val="6B7770"/>
          <w:sz w:val="14"/>
          <w:szCs w:val="14"/>
        </w:rPr>
        <w:t xml:space="preserve">  No change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Movements = Tracker rows for Indication = prostate, sorted by relevance. 'No change' rows are shown when the asset is strategically central (JNJ-6420), so the reader sees it was checked, not missed.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5.  China signals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No China-origin prostate RLT signal this cycle.</w:t>
      </w:r>
    </w:p>
    <w:p>
      <w:pPr>
        <w:spacing w:after="120"/>
      </w:pPr>
      <w:r>
        <w:rPr>
          <w:rFonts w:ascii="Arial" w:cs="Arial" w:eastAsia="Arial" w:hAnsi="Arial"/>
          <w:sz w:val="18"/>
          <w:szCs w:val="18"/>
        </w:rPr>
        <w:t xml:space="preserve">No new China-based prostate-targeting programs, preclinical or clinical, surfaced this cycle. [Agent: confirm against CDE and Chinese-language preprint sources; Sego's own landscape shows minimal Chinese RDC activity on prostate-restricted antigens to date.]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Standing box for China-origin / early / preclinical signals the ahead-of-curve goal targets. Explicit 'none this cycle' beats an empty section. In prostate this box is often light; the CRC and bladder memos will carry more.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6.  Catalyst calendar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color w:val="002924"/>
          <w:sz w:val="15"/>
          <w:szCs w:val="15"/>
        </w:rPr>
        <w:t xml:space="preserve">Two catalysts in the next ~12 months move the prostate set; JNJ-6420's Dec 2026 KLK2 read is the most direct to Sego.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H2 2026 — PNT2002 SPLASH mature OS (PSMA beta-RLT sequencing read).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Dec 2026 — JNJ-6420 NCT04644770 primary completion: RP2D + ILD resolution (direct KLK2 competitor gate).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[Agent: add ACP3 / OncoACP3 catalysts when disclosed.]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From the Tracker's Next catalyst + Catalyst date fields, filtered to prostate and the next ~12 months, sorted by date.</w:t>
      </w:r>
    </w:p>
    <w:p>
      <w:pPr>
        <w:pStyle w:val="Heading1"/>
        <w:pBdr>
          <w:bottom w:val="single" w:color="B1C8B0" w:sz="8"/>
        </w:pBdr>
        <w:spacing w:after="120" w:before="280"/>
      </w:pPr>
      <w:r>
        <w:rPr>
          <w:rFonts w:ascii="Arial" w:cs="Arial" w:eastAsia="Arial" w:hAnsi="Arial"/>
          <w:b/>
          <w:bCs/>
          <w:color w:val="002924"/>
          <w:sz w:val="22"/>
          <w:szCs w:val="22"/>
        </w:rPr>
        <w:t xml:space="preserve">7.  Method and sources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Coverage. </w:t>
      </w:r>
      <w:r>
        <w:rPr>
          <w:rFonts w:ascii="Arial" w:cs="Arial" w:eastAsia="Arial" w:hAnsi="Arial"/>
          <w:sz w:val="18"/>
          <w:szCs w:val="18"/>
        </w:rPr>
        <w:t xml:space="preserve">Metastatic castration-resistant prostate cancer (mCRPC), with mHSPC where earlier-line moves affect the mCRPC trajectory. All modalities (RLT, ADC, bispecific/TCE, small molecule, cell therapy); therapeutics primary, imaging tracked and tagged. Targets in scope: ACP3, KLK2.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D5A54"/>
          <w:sz w:val="18"/>
          <w:szCs w:val="18"/>
        </w:rPr>
        <w:t xml:space="preserve">Sources this cycle. </w:t>
      </w:r>
      <w:r>
        <w:rPr>
          <w:rFonts w:ascii="Arial" w:cs="Arial" w:eastAsia="Arial" w:hAnsi="Arial"/>
          <w:sz w:val="18"/>
          <w:szCs w:val="18"/>
        </w:rPr>
        <w:t xml:space="preserve">[Agent lists dated sources: ClinicalTrials.gov, PubMed, bioRxiv, conference proceedings (ASCO / AUA / ESMO / SNMMI / AACR), company disclosures, China CDE and Chinese-language preprints, sell-side and trade coverage. Each Tracker claim carries its own dated source.]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70"/>
          <w:sz w:val="15"/>
          <w:szCs w:val="15"/>
        </w:rPr>
        <w:t xml:space="preserve">Prostate mid-2026 data drawn from the uploaded mCRPC RLT / KLK2 assessments. Source scope (conference + China feeds confirmed; full list TBD) is finalized before the agent build.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Sego CI Memo - Prostate (mCRPC) - Template</dc:title>
  <dc:creator>Sego Therapeutics</dc:creator>
  <cp:lastModifiedBy>Un-named</cp:lastModifiedBy>
  <cp:revision>1</cp:revision>
  <dcterms:created xsi:type="dcterms:W3CDTF">2026-07-10T17:29:50.134Z</dcterms:created>
  <dcterms:modified xsi:type="dcterms:W3CDTF">2026-07-10T17:29:50.147Z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