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2924"/>
          <w:sz w:val="30"/>
          <w:szCs w:val="30"/>
        </w:rPr>
        <w:t xml:space="preserve">Sego Competitive Intelligence Memo</w:t>
      </w:r>
    </w:p>
    <w:p>
      <w:pPr>
        <w:pBdr>
          <w:bottom w:val="single" w:color="D5ED99" w:sz="12"/>
        </w:pBdr>
        <w:spacing w:after="200"/>
      </w:pPr>
      <w:r>
        <w:rPr>
          <w:rFonts w:ascii="Arial" w:cs="Arial" w:eastAsia="Arial" w:hAnsi="Arial"/>
          <w:color w:val="6B7770"/>
          <w:sz w:val="18"/>
          <w:szCs w:val="18"/>
        </w:rPr>
        <w:t xml:space="preserve">Monthly oncology landscape — targets, standard of care, and China signals  |  [Month Year]</w:t>
      </w:r>
    </w:p>
    <w:p>
      <w:pPr>
        <w:spacing w:after="40"/>
      </w:pPr>
      <w:r>
        <w:rPr>
          <w:rFonts w:ascii="Arial" w:cs="Arial" w:eastAsia="Arial" w:hAnsi="Arial"/>
          <w:color w:val="6B7770"/>
          <w:sz w:val="15"/>
          <w:szCs w:val="15"/>
        </w:rPr>
        <w:t xml:space="preserve">Prepared for: </w:t>
      </w:r>
      <w:r>
        <w:rPr>
          <w:rFonts w:ascii="Arial" w:cs="Arial" w:eastAsia="Arial" w:hAnsi="Arial"/>
          <w:sz w:val="15"/>
          <w:szCs w:val="15"/>
        </w:rPr>
        <w:t xml:space="preserve">Jeevan Virk (CEO), Richard Tavare (Research), Greg Mullen (CMO / Clinical Development)</w:t>
      </w:r>
    </w:p>
    <w:p>
      <w:pPr>
        <w:spacing w:after="200"/>
      </w:pPr>
      <w:r>
        <w:rPr>
          <w:rFonts w:ascii="Arial" w:cs="Arial" w:eastAsia="Arial" w:hAnsi="Arial"/>
          <w:color w:val="6B7770"/>
          <w:sz w:val="15"/>
          <w:szCs w:val="15"/>
        </w:rPr>
        <w:t xml:space="preserve">Generated from: </w:t>
      </w:r>
      <w:r>
        <w:rPr>
          <w:rFonts w:ascii="Arial" w:cs="Arial" w:eastAsia="Arial" w:hAnsi="Arial"/>
          <w:sz w:val="15"/>
          <w:szCs w:val="15"/>
        </w:rPr>
        <w:t xml:space="preserve">Sego CI Tracker  |  Cadence: monthly  |  Coverage cutoff: [date]</w:t>
      </w:r>
    </w:p>
    <w:p>
      <w:pPr>
        <w:pStyle w:val="Heading1"/>
        <w:pBdr>
          <w:bottom w:val="single" w:color="B1C8B0" w:sz="8"/>
        </w:pBdr>
        <w:spacing w:after="120" w:before="280"/>
      </w:pPr>
      <w:r>
        <w:rPr>
          <w:rFonts w:ascii="Arial" w:cs="Arial" w:eastAsia="Arial" w:hAnsi="Arial"/>
          <w:b/>
          <w:bCs/>
          <w:color w:val="002924"/>
          <w:sz w:val="22"/>
          <w:szCs w:val="22"/>
        </w:rPr>
        <w:t xml:space="preserve">1.  Executive summary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Alpha-emitters and non-PSMA targets are the two forces reshaping Sego's competitive set this cycle.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225Ac salvage has become a defined benchmark, not a whitespace: CONV01-α delivered 8.4-mo rPFS post-177Lu and AcTION reported 56.3% PSA50 post-Pluvicto. The post-Pluvicto slot is filling.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first non-PSMA prostate RLT (AKY-2519, B7-H3) entered the clinic in July 2026, explicitly targeting the ~30% PSMA-non-responder gap. This is the clearest external validation to date of Sego's non-PSMA-antigen thesis.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On CLDN1, Alentis' first-in-class ADCs advanced toward 2026/2027 readouts. The therapeutic (ADC) lane is being contested; the RLT lane on CLDN1 remains open.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China signal: 9MW2821's cervical Phase 3 interim (H2 2026) is the first Nectin-4 pivotal outside urothelial and an early read on basket breadth.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Rule: 3-5 bullets, each a movement plus its implication. No target-by-target recap here; that lives in Section 3.</w:t>
      </w:r>
    </w:p>
    <w:p>
      <w:pPr>
        <w:pStyle w:val="Heading1"/>
        <w:pBdr>
          <w:bottom w:val="single" w:color="B1C8B0" w:sz="8"/>
        </w:pBdr>
        <w:spacing w:after="120" w:before="280"/>
      </w:pPr>
      <w:r>
        <w:rPr>
          <w:rFonts w:ascii="Arial" w:cs="Arial" w:eastAsia="Arial" w:hAnsi="Arial"/>
          <w:b/>
          <w:bCs/>
          <w:color w:val="002924"/>
          <w:sz w:val="22"/>
          <w:szCs w:val="22"/>
        </w:rPr>
        <w:t xml:space="preserve">2.  Movements this cycle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Five material changes this cycle; the salvage-bar reset (AcTION, CONVERGE-01) is the highest-leverage.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Every row is a development with a changed status since last cycle, sorted by relevance to Sego. Detail sits in Section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900"/>
        <w:gridCol w:w="1160"/>
        <w:gridCol w:w="3400"/>
        <w:gridCol w:w="1200"/>
      </w:tblGrid>
      <w:tr>
        <w:trPr>
          <w:tblHeader/>
        </w:trPr>
        <w:tc>
          <w:tcPr>
            <w:tcW w:type="dxa" w:w="15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Development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1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Relevance</w:t>
            </w:r>
          </w:p>
        </w:tc>
        <w:tc>
          <w:tcPr>
            <w:tcW w:type="dxa" w:w="34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what for Sego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225Ac-PSMA-617 (AcTION Ph1)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KLK2 (indication)</w:t>
            </w:r>
          </w:p>
        </w:tc>
        <w:tc>
          <w:tcPr>
            <w:tcW w:type="dxa" w:w="9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Ph1</w:t>
            </w:r>
          </w:p>
        </w:tc>
        <w:tc>
          <w:tcPr>
            <w:tcW w:type="dxa" w:w="1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●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 Threatens</w:t>
            </w:r>
          </w:p>
        </w:tc>
        <w:tc>
          <w:tcPr>
            <w:tcW w:type="dxa" w:w="34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Sets a new post-Pluvicto salvage bar: 56.3% PSA50 post-177Lu, RP2D 10 MBq q8w. Any Sego KLK2 program entering the same slot must clear this, or differentiate on the ~30% PSMA-non-responder gap that PSMA agents leave open.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5"/>
                <w:szCs w:val="15"/>
              </w:rPr>
              <w:t xml:space="preserve">UPDATED</w:t>
            </w:r>
          </w:p>
        </w:tc>
      </w:tr>
      <w:tr>
        <w:tc>
          <w:tcPr>
            <w:tcW w:type="dxa" w:w="15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CONV01-α (CONVERGE-01 Ph2)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KLK2 (indication)</w:t>
            </w:r>
          </w:p>
        </w:tc>
        <w:tc>
          <w:tcPr>
            <w:tcW w:type="dxa" w:w="9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Ph2</w:t>
            </w:r>
          </w:p>
        </w:tc>
        <w:tc>
          <w:tcPr>
            <w:tcW w:type="dxa" w:w="1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●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 Threatens</w:t>
            </w:r>
          </w:p>
        </w:tc>
        <w:tc>
          <w:tcPr>
            <w:tcW w:type="dxa" w:w="34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Antibody-based 225Ac shows 8.4-mo rPFS post-177Lu vs ~2-4 mo with no clear SOC, with reduced xerostomia vs small-molecule ligands. Validates antibody-carrier alpha as a mechanism, the same vector class as anti-hK2.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5"/>
                <w:szCs w:val="15"/>
              </w:rPr>
              <w:t xml:space="preserve">NEW</w:t>
            </w:r>
          </w:p>
        </w:tc>
      </w:tr>
      <w:tr>
        <w:tc>
          <w:tcPr>
            <w:tcW w:type="dxa" w:w="15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AKY-2519 (B7-H3)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Non-PSMA (thesis)</w:t>
            </w:r>
          </w:p>
        </w:tc>
        <w:tc>
          <w:tcPr>
            <w:tcW w:type="dxa" w:w="9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Ph1b</w:t>
            </w:r>
          </w:p>
        </w:tc>
        <w:tc>
          <w:tcPr>
            <w:tcW w:type="dxa" w:w="1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E7145"/>
                <w:sz w:val="16"/>
                <w:szCs w:val="16"/>
              </w:rPr>
              <w:t xml:space="preserve">●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 Validates</w:t>
            </w:r>
          </w:p>
        </w:tc>
        <w:tc>
          <w:tcPr>
            <w:tcW w:type="dxa" w:w="34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First non-PSMA prostate RLT to enter clinic (Jul 2026), explicitly targeting the ~30% of mCRPC that does not respond to PSMA. Direct read-through to Sego's non-PSMA-antigen thesis (KLK2 and beyond).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5"/>
                <w:szCs w:val="15"/>
              </w:rPr>
              <w:t xml:space="preserve">NEW</w:t>
            </w:r>
          </w:p>
        </w:tc>
      </w:tr>
      <w:tr>
        <w:tc>
          <w:tcPr>
            <w:tcW w:type="dxa" w:w="15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ALE.P02 / ALE.P03 (CLDN1 ADC)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CLDN1</w:t>
            </w:r>
          </w:p>
        </w:tc>
        <w:tc>
          <w:tcPr>
            <w:tcW w:type="dxa" w:w="9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Ph1/2</w:t>
            </w:r>
          </w:p>
        </w:tc>
        <w:tc>
          <w:tcPr>
            <w:tcW w:type="dxa" w:w="1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●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 Threatens</w:t>
            </w:r>
          </w:p>
        </w:tc>
        <w:tc>
          <w:tcPr>
            <w:tcW w:type="dxa" w:w="34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First-in-class CLDN1 ADCs; Ph1/2 readouts now expected 2026/2027, pembro-combo arm enrolling. If the therapeutic window is clean, CLDN1 is de-risked as druggable but an ADC incumbent is established; the RLT lane stays open.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5"/>
                <w:szCs w:val="15"/>
              </w:rPr>
              <w:t xml:space="preserve">UPDATED</w:t>
            </w:r>
          </w:p>
        </w:tc>
      </w:tr>
      <w:tr>
        <w:tc>
          <w:tcPr>
            <w:tcW w:type="dxa" w:w="15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9MW2821 (Nectin-4 ADC, China)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Nectin-4</w:t>
            </w:r>
          </w:p>
        </w:tc>
        <w:tc>
          <w:tcPr>
            <w:tcW w:type="dxa" w:w="9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Ph3</w:t>
            </w:r>
          </w:p>
        </w:tc>
        <w:tc>
          <w:tcPr>
            <w:tcW w:type="dxa" w:w="1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B9770E"/>
                <w:sz w:val="16"/>
                <w:szCs w:val="16"/>
              </w:rPr>
              <w:t xml:space="preserve">●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 Reprices</w:t>
            </w:r>
          </w:p>
        </w:tc>
        <w:tc>
          <w:tcPr>
            <w:tcW w:type="dxa" w:w="34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China-origin Nectin-4 ADC; cervical Phase 3 interim due H2 2026, the first Nectin-4 pivotal outside urothelial. A hit widens the Nectin-4 basket; a miss signals class limits. Ahead-of-curve China signal.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5"/>
                <w:szCs w:val="15"/>
              </w:rPr>
              <w:t xml:space="preserve">NEW</w:t>
            </w:r>
          </w:p>
        </w:tc>
      </w:tr>
    </w:tbl>
    <w:p>
      <w:pPr>
        <w:spacing w:after="40"/>
      </w:pPr>
    </w:p>
    <w:p>
      <w:r>
        <w:rPr>
          <w:rFonts w:ascii="Arial" w:cs="Arial" w:eastAsia="Arial" w:hAnsi="Arial"/>
          <w:color w:val="B03A2E"/>
          <w:sz w:val="16"/>
          <w:szCs w:val="16"/>
        </w:rPr>
        <w:t xml:space="preserve">●</w:t>
      </w:r>
      <w:r>
        <w:rPr>
          <w:rFonts w:ascii="Arial" w:cs="Arial" w:eastAsia="Arial" w:hAnsi="Arial"/>
          <w:color w:val="6B7770"/>
          <w:sz w:val="14"/>
          <w:szCs w:val="14"/>
        </w:rPr>
        <w:t xml:space="preserve">  Threatens    </w:t>
      </w:r>
      <w:r>
        <w:rPr>
          <w:rFonts w:ascii="Arial" w:cs="Arial" w:eastAsia="Arial" w:hAnsi="Arial"/>
          <w:color w:val="B9770E"/>
          <w:sz w:val="16"/>
          <w:szCs w:val="16"/>
        </w:rPr>
        <w:t xml:space="preserve">●</w:t>
      </w:r>
      <w:r>
        <w:rPr>
          <w:rFonts w:ascii="Arial" w:cs="Arial" w:eastAsia="Arial" w:hAnsi="Arial"/>
          <w:color w:val="6B7770"/>
          <w:sz w:val="14"/>
          <w:szCs w:val="14"/>
        </w:rPr>
        <w:t xml:space="preserve">  Reprices    </w:t>
      </w:r>
      <w:r>
        <w:rPr>
          <w:rFonts w:ascii="Arial" w:cs="Arial" w:eastAsia="Arial" w:hAnsi="Arial"/>
          <w:color w:val="1E7145"/>
          <w:sz w:val="16"/>
          <w:szCs w:val="16"/>
        </w:rPr>
        <w:t xml:space="preserve">●</w:t>
      </w:r>
      <w:r>
        <w:rPr>
          <w:rFonts w:ascii="Arial" w:cs="Arial" w:eastAsia="Arial" w:hAnsi="Arial"/>
          <w:color w:val="6B7770"/>
          <w:sz w:val="14"/>
          <w:szCs w:val="14"/>
        </w:rPr>
        <w:t xml:space="preserve">  Validates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Movements table = every Tracker row where Status ≠ 'No change', sorted by Relevance (Threatens &gt; Reprices &gt; Validates). If a cycle has no material change on a target, that is stated explicitly in Section 3, never left silent.</w:t>
      </w:r>
    </w:p>
    <w:p>
      <w:r>
        <w:br w:type="page"/>
      </w:r>
    </w:p>
    <w:p>
      <w:pPr>
        <w:pStyle w:val="Heading1"/>
        <w:pBdr>
          <w:bottom w:val="single" w:color="B1C8B0" w:sz="8"/>
        </w:pBdr>
        <w:spacing w:after="120" w:before="280"/>
      </w:pPr>
      <w:r>
        <w:rPr>
          <w:rFonts w:ascii="Arial" w:cs="Arial" w:eastAsia="Arial" w:hAnsi="Arial"/>
          <w:b/>
          <w:bCs/>
          <w:color w:val="002924"/>
          <w:sz w:val="22"/>
          <w:szCs w:val="22"/>
        </w:rPr>
        <w:t xml:space="preserve">3.  Target / program watch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One subsection per active Sego target. Each is self-contained: what moved this cycle, the competitive set, and the TPP implication. Most months a target shows a short delta; the full competitive treatment refreshes when something material moves or on a slower beat. Order: KLK2, Nectin-4, CLDN1, then remaining pipeline targets (ACP3, CEACAM5, MUC1-C).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D5A54"/>
          <w:sz w:val="17"/>
          <w:szCs w:val="17"/>
        </w:rPr>
        <w:t xml:space="preserve">3.1  KLK2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The KLK2 thesis is intact, but the post-Pluvicto mCRPC slot KLK2 would enter is filling with alpha-PSMA and non-PSMA entrants.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What changed this cycle. </w:t>
      </w:r>
      <w:r>
        <w:rPr>
          <w:rFonts w:ascii="Arial" w:cs="Arial" w:eastAsia="Arial" w:hAnsi="Arial"/>
          <w:sz w:val="18"/>
          <w:szCs w:val="18"/>
        </w:rPr>
        <w:t xml:space="preserve">225Ac-PSMA-617 (AcTION) moved from 'enrolling, RP2D confirmed' to a reported efficacy signal: 100% PSA50 RLT-naive, 56.3% PSA50 post-Pluvicto, RP2D 10 MBq q8w (Ph1). CONV01-α (CONVERGE-01) posted 8.4-mo rPFS post-177Lu at ASCO 2026 (Ph2). AKY-2519 (B7-H3) began Ph1b, the first non-PSMA prostate RLT.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Direct KLK2 competitors. </w:t>
      </w:r>
      <w:r>
        <w:rPr>
          <w:rFonts w:ascii="Arial" w:cs="Arial" w:eastAsia="Arial" w:hAnsi="Arial"/>
          <w:sz w:val="18"/>
          <w:szCs w:val="18"/>
        </w:rPr>
        <w:t xml:space="preserve">JNJ-6420 (J&amp;J, anti-hK2 225Ac) remains the only clinical-stage KLK2 RLT (Ph1); ILD deaths &gt;500 uCi and an undefined RP2D are unresolved, with the Dec 2026 readout the gate. Pasritamig (KLK2xCD3 TCE, Ph3) continues to validate KLK2 as a prostate-restricted antigen via a non-RLT modality. Diaprost h11B6 theranostic imaging remains the only published in-vivo hK2 target-engagement evidence (imaging, preclinical).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TPP implication. </w:t>
      </w:r>
      <w:r>
        <w:rPr>
          <w:rFonts w:ascii="Arial" w:cs="Arial" w:eastAsia="Arial" w:hAnsi="Arial"/>
          <w:sz w:val="18"/>
          <w:szCs w:val="18"/>
        </w:rPr>
        <w:t xml:space="preserve">Two shifts matter for a Sego KLK2 program: (i) the post-Pluvicto salvage bar is now quantified (56.3% PSA50; 8.4-mo rPFS), so KLK2's differentiation must rest on the PSMA-orthogonal population, not on being first into salvage; (ii) AKY-2519 validates non-PSMA targeting clinically, strengthening the KLK2 rationale while signalling the whitespace is being entered.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Imaging vs therapeutic is tagged per claim above (Diaprost = imaging; JNJ-6420, AKY-2519, CONV01-α = therapeutic). Preclinical vs clinical is tagged per claim.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D5A54"/>
          <w:sz w:val="17"/>
          <w:szCs w:val="17"/>
        </w:rPr>
        <w:t xml:space="preserve">3.2  Nectin-4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Nectin-4 is a validated target with an open alpha-RLT lane, but the multi-tumor basket beyond urothelial is unproven.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What changed this cycle. </w:t>
      </w:r>
      <w:r>
        <w:rPr>
          <w:rFonts w:ascii="Arial" w:cs="Arial" w:eastAsia="Arial" w:hAnsi="Arial"/>
          <w:sz w:val="18"/>
          <w:szCs w:val="18"/>
        </w:rPr>
        <w:t xml:space="preserve">9MW2821 (Mabwell, China) advanced toward a cervical Phase 3 interim (H2 2026), the first Nectin-4 pivotal outside urothelial.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Competitive set. </w:t>
      </w:r>
      <w:r>
        <w:rPr>
          <w:rFonts w:ascii="Arial" w:cs="Arial" w:eastAsia="Arial" w:hAnsi="Arial"/>
          <w:sz w:val="18"/>
          <w:szCs w:val="18"/>
        </w:rPr>
        <w:t xml:space="preserve">AKY-1189 (Aktis, 225Ac miniprotein) is the closest analog to a Sego Nectin-4 alpha-RLT: same target, same isotope, 64Cu-PET-gated; 15/15 tracer uptake but no human anti-tumor efficacy yet (imaging only), Part 1 read Q1 2027. Padcev (EV) is the SOC bar and target-validating asset (approved; EV-302 OS HR 0.47). The EV-202 basket missed on-target in TNBC (~19%) and NSCLC (~11%), a caution on non-UC expansion.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TPP implication. </w:t>
      </w:r>
      <w:r>
        <w:rPr>
          <w:rFonts w:ascii="Arial" w:cs="Arial" w:eastAsia="Arial" w:hAnsi="Arial"/>
          <w:sz w:val="18"/>
          <w:szCs w:val="18"/>
        </w:rPr>
        <w:t xml:space="preserve">An alpha-RLT wedge against Padcev rests on MMAE-resistance and antigen-low reach (short-range cross-fire), not on target novelty. Sego should treat non-UC Nectin-4 indications as unproven until 9MW2821 cervical and AKY-1189 Part 1 read.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D5A54"/>
          <w:sz w:val="17"/>
          <w:szCs w:val="17"/>
        </w:rPr>
        <w:t xml:space="preserve">3.3  CLDN1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CLDN1 is being clinically de-risked as druggable, but only by ADCs; the RLT lane is uncontested.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What changed this cycle. </w:t>
      </w:r>
      <w:r>
        <w:rPr>
          <w:rFonts w:ascii="Arial" w:cs="Arial" w:eastAsia="Arial" w:hAnsi="Arial"/>
          <w:sz w:val="18"/>
          <w:szCs w:val="18"/>
        </w:rPr>
        <w:t xml:space="preserve">Alentis ALE.P02 (tubulin payload) and ALE.P03 (topoisomerase-I payload) advanced toward 2026/2027 Ph1/2 readouts; the ALE.P02 + pembrolizumab combination arm is enrolling. Fast Track granted.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TPP implication. </w:t>
      </w:r>
      <w:r>
        <w:rPr>
          <w:rFonts w:ascii="Arial" w:cs="Arial" w:eastAsia="Arial" w:hAnsi="Arial"/>
          <w:sz w:val="18"/>
          <w:szCs w:val="18"/>
        </w:rPr>
        <w:t xml:space="preserve">A clean ALE.P02 therapeutic window would validate CLDN1 as targetable, which helps Sego, while establishing an ADC incumbent Sego's RLT must out-differentiate on the same axes that favor RLT over ADC: efflux-independence, antigen-low cross-fire, and dosimetry-based selection. No CLDN1 RLT is disclosed publicly.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D5A54"/>
          <w:sz w:val="17"/>
          <w:szCs w:val="17"/>
        </w:rPr>
        <w:t xml:space="preserve">3.4  ACP3 / CEACAM5 / MUC1-C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No material developments this cycle on ACP3, CEACAM5, or MUC1-C.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ACP3: no change. OncoACP3 (Philochem/BMS-RayzeBio, 225Ac) remains the reference program; no new disclosure this cycle.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CEACAM5: no change.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MUC1-C: no change.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Explicit no-change confirms the agent looked. Silence is never used to mean 'nothing happened'.</w:t>
      </w:r>
    </w:p>
    <w:p>
      <w:r>
        <w:br w:type="page"/>
      </w:r>
    </w:p>
    <w:p>
      <w:pPr>
        <w:pStyle w:val="Heading1"/>
        <w:pBdr>
          <w:bottom w:val="single" w:color="B1C8B0" w:sz="8"/>
        </w:pBdr>
        <w:spacing w:after="120" w:before="280"/>
      </w:pPr>
      <w:r>
        <w:rPr>
          <w:rFonts w:ascii="Arial" w:cs="Arial" w:eastAsia="Arial" w:hAnsi="Arial"/>
          <w:b/>
          <w:bCs/>
          <w:color w:val="002924"/>
          <w:sz w:val="22"/>
          <w:szCs w:val="22"/>
        </w:rPr>
        <w:t xml:space="preserve">4.  Therapeutic-area / SOC watch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2026 RLT data reset the efficacy bar across every mCRPC line, and earlier-line intensification carries a real toxicity cost.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This section captures shifts that do not map to a single Sego target: standard-of-care moves, new modality entrants, and platform-level RLT reads (isotope supply, class toxicity). Below, mCRPC as the worked example.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D5A54"/>
          <w:sz w:val="17"/>
          <w:szCs w:val="17"/>
        </w:rPr>
        <w:t xml:space="preserve">mCRPC — standard of care vs new 2026 data, by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 (setting)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SOC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 data (2026)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Trial / agent</w:t>
            </w:r>
          </w:p>
        </w:tc>
      </w:tr>
      <w:tr>
        <w:tc>
          <w:tcPr>
            <w:tcW w:type="dxa" w:w="9360"/>
            <w:gridSpan w:val="4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3D5A5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Post-ARPI, taxane-naive mCRPC</w:t>
            </w:r>
          </w:p>
        </w:tc>
      </w:tr>
      <w:t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mPFS (months)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5.6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D5ED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924"/>
                <w:sz w:val="15"/>
                <w:szCs w:val="15"/>
              </w:rPr>
              <w:t xml:space="preserve">12.0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PSMAfore (177Lu-PSMA-617)</w:t>
            </w:r>
          </w:p>
        </w:tc>
      </w:tr>
      <w:tr>
        <w:tc>
          <w:tcPr>
            <w:tcW w:type="dxa" w:w="9360"/>
            <w:gridSpan w:val="4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3D5A5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Post-taxane mCRPC</w:t>
            </w:r>
          </w:p>
        </w:tc>
      </w:tr>
      <w:t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mOS (months)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11.3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D5ED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924"/>
                <w:sz w:val="15"/>
                <w:szCs w:val="15"/>
              </w:rPr>
              <w:t xml:space="preserve">15.3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VISION (177Lu-PSMA-617)</w:t>
            </w:r>
          </w:p>
        </w:tc>
      </w:tr>
      <w:t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ORR (%)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2%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D5ED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924"/>
                <w:sz w:val="15"/>
                <w:szCs w:val="15"/>
              </w:rPr>
              <w:t xml:space="preserve">30%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VISION (177Lu-PSMA-617)</w:t>
            </w:r>
          </w:p>
        </w:tc>
      </w:tr>
      <w:tr>
        <w:tc>
          <w:tcPr>
            <w:tcW w:type="dxa" w:w="9360"/>
            <w:gridSpan w:val="4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3D5A5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Post-177Lu failure (salvage)</w:t>
            </w:r>
          </w:p>
        </w:tc>
      </w:tr>
      <w:t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rPFS (months)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~2-4 (no SOC)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D5ED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924"/>
                <w:sz w:val="15"/>
                <w:szCs w:val="15"/>
              </w:rPr>
              <w:t xml:space="preserve">8.4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CONVERGE-01 (225Ac-rosopatamab)</w:t>
            </w:r>
          </w:p>
        </w:tc>
      </w:tr>
      <w:t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PSA50 (%)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D5ED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924"/>
                <w:sz w:val="15"/>
                <w:szCs w:val="15"/>
              </w:rPr>
              <w:t xml:space="preserve">56.3%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AcTION Ph1 (225Ac-PSMA-617)</w:t>
            </w:r>
          </w:p>
        </w:tc>
      </w:tr>
      <w:tr>
        <w:tc>
          <w:tcPr>
            <w:tcW w:type="dxa" w:w="9360"/>
            <w:gridSpan w:val="4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3D5A5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Safety - earlier-line intensification (mHSPC)</w:t>
            </w:r>
          </w:p>
        </w:tc>
      </w:tr>
      <w:t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Grade 3+ anemia (%)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14%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D5ED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924"/>
                <w:sz w:val="15"/>
                <w:szCs w:val="15"/>
              </w:rPr>
              <w:t xml:space="preserve">28%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PSMAddition (Pluvicto + SOC)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Alpha salvage is now a benchmark, not whitespace: 8.4-mo rPFS and 56.3% PSA50 post-Pluvicto where no SOC previously existed.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RLT is moving earlier: PSMAfore doubled taxane-naive mPFS to 12.0 mo; PRECISION RWE shows 15.8 mo when Pluvicto follows exactly one ARPI.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cost of earlier lines: Grade 3+ anemia doubled to 28% with RLT+SOC in mHSPC (PSMAddition); interim OS HR 0.84 is not yet significant. Class-level watch items: xerostomia for small-molecule 225Ac, and the low-tumor-volume 'sink effect'.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This is the on-demand endpoint-comparison view, promoted into the monthly memo when a conference cycle (ASCO/AUA/ESMO/SNMMI) delivers enough movement to warrant it. Built off the Tracker's Key efficacy readout field.</w:t>
      </w:r>
    </w:p>
    <w:p>
      <w:pPr>
        <w:pStyle w:val="Heading1"/>
        <w:pBdr>
          <w:bottom w:val="single" w:color="B1C8B0" w:sz="8"/>
        </w:pBdr>
        <w:spacing w:after="120" w:before="280"/>
      </w:pPr>
      <w:r>
        <w:rPr>
          <w:rFonts w:ascii="Arial" w:cs="Arial" w:eastAsia="Arial" w:hAnsi="Arial"/>
          <w:b/>
          <w:bCs/>
          <w:color w:val="002924"/>
          <w:sz w:val="22"/>
          <w:szCs w:val="22"/>
        </w:rPr>
        <w:t xml:space="preserve">5.  China signals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One China-origin signal this cycle: 9MW2821's cervical Phase 3 is the first Nectin-4 pivotal outside urothelial.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9MW2821 (Mabwell) — Nectin-4 ADC. </w:t>
      </w:r>
      <w:r>
        <w:rPr>
          <w:rFonts w:ascii="Arial" w:cs="Arial" w:eastAsia="Arial" w:hAnsi="Arial"/>
          <w:sz w:val="18"/>
          <w:szCs w:val="18"/>
        </w:rPr>
        <w:t xml:space="preserve">Cervical Phase 3 interim H2 2026. A hit widens the Nectin-4 basket rNPV; a miss signals class limits. Read-through to Sego's Nectin-4 basket assumptions.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Standing box for China-origin or early/preclinical signals too immature to attach to a target section, and the ahead-of-curve items that Western sell-side and aggregator sources under-cover. Populated by China-specific sources (CDE, Chinese-language preprints, company disclosures) plus the Tracker's China-based = Yes filter. This cycle is light; in a normal cycle expect several preclinical / early-clinical Chinese RDC and ADC entries.</w:t>
      </w:r>
    </w:p>
    <w:p>
      <w:pPr>
        <w:pStyle w:val="Heading1"/>
        <w:pBdr>
          <w:bottom w:val="single" w:color="B1C8B0" w:sz="8"/>
        </w:pBdr>
        <w:spacing w:after="120" w:before="280"/>
      </w:pPr>
      <w:r>
        <w:rPr>
          <w:rFonts w:ascii="Arial" w:cs="Arial" w:eastAsia="Arial" w:hAnsi="Arial"/>
          <w:b/>
          <w:bCs/>
          <w:color w:val="002924"/>
          <w:sz w:val="22"/>
          <w:szCs w:val="22"/>
        </w:rPr>
        <w:t xml:space="preserve">6.  Catalyst calendar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Four catalysts in the next ~12 months move Sego's competitive set; JNJ-6420's Dec 2026 KLK2 read is the most direct.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H2 2026 — 9MW2821 cervical Phase 3 interim (Nectin-4 basket read).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H2 2026 — PNT2002 SPLASH mature OS (PSMA beta-RLT sequencing).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Dec 2026 — JNJ-6420 NCT04644770 primary completion: RP2D + ILD resolution (direct KLK2 competitor gate).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Q1 2027 — AKY-1189 NECTINIUM-2 Part 1 safety / dosimetry (Nectin-4 alpha-RLT proof).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2026/2027 — ALE.P02 / ALE.P03 Ph1/2 (CLDN1 ADC de-risking).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Generated from the Tracker's Next catalyst + Catalyst date fields, filtered to the next ~12 months and sorted by date.</w:t>
      </w:r>
    </w:p>
    <w:p>
      <w:pPr>
        <w:pStyle w:val="Heading1"/>
        <w:pBdr>
          <w:bottom w:val="single" w:color="B1C8B0" w:sz="8"/>
        </w:pBdr>
        <w:spacing w:after="120" w:before="280"/>
      </w:pPr>
      <w:r>
        <w:rPr>
          <w:rFonts w:ascii="Arial" w:cs="Arial" w:eastAsia="Arial" w:hAnsi="Arial"/>
          <w:b/>
          <w:bCs/>
          <w:color w:val="002924"/>
          <w:sz w:val="22"/>
          <w:szCs w:val="22"/>
        </w:rPr>
        <w:t xml:space="preserve">7.  Method and sources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Coverage. </w:t>
      </w:r>
      <w:r>
        <w:rPr>
          <w:rFonts w:ascii="Arial" w:cs="Arial" w:eastAsia="Arial" w:hAnsi="Arial"/>
          <w:sz w:val="18"/>
          <w:szCs w:val="18"/>
        </w:rPr>
        <w:t xml:space="preserve">All oncology modalities (RLT, ADC, bispecific/TCE, small molecule, cell therapy, vaccine); therapeutics primary, imaging agents tracked and tagged. Scope: Sego target programs plus indication-level SOC.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Sources this cycle. </w:t>
      </w:r>
      <w:r>
        <w:rPr>
          <w:rFonts w:ascii="Arial" w:cs="Arial" w:eastAsia="Arial" w:hAnsi="Arial"/>
          <w:sz w:val="18"/>
          <w:szCs w:val="18"/>
        </w:rPr>
        <w:t xml:space="preserve">[Agent lists dated sources here: ClinicalTrials.gov, PubMed, bioRxiv, conference proceedings (ASCO / AUA / ESMO / SNMMI / AACR), company disclosures, China CDE and Chinese-language preprints, sell-side and trade coverage. Each Tracker claim carries its own dated source.]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Source scope is still an open decision (parked earlier). Conference proceedings and China-specific feeds are confirmed as required; the full source list gets finalized before the agent build.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Sego Competitive Intelligence Memo - Template</dc:title>
  <dc:creator>Sego Therapeutics</dc:creator>
  <cp:lastModifiedBy>Un-named</cp:lastModifiedBy>
  <cp:revision>1</cp:revision>
  <dcterms:created xsi:type="dcterms:W3CDTF">2026-07-10T17:06:47.787Z</dcterms:created>
  <dcterms:modified xsi:type="dcterms:W3CDTF">2026-07-10T17:06:47.796Z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