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3366"/>
          <w:sz w:val="44"/>
          <w:szCs w:val="44"/>
          <w:rtl w:val="0"/>
        </w:rPr>
        <w:t xml:space="preserve">Standard of Care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6699"/>
          <w:sz w:val="32"/>
          <w:szCs w:val="32"/>
          <w:rtl w:val="0"/>
        </w:rPr>
        <w:t xml:space="preserve">Generalized Myasthenia Gravis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646464"/>
          <w:sz w:val="20"/>
          <w:szCs w:val="20"/>
          <w:rtl w:val="0"/>
        </w:rPr>
        <w:t xml:space="preserve">Based on 7 FDA-approved drugs · June 2026</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Executive Summary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Generalized myasthenia gravis (gMG) is an autoimmune neuromuscular junction disorder causing fluctuating weakness; current FDA-approved targeted therapies mainly treat antibody-positive disease and are generally layered onto background symptomatic and immunosuppressive therapy rather than replacing it outright </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[G1][G2]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Treatment choice is now largely between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FcRn blockers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complement inhibitors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with route, speed, biomarker eligibility, infection risk, and convenience driving selection </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[G1][G2]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8">
      <w:pPr>
        <w:pStyle w:val="Heading2"/>
        <w:rPr/>
      </w:pPr>
      <w:r w:rsidDel="00000000" w:rsidR="00000000" w:rsidRPr="00000000">
        <w:rPr>
          <w:rtl w:val="0"/>
        </w:rPr>
        <w:t xml:space="preserve">Top drugs &amp; classes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FcRn blockers are leading options for broad antibody-positive gMG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because they rapidly lower pathogenic IgG.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Nipocalimab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(FcRn-blocking IgG1 mAb) is approved for AChR- or MuSK-positive patients aged ≥12 years and improved MG-ADL by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-4.7 vs -3.3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QMG by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-4.9 vs -2.1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vs placebo at Weeks 22–24 in Study 1</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7">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][G1]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Efgartigimod alfa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(FcRn-binding IgG1-derived Fc fragment) remains a major adult AChR-positive option; in Study 1, MG-ADL responders were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67.7% vs 29.7%</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QMG responders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63.1% vs 14.1%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vs placebo</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8">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7</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][G1]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Efgartigimod alfa/hyaluronidase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provides a more convenient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subcutaneous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FcRn option for adult AChR-positive gMG; efficacy is supported by pharmacodynamic bridging showing comparable AChR-antibody reduction to IV efgartigimod, with self-administration possible via prefilled syringe</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9">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9</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][G1]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Rozanolixizumab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(FcRn-blocking humanized IgG4 mAb) is the other key SC FcRn agent for adult AChR- or MuSK-positive gMG; MG-ADL change at Day 43 was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-3.4 vs -0.8</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QMG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-5.4 to -6.7 vs -1.9</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vs placebo</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0">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4</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][G1]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Complement inhibitors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are especially important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AChR-positive refractory/severe disease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Ravulizumab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(anti-C5 mAb) offers the lowest maintenance frequency, improving MG-ADL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-3.1 vs -1.4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QMG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-2.8 vs -0.8</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at Week 26</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1">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6</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Eculizumab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(anti-C5 mAb) improved MG-ADL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-4.2 vs -2.3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QMG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-4.6 vs -1.6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 refractory AChR-positive gMG</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2">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Zilucoplan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(C5-binding macrocyclic peptide) is the self-injected daily complement option, with MG-ADL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-4.39 vs -2.30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QMG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-6.19 vs -3.25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at Week 12</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3">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5</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][G2]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E">
      <w:pPr>
        <w:pStyle w:val="Heading2"/>
        <w:rPr/>
      </w:pPr>
      <w:r w:rsidDel="00000000" w:rsidR="00000000" w:rsidRPr="00000000">
        <w:rPr>
          <w:rtl w:val="0"/>
        </w:rPr>
        <w:t xml:space="preserve">Key unmet needs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Most approved drugs are restricted by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biomarker status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complement inhibitors are AChR-positive only, while some FcRn agents are adult-only and pediatric access remains uneven</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4">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5">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6</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6">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4</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][G1]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Safety remains limiting: FcRn blockers raise infection risk and complicate vaccination/live vaccines; complement inhibitors add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serious meningococcal infection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risk plus REMS burden</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7">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8">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9">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6</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20">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5</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][G2]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current targeted therapy fully solves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durability/convenience/cost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some require cyclic retreatment, weekly infusions, or even daily injections, and direct comparative data are lacking </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[G1][G2]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Glossary</w:t>
      </w:r>
    </w:p>
    <w:p w:rsidR="00000000" w:rsidDel="00000000" w:rsidP="00000000" w:rsidRDefault="00000000" w:rsidRPr="00000000" w14:paraId="00000014">
      <w:pPr>
        <w:rPr/>
      </w:pPr>
      <w:r w:rsidDel="00000000" w:rsidR="00000000" w:rsidRPr="00000000">
        <w:rPr>
          <w:rFonts w:ascii="Calibri" w:cs="Calibri" w:eastAsia="Calibri" w:hAnsi="Calibri"/>
          <w:b w:val="1"/>
          <w:bCs w:val="1"/>
          <w:sz w:val="18"/>
          <w:szCs w:val="18"/>
          <w:rtl w:val="0"/>
        </w:rPr>
        <w:t xml:space="preserve">AChR (Acetylcholine Receptor):: </w:t>
      </w:r>
      <w:r w:rsidDel="00000000" w:rsidR="00000000" w:rsidRPr="00000000">
        <w:rPr>
          <w:rFonts w:ascii="Calibri" w:cs="Calibri" w:eastAsia="Calibri" w:hAnsi="Calibri"/>
          <w:sz w:val="18"/>
          <w:szCs w:val="18"/>
          <w:rtl w:val="0"/>
        </w:rPr>
        <w:t xml:space="preserve">The main autoantigen in the most common form of generalized myasthenia gravis, where pathogenic antibodies target the acetylcholine receptor at the neuromuscular junction. AChR-antibody positivity is a key biomarker used to determine eligibility for several targeted therapies and is central to disease biology.</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b w:val="1"/>
          <w:bCs w:val="1"/>
          <w:sz w:val="18"/>
          <w:szCs w:val="18"/>
          <w:rtl w:val="0"/>
        </w:rPr>
        <w:t xml:space="preserve">C5 (Complement Component 5):: </w:t>
      </w:r>
      <w:r w:rsidDel="00000000" w:rsidR="00000000" w:rsidRPr="00000000">
        <w:rPr>
          <w:rFonts w:ascii="Calibri" w:cs="Calibri" w:eastAsia="Calibri" w:hAnsi="Calibri"/>
          <w:sz w:val="18"/>
          <w:szCs w:val="18"/>
          <w:rtl w:val="0"/>
        </w:rPr>
        <w:t xml:space="preserve">A terminal complement protein that, when cleaved, drives formation of the membrane attack complex and contributes to neuromuscular junction damage in AChR-antibody–positive generalized myasthenia gravis. It is the key biomarker target for complement inhibitor therapies in this disease.</w:t>
      </w: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b w:val="1"/>
          <w:bCs w:val="1"/>
          <w:sz w:val="18"/>
          <w:szCs w:val="18"/>
          <w:rtl w:val="0"/>
        </w:rPr>
        <w:t xml:space="preserve">FcRn (Neonatal Fc Receptor):: </w:t>
      </w:r>
      <w:r w:rsidDel="00000000" w:rsidR="00000000" w:rsidRPr="00000000">
        <w:rPr>
          <w:rFonts w:ascii="Calibri" w:cs="Calibri" w:eastAsia="Calibri" w:hAnsi="Calibri"/>
          <w:sz w:val="18"/>
          <w:szCs w:val="18"/>
          <w:rtl w:val="0"/>
        </w:rPr>
        <w:t xml:space="preserve">A receptor that protects IgG antibodies from degradation and thereby prolongs their circulation in the blood. In generalized myasthenia gravis, blocking FcRn lowers total IgG, including pathogenic autoantibodies, making it an important therapeutic target and class-defining abbreviation.</w:t>
      </w: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b w:val="1"/>
          <w:bCs w:val="1"/>
          <w:sz w:val="18"/>
          <w:szCs w:val="18"/>
          <w:rtl w:val="0"/>
        </w:rPr>
        <w:t xml:space="preserve">FcRn blocker (Neonatal Fc Receptor blocker):: </w:t>
      </w:r>
      <w:r w:rsidDel="00000000" w:rsidR="00000000" w:rsidRPr="00000000">
        <w:rPr>
          <w:rFonts w:ascii="Calibri" w:cs="Calibri" w:eastAsia="Calibri" w:hAnsi="Calibri"/>
          <w:sz w:val="18"/>
          <w:szCs w:val="18"/>
          <w:rtl w:val="0"/>
        </w:rPr>
        <w:t xml:space="preserve">A drug class that inhibits FcRn to accelerate removal of circulating IgG antibodies. In generalized myasthenia gravis, these agents are used to reduce pathogenic autoantibodies and are particularly relevant across antibody-positive subtypes.</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b w:val="1"/>
          <w:bCs w:val="1"/>
          <w:sz w:val="18"/>
          <w:szCs w:val="18"/>
          <w:rtl w:val="0"/>
        </w:rPr>
        <w:t xml:space="preserve">IgG (Immunoglobulin G):: </w:t>
      </w:r>
      <w:r w:rsidDel="00000000" w:rsidR="00000000" w:rsidRPr="00000000">
        <w:rPr>
          <w:rFonts w:ascii="Calibri" w:cs="Calibri" w:eastAsia="Calibri" w:hAnsi="Calibri"/>
          <w:sz w:val="18"/>
          <w:szCs w:val="18"/>
          <w:rtl w:val="0"/>
        </w:rPr>
        <w:t xml:space="preserve">The main antibody class involved in most pathogenic autoantibody responses in generalized myasthenia gravis. FcRn-targeted therapies work by lowering circulating IgG, which can reduce disease-driving antibodies such as those against AChR or MuSK.</w:t>
      </w: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b w:val="1"/>
          <w:bCs w:val="1"/>
          <w:sz w:val="18"/>
          <w:szCs w:val="18"/>
          <w:rtl w:val="0"/>
        </w:rPr>
        <w:t xml:space="preserve">mAb (Monoclonal Antibody):: </w:t>
      </w:r>
      <w:r w:rsidDel="00000000" w:rsidR="00000000" w:rsidRPr="00000000">
        <w:rPr>
          <w:rFonts w:ascii="Calibri" w:cs="Calibri" w:eastAsia="Calibri" w:hAnsi="Calibri"/>
          <w:sz w:val="18"/>
          <w:szCs w:val="18"/>
          <w:rtl w:val="0"/>
        </w:rPr>
        <w:t xml:space="preserve">A therapeutic biologic made to bind a specific molecular target with high specificity. In generalized myasthenia gravis, several targeted therapies are mAbs directed at FcRn or complement proteins.</w:t>
      </w: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b w:val="1"/>
          <w:bCs w:val="1"/>
          <w:sz w:val="18"/>
          <w:szCs w:val="18"/>
          <w:rtl w:val="0"/>
        </w:rPr>
        <w:t xml:space="preserve">MG-ADL (Myasthenia Gravis Activities of Daily Living):: </w:t>
      </w:r>
      <w:r w:rsidDel="00000000" w:rsidR="00000000" w:rsidRPr="00000000">
        <w:rPr>
          <w:rFonts w:ascii="Calibri" w:cs="Calibri" w:eastAsia="Calibri" w:hAnsi="Calibri"/>
          <w:sz w:val="18"/>
          <w:szCs w:val="18"/>
          <w:rtl w:val="0"/>
        </w:rPr>
        <w:t xml:space="preserve">An 8-item patient-reported scale that measures how myasthenia gravis symptoms affect everyday functions such as speaking, chewing, swallowing, breathing, and limb activity. It is one of the most important efficacy endpoints in generalized myasthenia gravis trials because it captures symptom burden from the patient perspective.</w:t>
      </w: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b w:val="1"/>
          <w:bCs w:val="1"/>
          <w:sz w:val="18"/>
          <w:szCs w:val="18"/>
          <w:rtl w:val="0"/>
        </w:rPr>
        <w:t xml:space="preserve">MGFA (Myasthenia Gravis Foundation of America classification):: </w:t>
      </w:r>
      <w:r w:rsidDel="00000000" w:rsidR="00000000" w:rsidRPr="00000000">
        <w:rPr>
          <w:rFonts w:ascii="Calibri" w:cs="Calibri" w:eastAsia="Calibri" w:hAnsi="Calibri"/>
          <w:sz w:val="18"/>
          <w:szCs w:val="18"/>
          <w:rtl w:val="0"/>
        </w:rPr>
        <w:t xml:space="preserve">A clinical severity classification system that categorizes myasthenia gravis based on the distribution and severity of muscle weakness. In trials and treatment discussions, MGFA class helps define baseline disease severity and eligible patient populations.</w:t>
      </w: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b w:val="1"/>
          <w:bCs w:val="1"/>
          <w:sz w:val="18"/>
          <w:szCs w:val="18"/>
          <w:rtl w:val="0"/>
        </w:rPr>
        <w:t xml:space="preserve">MuSK (Muscle-Specific Kinase):: </w:t>
      </w:r>
      <w:r w:rsidDel="00000000" w:rsidR="00000000" w:rsidRPr="00000000">
        <w:rPr>
          <w:rFonts w:ascii="Calibri" w:cs="Calibri" w:eastAsia="Calibri" w:hAnsi="Calibri"/>
          <w:sz w:val="18"/>
          <w:szCs w:val="18"/>
          <w:rtl w:val="0"/>
        </w:rPr>
        <w:t xml:space="preserve">A protein at the neuromuscular junction that is targeted by autoantibodies in a distinct subgroup of generalized myasthenia gravis. MuSK-antibody positivity is an important biomarker because it identifies a biologically different subtype and influences which targeted therapies are appropriate.</w:t>
      </w: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b w:val="1"/>
          <w:bCs w:val="1"/>
          <w:sz w:val="18"/>
          <w:szCs w:val="18"/>
          <w:rtl w:val="0"/>
        </w:rPr>
        <w:t xml:space="preserve">QMG (Quantitative Myasthenia Gravis):: </w:t>
      </w:r>
      <w:r w:rsidDel="00000000" w:rsidR="00000000" w:rsidRPr="00000000">
        <w:rPr>
          <w:rFonts w:ascii="Calibri" w:cs="Calibri" w:eastAsia="Calibri" w:hAnsi="Calibri"/>
          <w:sz w:val="18"/>
          <w:szCs w:val="18"/>
          <w:rtl w:val="0"/>
        </w:rPr>
        <w:t xml:space="preserve">A clinician-assessed scale that quantitatively measures muscle weakness across several domains in myasthenia gravis. It is a standard efficacy endpoint in generalized myasthenia gravis trials and complements MG-ADL by providing an objective assessment of physical impairment.</w:t>
      </w: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b w:val="1"/>
          <w:bCs w:val="1"/>
          <w:sz w:val="18"/>
          <w:szCs w:val="18"/>
          <w:rtl w:val="0"/>
        </w:rPr>
        <w:t xml:space="preserve">QMG responder (Quantitative Myasthenia Gravis responder):: </w:t>
      </w:r>
      <w:r w:rsidDel="00000000" w:rsidR="00000000" w:rsidRPr="00000000">
        <w:rPr>
          <w:rFonts w:ascii="Calibri" w:cs="Calibri" w:eastAsia="Calibri" w:hAnsi="Calibri"/>
          <w:sz w:val="18"/>
          <w:szCs w:val="18"/>
          <w:rtl w:val="0"/>
        </w:rPr>
        <w:t xml:space="preserve">A trial endpoint describing a patient who achieves a prespecified clinically meaningful improvement in QMG score, often a reduction of several points from baseline. In generalized myasthenia gravis studies, responder analyses help show how many patients experience meaningful objective improvement in weakness.</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Treatment Algorithm / Sequencing</w:t>
      </w:r>
    </w:p>
    <w:p w:rsidR="00000000" w:rsidDel="00000000" w:rsidP="00000000" w:rsidRDefault="00000000" w:rsidRPr="00000000" w14:paraId="00000021">
      <w:pPr>
        <w:jc w:val="center"/>
        <w:rPr/>
      </w:pPr>
      <w:r w:rsidDel="00000000" w:rsidR="00000000" w:rsidRPr="00000000">
        <w:rPr/>
        <w:drawing>
          <wp:inline distB="0" distT="0" distL="114300" distR="114300">
            <wp:extent cx="8978900" cy="5812621"/>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8978900" cy="581262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sz w:val="20"/>
          <w:szCs w:val="20"/>
          <w:rtl w:val="0"/>
        </w:rPr>
        <w:t xml:space="preserve">For most patients with symptomatic gMG, guidelines start with </w:t>
      </w:r>
      <w:r w:rsidDel="00000000" w:rsidR="00000000" w:rsidRPr="00000000">
        <w:rPr>
          <w:b w:val="1"/>
          <w:bCs w:val="1"/>
          <w:sz w:val="20"/>
          <w:szCs w:val="20"/>
          <w:rtl w:val="0"/>
        </w:rPr>
        <w:t xml:space="preserve">acetylcholinesterase inhibition</w:t>
      </w:r>
      <w:r w:rsidDel="00000000" w:rsidR="00000000" w:rsidRPr="00000000">
        <w:rPr>
          <w:sz w:val="20"/>
          <w:szCs w:val="20"/>
          <w:rtl w:val="0"/>
        </w:rPr>
        <w:t xml:space="preserve"> and background immunotherapy/corticosteroids as needed; targeted biologic therapy is generally added for persistent moderate-to-severe generalized disease, treatment-refractory disease, or when steroid-sparing is needed </w:t>
      </w:r>
      <w:r w:rsidDel="00000000" w:rsidR="00000000" w:rsidRPr="00000000">
        <w:rPr>
          <w:color w:val="0563c1"/>
          <w:sz w:val="18"/>
          <w:szCs w:val="18"/>
          <w:rtl w:val="0"/>
        </w:rPr>
        <w:t xml:space="preserve">[G1][G2]</w:t>
      </w:r>
      <w:r w:rsidDel="00000000" w:rsidR="00000000" w:rsidRPr="00000000">
        <w:rPr>
          <w:sz w:val="20"/>
          <w:szCs w:val="20"/>
          <w:rtl w:val="0"/>
        </w:rPr>
        <w:t xml:space="preserve">. Among FDA-approved targeted agents, sequencing is usually driven first by </w:t>
      </w:r>
      <w:r w:rsidDel="00000000" w:rsidR="00000000" w:rsidRPr="00000000">
        <w:rPr>
          <w:b w:val="1"/>
          <w:bCs w:val="1"/>
          <w:sz w:val="20"/>
          <w:szCs w:val="20"/>
          <w:rtl w:val="0"/>
        </w:rPr>
        <w:t xml:space="preserve">antibody status</w:t>
      </w:r>
      <w:r w:rsidDel="00000000" w:rsidR="00000000" w:rsidRPr="00000000">
        <w:rPr>
          <w:sz w:val="20"/>
          <w:szCs w:val="20"/>
          <w:rtl w:val="0"/>
        </w:rPr>
        <w:t xml:space="preserve"> and second by </w:t>
      </w:r>
      <w:r w:rsidDel="00000000" w:rsidR="00000000" w:rsidRPr="00000000">
        <w:rPr>
          <w:b w:val="1"/>
          <w:bCs w:val="1"/>
          <w:sz w:val="20"/>
          <w:szCs w:val="20"/>
          <w:rtl w:val="0"/>
        </w:rPr>
        <w:t xml:space="preserve">risk/convenience</w:t>
      </w:r>
      <w:r w:rsidDel="00000000" w:rsidR="00000000" w:rsidRPr="00000000">
        <w:rPr>
          <w:sz w:val="20"/>
          <w:szCs w:val="20"/>
          <w:rtl w:val="0"/>
        </w:rPr>
        <w:t xml:space="preserve"> </w:t>
      </w:r>
      <w:r w:rsidDel="00000000" w:rsidR="00000000" w:rsidRPr="00000000">
        <w:rPr>
          <w:color w:val="0563c1"/>
          <w:sz w:val="18"/>
          <w:szCs w:val="18"/>
          <w:rtl w:val="0"/>
        </w:rPr>
        <w:t xml:space="preserve">[G1]</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3">
      <w:pPr>
        <w:rPr/>
      </w:pPr>
      <w:r w:rsidDel="00000000" w:rsidR="00000000" w:rsidRPr="00000000">
        <w:rPr>
          <w:sz w:val="20"/>
          <w:szCs w:val="20"/>
          <w:rtl w:val="0"/>
        </w:rPr>
        <w:t xml:space="preserve">For </w:t>
      </w:r>
      <w:r w:rsidDel="00000000" w:rsidR="00000000" w:rsidRPr="00000000">
        <w:rPr>
          <w:b w:val="1"/>
          <w:bCs w:val="1"/>
          <w:sz w:val="20"/>
          <w:szCs w:val="20"/>
          <w:rtl w:val="0"/>
        </w:rPr>
        <w:t xml:space="preserve">AChR-positive</w:t>
      </w:r>
      <w:r w:rsidDel="00000000" w:rsidR="00000000" w:rsidRPr="00000000">
        <w:rPr>
          <w:sz w:val="20"/>
          <w:szCs w:val="20"/>
          <w:rtl w:val="0"/>
        </w:rPr>
        <w:t xml:space="preserve"> disease, both </w:t>
      </w:r>
      <w:r w:rsidDel="00000000" w:rsidR="00000000" w:rsidRPr="00000000">
        <w:rPr>
          <w:b w:val="1"/>
          <w:bCs w:val="1"/>
          <w:sz w:val="20"/>
          <w:szCs w:val="20"/>
          <w:rtl w:val="0"/>
        </w:rPr>
        <w:t xml:space="preserve">FcRn blockers</w:t>
      </w:r>
      <w:r w:rsidDel="00000000" w:rsidR="00000000" w:rsidRPr="00000000">
        <w:rPr>
          <w:sz w:val="20"/>
          <w:szCs w:val="20"/>
          <w:rtl w:val="0"/>
        </w:rPr>
        <w:t xml:space="preserve"> and </w:t>
      </w:r>
      <w:r w:rsidDel="00000000" w:rsidR="00000000" w:rsidRPr="00000000">
        <w:rPr>
          <w:b w:val="1"/>
          <w:bCs w:val="1"/>
          <w:sz w:val="20"/>
          <w:szCs w:val="20"/>
          <w:rtl w:val="0"/>
        </w:rPr>
        <w:t xml:space="preserve">complement inhibitors</w:t>
      </w:r>
      <w:r w:rsidDel="00000000" w:rsidR="00000000" w:rsidRPr="00000000">
        <w:rPr>
          <w:sz w:val="20"/>
          <w:szCs w:val="20"/>
          <w:rtl w:val="0"/>
        </w:rPr>
        <w:t xml:space="preserve"> are reasonable targeted options </w:t>
      </w:r>
      <w:r w:rsidDel="00000000" w:rsidR="00000000" w:rsidRPr="00000000">
        <w:rPr>
          <w:color w:val="0563c1"/>
          <w:sz w:val="18"/>
          <w:szCs w:val="18"/>
          <w:rtl w:val="0"/>
        </w:rPr>
        <w:t xml:space="preserve">[G1][G2]</w:t>
      </w:r>
      <w:r w:rsidDel="00000000" w:rsidR="00000000" w:rsidRPr="00000000">
        <w:rPr>
          <w:sz w:val="20"/>
          <w:szCs w:val="20"/>
          <w:rtl w:val="0"/>
        </w:rPr>
        <w:t xml:space="preserve">. In current practice, many clinicians favor an </w:t>
      </w:r>
      <w:r w:rsidDel="00000000" w:rsidR="00000000" w:rsidRPr="00000000">
        <w:rPr>
          <w:b w:val="1"/>
          <w:bCs w:val="1"/>
          <w:sz w:val="20"/>
          <w:szCs w:val="20"/>
          <w:rtl w:val="0"/>
        </w:rPr>
        <w:t xml:space="preserve">FcRn blocker first</w:t>
      </w:r>
      <w:r w:rsidDel="00000000" w:rsidR="00000000" w:rsidRPr="00000000">
        <w:rPr>
          <w:sz w:val="20"/>
          <w:szCs w:val="20"/>
          <w:rtl w:val="0"/>
        </w:rPr>
        <w:t xml:space="preserve"> when flexibility across severity, cyclic use, or easier avoidance of meningococcal REMS is preferred; choices include IV efgartigimod, SC efgartigimod/hyaluronidase, rozanolixizumab, or nipocalimab depending on age, route preference, and MuSK eligibility</w:t>
      </w:r>
      <w:r w:rsidDel="00000000" w:rsidR="00000000" w:rsidRPr="00000000">
        <w:rPr>
          <w:color w:val="0563c1"/>
          <w:sz w:val="18"/>
          <w:szCs w:val="18"/>
          <w:rtl w:val="0"/>
        </w:rPr>
        <w:t xml:space="preserve">[</w:t>
      </w:r>
      <w:hyperlink r:id="rId22">
        <w:r w:rsidDel="00000000" w:rsidR="00000000" w:rsidRPr="00000000">
          <w:rPr>
            <w:color w:val="0563c1"/>
            <w:sz w:val="18"/>
            <w:szCs w:val="18"/>
            <w:u w:val="single"/>
            <w:rtl w:val="0"/>
          </w:rPr>
          <w:t xml:space="preserve">7</w:t>
        </w:r>
      </w:hyperlink>
      <w:r w:rsidDel="00000000" w:rsidR="00000000" w:rsidRPr="00000000">
        <w:rPr>
          <w:color w:val="0563c1"/>
          <w:sz w:val="18"/>
          <w:szCs w:val="18"/>
          <w:rtl w:val="0"/>
        </w:rPr>
        <w:t xml:space="preserve">][</w:t>
      </w:r>
      <w:hyperlink r:id="rId23">
        <w:r w:rsidDel="00000000" w:rsidR="00000000" w:rsidRPr="00000000">
          <w:rPr>
            <w:color w:val="0563c1"/>
            <w:sz w:val="18"/>
            <w:szCs w:val="18"/>
            <w:u w:val="single"/>
            <w:rtl w:val="0"/>
          </w:rPr>
          <w:t xml:space="preserve">9</w:t>
        </w:r>
      </w:hyperlink>
      <w:r w:rsidDel="00000000" w:rsidR="00000000" w:rsidRPr="00000000">
        <w:rPr>
          <w:color w:val="0563c1"/>
          <w:sz w:val="18"/>
          <w:szCs w:val="18"/>
          <w:rtl w:val="0"/>
        </w:rPr>
        <w:t xml:space="preserve">][</w:t>
      </w:r>
      <w:hyperlink r:id="rId24">
        <w:r w:rsidDel="00000000" w:rsidR="00000000" w:rsidRPr="00000000">
          <w:rPr>
            <w:color w:val="0563c1"/>
            <w:sz w:val="18"/>
            <w:szCs w:val="18"/>
            <w:u w:val="single"/>
            <w:rtl w:val="0"/>
          </w:rPr>
          <w:t xml:space="preserve">4</w:t>
        </w:r>
      </w:hyperlink>
      <w:r w:rsidDel="00000000" w:rsidR="00000000" w:rsidRPr="00000000">
        <w:rPr>
          <w:color w:val="0563c1"/>
          <w:sz w:val="18"/>
          <w:szCs w:val="18"/>
          <w:rtl w:val="0"/>
        </w:rPr>
        <w:t xml:space="preserve">][</w:t>
      </w:r>
      <w:hyperlink r:id="rId25">
        <w:r w:rsidDel="00000000" w:rsidR="00000000" w:rsidRPr="00000000">
          <w:rPr>
            <w:color w:val="0563c1"/>
            <w:sz w:val="18"/>
            <w:szCs w:val="18"/>
            <w:u w:val="single"/>
            <w:rtl w:val="0"/>
          </w:rPr>
          <w:t xml:space="preserve">3</w:t>
        </w:r>
      </w:hyperlink>
      <w:r w:rsidDel="00000000" w:rsidR="00000000" w:rsidRPr="00000000">
        <w:rPr>
          <w:color w:val="0563c1"/>
          <w:sz w:val="18"/>
          <w:szCs w:val="18"/>
          <w:rtl w:val="0"/>
        </w:rPr>
        <w:t xml:space="preserve">]</w:t>
      </w:r>
      <w:r w:rsidDel="00000000" w:rsidR="00000000" w:rsidRPr="00000000">
        <w:rPr>
          <w:sz w:val="20"/>
          <w:szCs w:val="20"/>
          <w:rtl w:val="0"/>
        </w:rPr>
        <w:t xml:space="preserve">. </w:t>
      </w:r>
      <w:r w:rsidDel="00000000" w:rsidR="00000000" w:rsidRPr="00000000">
        <w:rPr>
          <w:b w:val="1"/>
          <w:bCs w:val="1"/>
          <w:sz w:val="20"/>
          <w:szCs w:val="20"/>
          <w:rtl w:val="0"/>
        </w:rPr>
        <w:t xml:space="preserve">Complement inhibition</w:t>
      </w:r>
      <w:r w:rsidDel="00000000" w:rsidR="00000000" w:rsidRPr="00000000">
        <w:rPr>
          <w:sz w:val="20"/>
          <w:szCs w:val="20"/>
          <w:rtl w:val="0"/>
        </w:rPr>
        <w:t xml:space="preserve"> may be preferred earlier for clearly </w:t>
      </w:r>
      <w:r w:rsidDel="00000000" w:rsidR="00000000" w:rsidRPr="00000000">
        <w:rPr>
          <w:b w:val="1"/>
          <w:bCs w:val="1"/>
          <w:sz w:val="20"/>
          <w:szCs w:val="20"/>
          <w:rtl w:val="0"/>
        </w:rPr>
        <w:t xml:space="preserve">refractory AChR-positive disease</w:t>
      </w:r>
      <w:r w:rsidDel="00000000" w:rsidR="00000000" w:rsidRPr="00000000">
        <w:rPr>
          <w:sz w:val="20"/>
          <w:szCs w:val="20"/>
          <w:rtl w:val="0"/>
        </w:rPr>
        <w:t xml:space="preserve">, especially when sustained control is prioritized and meningococcal vaccination/REMS logistics are acceptable</w:t>
      </w:r>
      <w:r w:rsidDel="00000000" w:rsidR="00000000" w:rsidRPr="00000000">
        <w:rPr>
          <w:color w:val="0563c1"/>
          <w:sz w:val="18"/>
          <w:szCs w:val="18"/>
          <w:rtl w:val="0"/>
        </w:rPr>
        <w:t xml:space="preserve">[</w:t>
      </w:r>
      <w:hyperlink r:id="rId26">
        <w:r w:rsidDel="00000000" w:rsidR="00000000" w:rsidRPr="00000000">
          <w:rPr>
            <w:color w:val="0563c1"/>
            <w:sz w:val="18"/>
            <w:szCs w:val="18"/>
            <w:u w:val="single"/>
            <w:rtl w:val="0"/>
          </w:rPr>
          <w:t xml:space="preserve">2</w:t>
        </w:r>
      </w:hyperlink>
      <w:r w:rsidDel="00000000" w:rsidR="00000000" w:rsidRPr="00000000">
        <w:rPr>
          <w:color w:val="0563c1"/>
          <w:sz w:val="18"/>
          <w:szCs w:val="18"/>
          <w:rtl w:val="0"/>
        </w:rPr>
        <w:t xml:space="preserve">][</w:t>
      </w:r>
      <w:hyperlink r:id="rId27">
        <w:r w:rsidDel="00000000" w:rsidR="00000000" w:rsidRPr="00000000">
          <w:rPr>
            <w:color w:val="0563c1"/>
            <w:sz w:val="18"/>
            <w:szCs w:val="18"/>
            <w:u w:val="single"/>
            <w:rtl w:val="0"/>
          </w:rPr>
          <w:t xml:space="preserve">6</w:t>
        </w:r>
      </w:hyperlink>
      <w:r w:rsidDel="00000000" w:rsidR="00000000" w:rsidRPr="00000000">
        <w:rPr>
          <w:color w:val="0563c1"/>
          <w:sz w:val="18"/>
          <w:szCs w:val="18"/>
          <w:rtl w:val="0"/>
        </w:rPr>
        <w:t xml:space="preserve">][</w:t>
      </w:r>
      <w:hyperlink r:id="rId28">
        <w:r w:rsidDel="00000000" w:rsidR="00000000" w:rsidRPr="00000000">
          <w:rPr>
            <w:color w:val="0563c1"/>
            <w:sz w:val="18"/>
            <w:szCs w:val="18"/>
            <w:u w:val="single"/>
            <w:rtl w:val="0"/>
          </w:rPr>
          <w:t xml:space="preserve">5</w:t>
        </w:r>
      </w:hyperlink>
      <w:r w:rsidDel="00000000" w:rsidR="00000000" w:rsidRPr="00000000">
        <w:rPr>
          <w:color w:val="0563c1"/>
          <w:sz w:val="18"/>
          <w:szCs w:val="18"/>
          <w:rtl w:val="0"/>
        </w:rPr>
        <w:t xml:space="preserve">][G2]</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4">
      <w:pPr>
        <w:rPr/>
      </w:pPr>
      <w:r w:rsidDel="00000000" w:rsidR="00000000" w:rsidRPr="00000000">
        <w:rPr>
          <w:sz w:val="20"/>
          <w:szCs w:val="20"/>
          <w:rtl w:val="0"/>
        </w:rPr>
        <w:t xml:space="preserve">For </w:t>
      </w:r>
      <w:r w:rsidDel="00000000" w:rsidR="00000000" w:rsidRPr="00000000">
        <w:rPr>
          <w:b w:val="1"/>
          <w:bCs w:val="1"/>
          <w:sz w:val="20"/>
          <w:szCs w:val="20"/>
          <w:rtl w:val="0"/>
        </w:rPr>
        <w:t xml:space="preserve">MuSK-positive</w:t>
      </w:r>
      <w:r w:rsidDel="00000000" w:rsidR="00000000" w:rsidRPr="00000000">
        <w:rPr>
          <w:sz w:val="20"/>
          <w:szCs w:val="20"/>
          <w:rtl w:val="0"/>
        </w:rPr>
        <w:t xml:space="preserve"> disease, current FDA options are </w:t>
      </w:r>
      <w:r w:rsidDel="00000000" w:rsidR="00000000" w:rsidRPr="00000000">
        <w:rPr>
          <w:b w:val="1"/>
          <w:bCs w:val="1"/>
          <w:sz w:val="20"/>
          <w:szCs w:val="20"/>
          <w:rtl w:val="0"/>
        </w:rPr>
        <w:t xml:space="preserve">FcRn blockers</w:t>
      </w:r>
      <w:r w:rsidDel="00000000" w:rsidR="00000000" w:rsidRPr="00000000">
        <w:rPr>
          <w:sz w:val="20"/>
          <w:szCs w:val="20"/>
          <w:rtl w:val="0"/>
        </w:rPr>
        <w:t xml:space="preserve"> only: nipocalimab and rozanolixizumab are directly labeled; complement inhibitors are not</w:t>
      </w:r>
      <w:r w:rsidDel="00000000" w:rsidR="00000000" w:rsidRPr="00000000">
        <w:rPr>
          <w:color w:val="0563c1"/>
          <w:sz w:val="18"/>
          <w:szCs w:val="18"/>
          <w:rtl w:val="0"/>
        </w:rPr>
        <w:t xml:space="preserve">[</w:t>
      </w:r>
      <w:hyperlink r:id="rId29">
        <w:r w:rsidDel="00000000" w:rsidR="00000000" w:rsidRPr="00000000">
          <w:rPr>
            <w:color w:val="0563c1"/>
            <w:sz w:val="18"/>
            <w:szCs w:val="18"/>
            <w:u w:val="single"/>
            <w:rtl w:val="0"/>
          </w:rPr>
          <w:t xml:space="preserve">3</w:t>
        </w:r>
      </w:hyperlink>
      <w:r w:rsidDel="00000000" w:rsidR="00000000" w:rsidRPr="00000000">
        <w:rPr>
          <w:color w:val="0563c1"/>
          <w:sz w:val="18"/>
          <w:szCs w:val="18"/>
          <w:rtl w:val="0"/>
        </w:rPr>
        <w:t xml:space="preserve">][</w:t>
      </w:r>
      <w:hyperlink r:id="rId30">
        <w:r w:rsidDel="00000000" w:rsidR="00000000" w:rsidRPr="00000000">
          <w:rPr>
            <w:color w:val="0563c1"/>
            <w:sz w:val="18"/>
            <w:szCs w:val="18"/>
            <w:u w:val="single"/>
            <w:rtl w:val="0"/>
          </w:rPr>
          <w:t xml:space="preserve">4</w:t>
        </w:r>
      </w:hyperlink>
      <w:r w:rsidDel="00000000" w:rsidR="00000000" w:rsidRPr="00000000">
        <w:rPr>
          <w:color w:val="0563c1"/>
          <w:sz w:val="18"/>
          <w:szCs w:val="18"/>
          <w:rtl w:val="0"/>
        </w:rPr>
        <w:t xml:space="preserve">][G1]</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sz w:val="20"/>
          <w:szCs w:val="20"/>
          <w:rtl w:val="0"/>
        </w:rPr>
        <w:t xml:space="preserve">Important deviations from a rigid sequence: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Pediatric/adolescent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nipocalimab (≥12 years) and eculizumab (AChR+, ≥6 years) may move earlier because labeled alternatives are limited</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31">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32">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Need for self-administration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SC efgartigimod/hyaluronidase prefilled syringe or daily zilucoplan can outrank infusion therapies</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33">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9</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34">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5</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Need for lowest visit frequency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ravulizumab every 8 weeks can outrank eculizumab every 2 weeks</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35">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6</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36">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9">
      <w:pPr>
        <w:rPr/>
      </w:pPr>
      <w:r w:rsidDel="00000000" w:rsidR="00000000" w:rsidRPr="00000000">
        <w:rPr>
          <w:sz w:val="20"/>
          <w:szCs w:val="20"/>
          <w:rtl w:val="0"/>
        </w:rPr>
        <w:t xml:space="preserve">Practical caveats: vaccinate before FcRn cycles and avoid live vaccines during treatment</w:t>
      </w:r>
      <w:r w:rsidDel="00000000" w:rsidR="00000000" w:rsidRPr="00000000">
        <w:rPr>
          <w:color w:val="0563c1"/>
          <w:sz w:val="18"/>
          <w:szCs w:val="18"/>
          <w:rtl w:val="0"/>
        </w:rPr>
        <w:t xml:space="preserve">[</w:t>
      </w:r>
      <w:hyperlink r:id="rId37">
        <w:r w:rsidDel="00000000" w:rsidR="00000000" w:rsidRPr="00000000">
          <w:rPr>
            <w:color w:val="0563c1"/>
            <w:sz w:val="18"/>
            <w:szCs w:val="18"/>
            <w:u w:val="single"/>
            <w:rtl w:val="0"/>
          </w:rPr>
          <w:t xml:space="preserve">7</w:t>
        </w:r>
      </w:hyperlink>
      <w:r w:rsidDel="00000000" w:rsidR="00000000" w:rsidRPr="00000000">
        <w:rPr>
          <w:color w:val="0563c1"/>
          <w:sz w:val="18"/>
          <w:szCs w:val="18"/>
          <w:rtl w:val="0"/>
        </w:rPr>
        <w:t xml:space="preserve">][</w:t>
      </w:r>
      <w:hyperlink r:id="rId38">
        <w:r w:rsidDel="00000000" w:rsidR="00000000" w:rsidRPr="00000000">
          <w:rPr>
            <w:color w:val="0563c1"/>
            <w:sz w:val="18"/>
            <w:szCs w:val="18"/>
            <w:u w:val="single"/>
            <w:rtl w:val="0"/>
          </w:rPr>
          <w:t xml:space="preserve">3</w:t>
        </w:r>
      </w:hyperlink>
      <w:r w:rsidDel="00000000" w:rsidR="00000000" w:rsidRPr="00000000">
        <w:rPr>
          <w:color w:val="0563c1"/>
          <w:sz w:val="18"/>
          <w:szCs w:val="18"/>
          <w:rtl w:val="0"/>
        </w:rPr>
        <w:t xml:space="preserve">]</w:t>
      </w:r>
      <w:r w:rsidDel="00000000" w:rsidR="00000000" w:rsidRPr="00000000">
        <w:rPr>
          <w:sz w:val="20"/>
          <w:szCs w:val="20"/>
          <w:rtl w:val="0"/>
        </w:rPr>
        <w:t xml:space="preserve">; meningococcal vaccination is mandatory before complement inhibitors, with antibacterial prophylaxis if urgent start is necessary</w:t>
      </w:r>
      <w:r w:rsidDel="00000000" w:rsidR="00000000" w:rsidRPr="00000000">
        <w:rPr>
          <w:color w:val="0563c1"/>
          <w:sz w:val="18"/>
          <w:szCs w:val="18"/>
          <w:rtl w:val="0"/>
        </w:rPr>
        <w:t xml:space="preserve">[</w:t>
      </w:r>
      <w:hyperlink r:id="rId39">
        <w:r w:rsidDel="00000000" w:rsidR="00000000" w:rsidRPr="00000000">
          <w:rPr>
            <w:color w:val="0563c1"/>
            <w:sz w:val="18"/>
            <w:szCs w:val="18"/>
            <w:u w:val="single"/>
            <w:rtl w:val="0"/>
          </w:rPr>
          <w:t xml:space="preserve">2</w:t>
        </w:r>
      </w:hyperlink>
      <w:r w:rsidDel="00000000" w:rsidR="00000000" w:rsidRPr="00000000">
        <w:rPr>
          <w:color w:val="0563c1"/>
          <w:sz w:val="18"/>
          <w:szCs w:val="18"/>
          <w:rtl w:val="0"/>
        </w:rPr>
        <w:t xml:space="preserve">][</w:t>
      </w:r>
      <w:hyperlink r:id="rId40">
        <w:r w:rsidDel="00000000" w:rsidR="00000000" w:rsidRPr="00000000">
          <w:rPr>
            <w:color w:val="0563c1"/>
            <w:sz w:val="18"/>
            <w:szCs w:val="18"/>
            <w:u w:val="single"/>
            <w:rtl w:val="0"/>
          </w:rPr>
          <w:t xml:space="preserve">6</w:t>
        </w:r>
      </w:hyperlink>
      <w:r w:rsidDel="00000000" w:rsidR="00000000" w:rsidRPr="00000000">
        <w:rPr>
          <w:color w:val="0563c1"/>
          <w:sz w:val="18"/>
          <w:szCs w:val="18"/>
          <w:rtl w:val="0"/>
        </w:rPr>
        <w:t xml:space="preserve">][</w:t>
      </w:r>
      <w:hyperlink r:id="rId41">
        <w:r w:rsidDel="00000000" w:rsidR="00000000" w:rsidRPr="00000000">
          <w:rPr>
            <w:color w:val="0563c1"/>
            <w:sz w:val="18"/>
            <w:szCs w:val="18"/>
            <w:u w:val="single"/>
            <w:rtl w:val="0"/>
          </w:rPr>
          <w:t xml:space="preserve">5</w:t>
        </w:r>
      </w:hyperlink>
      <w:r w:rsidDel="00000000" w:rsidR="00000000" w:rsidRPr="00000000">
        <w:rPr>
          <w:color w:val="0563c1"/>
          <w:sz w:val="18"/>
          <w:szCs w:val="18"/>
          <w:rtl w:val="0"/>
        </w:rPr>
        <w:t xml:space="preserve">]</w:t>
      </w:r>
      <w:r w:rsidDel="00000000" w:rsidR="00000000" w:rsidRPr="00000000">
        <w:rPr>
          <w:sz w:val="20"/>
          <w:szCs w:val="20"/>
          <w:rtl w:val="0"/>
        </w:rPr>
        <w:t xml:space="preserve">. Efgartigimod retreatment sooner than </w:t>
      </w:r>
      <w:r w:rsidDel="00000000" w:rsidR="00000000" w:rsidRPr="00000000">
        <w:rPr>
          <w:b w:val="1"/>
          <w:bCs w:val="1"/>
          <w:sz w:val="20"/>
          <w:szCs w:val="20"/>
          <w:rtl w:val="0"/>
        </w:rPr>
        <w:t xml:space="preserve">50 days from start of prior cycle</w:t>
      </w:r>
      <w:r w:rsidDel="00000000" w:rsidR="00000000" w:rsidRPr="00000000">
        <w:rPr>
          <w:sz w:val="20"/>
          <w:szCs w:val="20"/>
          <w:rtl w:val="0"/>
        </w:rPr>
        <w:t xml:space="preserve"> and rozanolixizumab sooner than </w:t>
      </w:r>
      <w:r w:rsidDel="00000000" w:rsidR="00000000" w:rsidRPr="00000000">
        <w:rPr>
          <w:b w:val="1"/>
          <w:bCs w:val="1"/>
          <w:sz w:val="20"/>
          <w:szCs w:val="20"/>
          <w:rtl w:val="0"/>
        </w:rPr>
        <w:t xml:space="preserve">63 days from start of prior cycle</w:t>
      </w:r>
      <w:r w:rsidDel="00000000" w:rsidR="00000000" w:rsidRPr="00000000">
        <w:rPr>
          <w:sz w:val="20"/>
          <w:szCs w:val="20"/>
          <w:rtl w:val="0"/>
        </w:rPr>
        <w:t xml:space="preserve"> is not established</w:t>
      </w:r>
      <w:r w:rsidDel="00000000" w:rsidR="00000000" w:rsidRPr="00000000">
        <w:rPr>
          <w:color w:val="0563c1"/>
          <w:sz w:val="18"/>
          <w:szCs w:val="18"/>
          <w:rtl w:val="0"/>
        </w:rPr>
        <w:t xml:space="preserve">[</w:t>
      </w:r>
      <w:hyperlink r:id="rId42">
        <w:r w:rsidDel="00000000" w:rsidR="00000000" w:rsidRPr="00000000">
          <w:rPr>
            <w:color w:val="0563c1"/>
            <w:sz w:val="18"/>
            <w:szCs w:val="18"/>
            <w:u w:val="single"/>
            <w:rtl w:val="0"/>
          </w:rPr>
          <w:t xml:space="preserve">7</w:t>
        </w:r>
      </w:hyperlink>
      <w:r w:rsidDel="00000000" w:rsidR="00000000" w:rsidRPr="00000000">
        <w:rPr>
          <w:color w:val="0563c1"/>
          <w:sz w:val="18"/>
          <w:szCs w:val="18"/>
          <w:rtl w:val="0"/>
        </w:rPr>
        <w:t xml:space="preserve">][</w:t>
      </w:r>
      <w:hyperlink r:id="rId43">
        <w:r w:rsidDel="00000000" w:rsidR="00000000" w:rsidRPr="00000000">
          <w:rPr>
            <w:color w:val="0563c1"/>
            <w:sz w:val="18"/>
            <w:szCs w:val="18"/>
            <w:u w:val="single"/>
            <w:rtl w:val="0"/>
          </w:rPr>
          <w:t xml:space="preserve">4</w:t>
        </w:r>
      </w:hyperlink>
      <w:r w:rsidDel="00000000" w:rsidR="00000000" w:rsidRPr="00000000">
        <w:rPr>
          <w:color w:val="0563c1"/>
          <w:sz w:val="18"/>
          <w:szCs w:val="18"/>
          <w:rtl w:val="0"/>
        </w:rPr>
        <w:t xml:space="preserv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Drug Classes</w:t>
      </w:r>
    </w:p>
    <w:tbl>
      <w:tblPr>
        <w:tblStyle w:val="Table1"/>
        <w:tblW w:w="14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5"/>
        <w:gridCol w:w="3535"/>
        <w:gridCol w:w="3535"/>
        <w:gridCol w:w="3535"/>
        <w:tblGridChange w:id="0">
          <w:tblGrid>
            <w:gridCol w:w="3535"/>
            <w:gridCol w:w="3535"/>
            <w:gridCol w:w="3535"/>
            <w:gridCol w:w="3535"/>
          </w:tblGrid>
        </w:tblGridChange>
      </w:tblGrid>
      <w:tr>
        <w:trPr>
          <w:cantSplit w:val="0"/>
          <w:tblHeader w:val="0"/>
        </w:trPr>
        <w:tc>
          <w:tcPr>
            <w:shd w:fill="2c3e50" w:val="clear"/>
          </w:tcPr>
          <w:p w:rsidR="00000000" w:rsidDel="00000000" w:rsidP="00000000" w:rsidRDefault="00000000" w:rsidRPr="00000000" w14:paraId="0000002C">
            <w:pPr>
              <w:rPr/>
            </w:pPr>
            <w:r w:rsidDel="00000000" w:rsidR="00000000" w:rsidRPr="00000000">
              <w:rPr>
                <w:rFonts w:ascii="Calibri" w:cs="Calibri" w:eastAsia="Calibri" w:hAnsi="Calibri"/>
                <w:b w:val="1"/>
                <w:bCs w:val="1"/>
                <w:color w:val="ffffff"/>
                <w:sz w:val="16"/>
                <w:szCs w:val="16"/>
                <w:rtl w:val="0"/>
              </w:rPr>
              <w:t xml:space="preserve">Drug Class</w:t>
            </w:r>
            <w:r w:rsidDel="00000000" w:rsidR="00000000" w:rsidRPr="00000000">
              <w:rPr>
                <w:rtl w:val="0"/>
              </w:rPr>
            </w:r>
          </w:p>
        </w:tc>
        <w:tc>
          <w:tcPr>
            <w:shd w:fill="2c3e50" w:val="cle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ffffff"/>
                <w:sz w:val="16"/>
                <w:szCs w:val="16"/>
                <w:rtl w:val="0"/>
              </w:rPr>
              <w:t xml:space="preserve">Mechanism of Action</w:t>
            </w:r>
            <w:r w:rsidDel="00000000" w:rsidR="00000000" w:rsidRPr="00000000">
              <w:rPr>
                <w:rtl w:val="0"/>
              </w:rPr>
            </w:r>
          </w:p>
        </w:tc>
        <w:tc>
          <w:tcPr>
            <w:shd w:fill="2c3e50" w:val="clear"/>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ffffff"/>
                <w:sz w:val="16"/>
                <w:szCs w:val="16"/>
                <w:rtl w:val="0"/>
              </w:rPr>
              <w:t xml:space="preserve">Drugs</w:t>
            </w:r>
            <w:r w:rsidDel="00000000" w:rsidR="00000000" w:rsidRPr="00000000">
              <w:rPr>
                <w:rtl w:val="0"/>
              </w:rPr>
            </w:r>
          </w:p>
        </w:tc>
        <w:tc>
          <w:tcPr>
            <w:shd w:fill="2c3e50" w:val="clea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ffffff"/>
                <w:sz w:val="16"/>
                <w:szCs w:val="16"/>
                <w:rtl w:val="0"/>
              </w:rPr>
              <w:t xml:space="preserve">Class Positioning</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16"/>
                <w:szCs w:val="16"/>
                <w:rtl w:val="0"/>
              </w:rPr>
              <w:t xml:space="preserve">FcRn blockers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6"/>
                <w:szCs w:val="16"/>
                <w:rtl w:val="0"/>
              </w:rPr>
              <w:t xml:space="preserve">Bind neonatal Fc receptor (FcRn), reducing circulating IgG and pathogenic autoantibodies </w:t>
            </w:r>
            <w:r w:rsidDel="00000000" w:rsidR="00000000" w:rsidRPr="00000000">
              <w:rPr>
                <w:color w:val="0563c1"/>
                <w:sz w:val="18"/>
                <w:szCs w:val="18"/>
                <w:rtl w:val="0"/>
              </w:rPr>
              <w:t xml:space="preserve">[</w:t>
            </w:r>
            <w:hyperlink r:id="rId44">
              <w:r w:rsidDel="00000000" w:rsidR="00000000" w:rsidRPr="00000000">
                <w:rPr>
                  <w:color w:val="0563c1"/>
                  <w:sz w:val="18"/>
                  <w:szCs w:val="18"/>
                  <w:u w:val="single"/>
                  <w:rtl w:val="0"/>
                </w:rPr>
                <w:t xml:space="preserve">7</w:t>
              </w:r>
            </w:hyperlink>
            <w:r w:rsidDel="00000000" w:rsidR="00000000" w:rsidRPr="00000000">
              <w:rPr>
                <w:color w:val="0563c1"/>
                <w:sz w:val="18"/>
                <w:szCs w:val="18"/>
                <w:rtl w:val="0"/>
              </w:rPr>
              <w:t xml:space="preserve">][</w:t>
            </w:r>
            <w:hyperlink r:id="rId45">
              <w:r w:rsidDel="00000000" w:rsidR="00000000" w:rsidRPr="00000000">
                <w:rPr>
                  <w:color w:val="0563c1"/>
                  <w:sz w:val="18"/>
                  <w:szCs w:val="18"/>
                  <w:u w:val="single"/>
                  <w:rtl w:val="0"/>
                </w:rPr>
                <w:t xml:space="preserve">3</w:t>
              </w:r>
            </w:hyperlink>
            <w:r w:rsidDel="00000000" w:rsidR="00000000" w:rsidRPr="00000000">
              <w:rPr>
                <w:color w:val="0563c1"/>
                <w:sz w:val="18"/>
                <w:szCs w:val="18"/>
                <w:rtl w:val="0"/>
              </w:rPr>
              <w:t xml:space="preserv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6"/>
                <w:szCs w:val="16"/>
                <w:rtl w:val="0"/>
              </w:rPr>
              <w:t xml:space="preserve">• efgartigimod alfa</w:t>
            </w:r>
            <w:r w:rsidDel="00000000" w:rsidR="00000000" w:rsidRPr="00000000">
              <w:rPr>
                <w:color w:val="0563c1"/>
                <w:sz w:val="18"/>
                <w:szCs w:val="18"/>
                <w:rtl w:val="0"/>
              </w:rPr>
              <w:t xml:space="preserve">[</w:t>
            </w:r>
            <w:hyperlink r:id="rId46">
              <w:r w:rsidDel="00000000" w:rsidR="00000000" w:rsidRPr="00000000">
                <w:rPr>
                  <w:color w:val="0563c1"/>
                  <w:sz w:val="18"/>
                  <w:szCs w:val="18"/>
                  <w:u w:val="single"/>
                  <w:rtl w:val="0"/>
                </w:rPr>
                <w:t xml:space="preserve">7</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efgartigimod alfa, hyaluronidase (human recombinant)</w:t>
            </w:r>
            <w:r w:rsidDel="00000000" w:rsidR="00000000" w:rsidRPr="00000000">
              <w:rPr>
                <w:color w:val="0563c1"/>
                <w:sz w:val="18"/>
                <w:szCs w:val="18"/>
                <w:rtl w:val="0"/>
              </w:rPr>
              <w:t xml:space="preserve">[</w:t>
            </w:r>
            <w:hyperlink r:id="rId47">
              <w:r w:rsidDel="00000000" w:rsidR="00000000" w:rsidRPr="00000000">
                <w:rPr>
                  <w:color w:val="0563c1"/>
                  <w:sz w:val="18"/>
                  <w:szCs w:val="18"/>
                  <w:u w:val="single"/>
                  <w:rtl w:val="0"/>
                </w:rPr>
                <w:t xml:space="preserve">9</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nipocalimab</w:t>
            </w:r>
            <w:r w:rsidDel="00000000" w:rsidR="00000000" w:rsidRPr="00000000">
              <w:rPr>
                <w:color w:val="0563c1"/>
                <w:sz w:val="18"/>
                <w:szCs w:val="18"/>
                <w:rtl w:val="0"/>
              </w:rPr>
              <w:t xml:space="preserve">[</w:t>
            </w:r>
            <w:hyperlink r:id="rId48">
              <w:r w:rsidDel="00000000" w:rsidR="00000000" w:rsidRPr="00000000">
                <w:rPr>
                  <w:color w:val="0563c1"/>
                  <w:sz w:val="18"/>
                  <w:szCs w:val="18"/>
                  <w:u w:val="single"/>
                  <w:rtl w:val="0"/>
                </w:rPr>
                <w:t xml:space="preserve">3</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rozanolixizumab</w:t>
            </w:r>
            <w:r w:rsidDel="00000000" w:rsidR="00000000" w:rsidRPr="00000000">
              <w:rPr>
                <w:color w:val="0563c1"/>
                <w:sz w:val="18"/>
                <w:szCs w:val="18"/>
                <w:rtl w:val="0"/>
              </w:rPr>
              <w:t xml:space="preserve">[</w:t>
            </w:r>
            <w:hyperlink r:id="rId49">
              <w:r w:rsidDel="00000000" w:rsidR="00000000" w:rsidRPr="00000000">
                <w:rPr>
                  <w:color w:val="0563c1"/>
                  <w:sz w:val="18"/>
                  <w:szCs w:val="18"/>
                  <w:u w:val="single"/>
                  <w:rtl w:val="0"/>
                </w:rPr>
                <w:t xml:space="preserve">4</w:t>
              </w:r>
            </w:hyperlink>
            <w:r w:rsidDel="00000000" w:rsidR="00000000" w:rsidRPr="00000000">
              <w:rPr>
                <w:color w:val="0563c1"/>
                <w:sz w:val="18"/>
                <w:szCs w:val="18"/>
                <w:rtl w:val="0"/>
              </w:rPr>
              <w:t xml:space="preserv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6"/>
                <w:szCs w:val="16"/>
                <w:rtl w:val="0"/>
              </w:rPr>
              <w:t xml:space="preserve">Broadly favored targeted class for antibody-positive gMG because they are usable in both AChR-positive disease and, for nipocalimab/rozanolixizumab, MuSK-positive disease as well </w:t>
            </w:r>
            <w:r w:rsidDel="00000000" w:rsidR="00000000" w:rsidRPr="00000000">
              <w:rPr>
                <w:color w:val="0563c1"/>
                <w:sz w:val="18"/>
                <w:szCs w:val="18"/>
                <w:rtl w:val="0"/>
              </w:rPr>
              <w:t xml:space="preserve">[G1]</w:t>
            </w:r>
            <w:r w:rsidDel="00000000" w:rsidR="00000000" w:rsidRPr="00000000">
              <w:rPr>
                <w:sz w:val="16"/>
                <w:szCs w:val="16"/>
                <w:rtl w:val="0"/>
              </w:rPr>
              <w:t xml:space="preserve">. They avoid complement-REMS burden but still require infection vigilance and live-vaccine avoidance</w:t>
            </w:r>
            <w:r w:rsidDel="00000000" w:rsidR="00000000" w:rsidRPr="00000000">
              <w:rPr>
                <w:color w:val="0563c1"/>
                <w:sz w:val="18"/>
                <w:szCs w:val="18"/>
                <w:rtl w:val="0"/>
              </w:rPr>
              <w:t xml:space="preserve">[</w:t>
            </w:r>
            <w:hyperlink r:id="rId50">
              <w:r w:rsidDel="00000000" w:rsidR="00000000" w:rsidRPr="00000000">
                <w:rPr>
                  <w:color w:val="0563c1"/>
                  <w:sz w:val="18"/>
                  <w:szCs w:val="18"/>
                  <w:u w:val="single"/>
                  <w:rtl w:val="0"/>
                </w:rPr>
                <w:t xml:space="preserve">3</w:t>
              </w:r>
            </w:hyperlink>
            <w:r w:rsidDel="00000000" w:rsidR="00000000" w:rsidRPr="00000000">
              <w:rPr>
                <w:color w:val="0563c1"/>
                <w:sz w:val="18"/>
                <w:szCs w:val="18"/>
                <w:rtl w:val="0"/>
              </w:rPr>
              <w:t xml:space="preserve">][</w:t>
            </w:r>
            <w:hyperlink r:id="rId51">
              <w:r w:rsidDel="00000000" w:rsidR="00000000" w:rsidRPr="00000000">
                <w:rPr>
                  <w:color w:val="0563c1"/>
                  <w:sz w:val="18"/>
                  <w:szCs w:val="18"/>
                  <w:u w:val="single"/>
                  <w:rtl w:val="0"/>
                </w:rPr>
                <w:t xml:space="preserve">4</w:t>
              </w:r>
            </w:hyperlink>
            <w:r w:rsidDel="00000000" w:rsidR="00000000" w:rsidRPr="00000000">
              <w:rPr>
                <w:color w:val="0563c1"/>
                <w:sz w:val="18"/>
                <w:szCs w:val="18"/>
                <w:rtl w:val="0"/>
              </w:rPr>
              <w:t xml:space="preserve">]</w:t>
            </w: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34">
            <w:pPr>
              <w:rPr/>
            </w:pPr>
            <w:r w:rsidDel="00000000" w:rsidR="00000000" w:rsidRPr="00000000">
              <w:rPr>
                <w:sz w:val="16"/>
                <w:szCs w:val="16"/>
                <w:rtl w:val="0"/>
              </w:rPr>
              <w:t xml:space="preserve">Complement C5 inhibitors</w:t>
            </w:r>
            <w:r w:rsidDel="00000000" w:rsidR="00000000" w:rsidRPr="00000000">
              <w:rPr>
                <w:rtl w:val="0"/>
              </w:rPr>
            </w:r>
          </w:p>
        </w:tc>
        <w:tc>
          <w:tcPr>
            <w:shd w:fill="f8f9fa" w:val="clear"/>
          </w:tcPr>
          <w:p w:rsidR="00000000" w:rsidDel="00000000" w:rsidP="00000000" w:rsidRDefault="00000000" w:rsidRPr="00000000" w14:paraId="00000035">
            <w:pPr>
              <w:rPr/>
            </w:pPr>
            <w:r w:rsidDel="00000000" w:rsidR="00000000" w:rsidRPr="00000000">
              <w:rPr>
                <w:sz w:val="16"/>
                <w:szCs w:val="16"/>
                <w:rtl w:val="0"/>
              </w:rPr>
              <w:t xml:space="preserve">Inhibit C5 cleavage to C5a/C5b and prevent terminal complement complex C5b-9 formation at the neuromuscular junction</w:t>
            </w:r>
            <w:r w:rsidDel="00000000" w:rsidR="00000000" w:rsidRPr="00000000">
              <w:rPr>
                <w:color w:val="0563c1"/>
                <w:sz w:val="18"/>
                <w:szCs w:val="18"/>
                <w:rtl w:val="0"/>
              </w:rPr>
              <w:t xml:space="preserve">[</w:t>
            </w:r>
            <w:hyperlink r:id="rId52">
              <w:r w:rsidDel="00000000" w:rsidR="00000000" w:rsidRPr="00000000">
                <w:rPr>
                  <w:color w:val="0563c1"/>
                  <w:sz w:val="18"/>
                  <w:szCs w:val="18"/>
                  <w:u w:val="single"/>
                  <w:rtl w:val="0"/>
                </w:rPr>
                <w:t xml:space="preserve">2</w:t>
              </w:r>
            </w:hyperlink>
            <w:r w:rsidDel="00000000" w:rsidR="00000000" w:rsidRPr="00000000">
              <w:rPr>
                <w:color w:val="0563c1"/>
                <w:sz w:val="18"/>
                <w:szCs w:val="18"/>
                <w:rtl w:val="0"/>
              </w:rPr>
              <w:t xml:space="preserve">][</w:t>
            </w:r>
            <w:hyperlink r:id="rId53">
              <w:r w:rsidDel="00000000" w:rsidR="00000000" w:rsidRPr="00000000">
                <w:rPr>
                  <w:color w:val="0563c1"/>
                  <w:sz w:val="18"/>
                  <w:szCs w:val="18"/>
                  <w:u w:val="single"/>
                  <w:rtl w:val="0"/>
                </w:rPr>
                <w:t xml:space="preserve">6</w:t>
              </w:r>
            </w:hyperlink>
            <w:r w:rsidDel="00000000" w:rsidR="00000000" w:rsidRPr="00000000">
              <w:rPr>
                <w:color w:val="0563c1"/>
                <w:sz w:val="18"/>
                <w:szCs w:val="18"/>
                <w:rtl w:val="0"/>
              </w:rPr>
              <w:t xml:space="preserve">][</w:t>
            </w:r>
            <w:hyperlink r:id="rId54">
              <w:r w:rsidDel="00000000" w:rsidR="00000000" w:rsidRPr="00000000">
                <w:rPr>
                  <w:color w:val="0563c1"/>
                  <w:sz w:val="18"/>
                  <w:szCs w:val="18"/>
                  <w:u w:val="single"/>
                  <w:rtl w:val="0"/>
                </w:rPr>
                <w:t xml:space="preserve">5</w:t>
              </w:r>
            </w:hyperlink>
            <w:r w:rsidDel="00000000" w:rsidR="00000000" w:rsidRPr="00000000">
              <w:rPr>
                <w:color w:val="0563c1"/>
                <w:sz w:val="18"/>
                <w:szCs w:val="18"/>
                <w:rtl w:val="0"/>
              </w:rPr>
              <w:t xml:space="preserve">]</w:t>
            </w:r>
            <w:r w:rsidDel="00000000" w:rsidR="00000000" w:rsidRPr="00000000">
              <w:rPr>
                <w:rtl w:val="0"/>
              </w:rPr>
            </w:r>
          </w:p>
        </w:tc>
        <w:tc>
          <w:tcPr>
            <w:shd w:fill="f8f9fa" w:val="clear"/>
          </w:tcPr>
          <w:p w:rsidR="00000000" w:rsidDel="00000000" w:rsidP="00000000" w:rsidRDefault="00000000" w:rsidRPr="00000000" w14:paraId="00000036">
            <w:pPr>
              <w:rPr/>
            </w:pPr>
            <w:r w:rsidDel="00000000" w:rsidR="00000000" w:rsidRPr="00000000">
              <w:rPr>
                <w:sz w:val="16"/>
                <w:szCs w:val="16"/>
                <w:rtl w:val="0"/>
              </w:rPr>
              <w:t xml:space="preserve">• eculizumab</w:t>
            </w:r>
            <w:r w:rsidDel="00000000" w:rsidR="00000000" w:rsidRPr="00000000">
              <w:rPr>
                <w:color w:val="0563c1"/>
                <w:sz w:val="18"/>
                <w:szCs w:val="18"/>
                <w:rtl w:val="0"/>
              </w:rPr>
              <w:t xml:space="preserve">[</w:t>
            </w:r>
            <w:hyperlink r:id="rId55">
              <w:r w:rsidDel="00000000" w:rsidR="00000000" w:rsidRPr="00000000">
                <w:rPr>
                  <w:color w:val="0563c1"/>
                  <w:sz w:val="18"/>
                  <w:szCs w:val="18"/>
                  <w:u w:val="single"/>
                  <w:rtl w:val="0"/>
                </w:rPr>
                <w:t xml:space="preserve">2</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ravulizumab</w:t>
            </w:r>
            <w:r w:rsidDel="00000000" w:rsidR="00000000" w:rsidRPr="00000000">
              <w:rPr>
                <w:color w:val="0563c1"/>
                <w:sz w:val="18"/>
                <w:szCs w:val="18"/>
                <w:rtl w:val="0"/>
              </w:rPr>
              <w:t xml:space="preserve">[</w:t>
            </w:r>
            <w:hyperlink r:id="rId56">
              <w:r w:rsidDel="00000000" w:rsidR="00000000" w:rsidRPr="00000000">
                <w:rPr>
                  <w:color w:val="0563c1"/>
                  <w:sz w:val="18"/>
                  <w:szCs w:val="18"/>
                  <w:u w:val="single"/>
                  <w:rtl w:val="0"/>
                </w:rPr>
                <w:t xml:space="preserve">6</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zilucoplan</w:t>
            </w:r>
            <w:r w:rsidDel="00000000" w:rsidR="00000000" w:rsidRPr="00000000">
              <w:rPr>
                <w:color w:val="0563c1"/>
                <w:sz w:val="18"/>
                <w:szCs w:val="18"/>
                <w:rtl w:val="0"/>
              </w:rPr>
              <w:t xml:space="preserve">[</w:t>
            </w:r>
            <w:hyperlink r:id="rId57">
              <w:r w:rsidDel="00000000" w:rsidR="00000000" w:rsidRPr="00000000">
                <w:rPr>
                  <w:color w:val="0563c1"/>
                  <w:sz w:val="18"/>
                  <w:szCs w:val="18"/>
                  <w:u w:val="single"/>
                  <w:rtl w:val="0"/>
                </w:rPr>
                <w:t xml:space="preserve">5</w:t>
              </w:r>
            </w:hyperlink>
            <w:r w:rsidDel="00000000" w:rsidR="00000000" w:rsidRPr="00000000">
              <w:rPr>
                <w:color w:val="0563c1"/>
                <w:sz w:val="18"/>
                <w:szCs w:val="18"/>
                <w:rtl w:val="0"/>
              </w:rPr>
              <w:t xml:space="preserve">]</w:t>
            </w:r>
            <w:r w:rsidDel="00000000" w:rsidR="00000000" w:rsidRPr="00000000">
              <w:rPr>
                <w:rtl w:val="0"/>
              </w:rPr>
            </w:r>
          </w:p>
        </w:tc>
        <w:tc>
          <w:tcPr>
            <w:shd w:fill="f8f9fa" w:val="clear"/>
          </w:tcPr>
          <w:p w:rsidR="00000000" w:rsidDel="00000000" w:rsidP="00000000" w:rsidRDefault="00000000" w:rsidRPr="00000000" w14:paraId="00000037">
            <w:pPr>
              <w:rPr/>
            </w:pPr>
            <w:r w:rsidDel="00000000" w:rsidR="00000000" w:rsidRPr="00000000">
              <w:rPr>
                <w:sz w:val="16"/>
                <w:szCs w:val="16"/>
                <w:rtl w:val="0"/>
              </w:rPr>
              <w:t xml:space="preserve">Often reserved or prioritized for </w:t>
            </w:r>
            <w:r w:rsidDel="00000000" w:rsidR="00000000" w:rsidRPr="00000000">
              <w:rPr>
                <w:b w:val="1"/>
                <w:bCs w:val="1"/>
                <w:sz w:val="16"/>
                <w:szCs w:val="16"/>
                <w:rtl w:val="0"/>
              </w:rPr>
              <w:t xml:space="preserve">AChR-positive refractory/severe gMG</w:t>
            </w:r>
            <w:r w:rsidDel="00000000" w:rsidR="00000000" w:rsidRPr="00000000">
              <w:rPr>
                <w:sz w:val="16"/>
                <w:szCs w:val="16"/>
                <w:rtl w:val="0"/>
              </w:rPr>
              <w:t xml:space="preserve"> because of strong efficacy and mechanistic fit, but limited by meningococcal vaccination requirements, REMS, and serious infection risk </w:t>
            </w:r>
            <w:r w:rsidDel="00000000" w:rsidR="00000000" w:rsidRPr="00000000">
              <w:rPr>
                <w:color w:val="0563c1"/>
                <w:sz w:val="18"/>
                <w:szCs w:val="18"/>
                <w:rtl w:val="0"/>
              </w:rPr>
              <w:t xml:space="preserve">[G2]</w:t>
            </w:r>
            <w:r w:rsidDel="00000000" w:rsidR="00000000" w:rsidRPr="00000000">
              <w:rPr>
                <w:sz w:val="16"/>
                <w:szCs w:val="16"/>
                <w:rtl w:val="0"/>
              </w:rPr>
              <w:t xml:space="preserve">. Ravulizumab offers the lowest maintenance frequency; zilucoplan offers self-injection but requires daily dosing</w:t>
            </w:r>
            <w:r w:rsidDel="00000000" w:rsidR="00000000" w:rsidRPr="00000000">
              <w:rPr>
                <w:color w:val="0563c1"/>
                <w:sz w:val="18"/>
                <w:szCs w:val="18"/>
                <w:rtl w:val="0"/>
              </w:rPr>
              <w:t xml:space="preserve">[</w:t>
            </w:r>
            <w:hyperlink r:id="rId58">
              <w:r w:rsidDel="00000000" w:rsidR="00000000" w:rsidRPr="00000000">
                <w:rPr>
                  <w:color w:val="0563c1"/>
                  <w:sz w:val="18"/>
                  <w:szCs w:val="18"/>
                  <w:u w:val="single"/>
                  <w:rtl w:val="0"/>
                </w:rPr>
                <w:t xml:space="preserve">6</w:t>
              </w:r>
            </w:hyperlink>
            <w:r w:rsidDel="00000000" w:rsidR="00000000" w:rsidRPr="00000000">
              <w:rPr>
                <w:color w:val="0563c1"/>
                <w:sz w:val="18"/>
                <w:szCs w:val="18"/>
                <w:rtl w:val="0"/>
              </w:rPr>
              <w:t xml:space="preserve">][</w:t>
            </w:r>
            <w:hyperlink r:id="rId59">
              <w:r w:rsidDel="00000000" w:rsidR="00000000" w:rsidRPr="00000000">
                <w:rPr>
                  <w:color w:val="0563c1"/>
                  <w:sz w:val="18"/>
                  <w:szCs w:val="18"/>
                  <w:u w:val="single"/>
                  <w:rtl w:val="0"/>
                </w:rPr>
                <w:t xml:space="preserve">5</w:t>
              </w:r>
            </w:hyperlink>
            <w:r w:rsidDel="00000000" w:rsidR="00000000" w:rsidRPr="00000000">
              <w:rPr>
                <w:color w:val="0563c1"/>
                <w:sz w:val="18"/>
                <w:szCs w:val="18"/>
                <w:rtl w:val="0"/>
              </w:rPr>
              <w:t xml:space="preserve">]</w:t>
            </w: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Main Drugs and Key FDA-Label Efficacy/Safety</w:t>
      </w:r>
    </w:p>
    <w:tbl>
      <w:tblPr>
        <w:tblStyle w:val="Table2"/>
        <w:tblW w:w="14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1875"/>
        <w:gridCol w:w="1425"/>
        <w:gridCol w:w="1845"/>
        <w:gridCol w:w="2700"/>
        <w:gridCol w:w="2400"/>
        <w:gridCol w:w="2025"/>
        <w:tblGridChange w:id="0">
          <w:tblGrid>
            <w:gridCol w:w="1905"/>
            <w:gridCol w:w="1875"/>
            <w:gridCol w:w="1425"/>
            <w:gridCol w:w="1845"/>
            <w:gridCol w:w="2700"/>
            <w:gridCol w:w="2400"/>
            <w:gridCol w:w="2025"/>
          </w:tblGrid>
        </w:tblGridChange>
      </w:tblGrid>
      <w:tr>
        <w:trPr>
          <w:cantSplit w:val="0"/>
          <w:tblHeader w:val="0"/>
        </w:trPr>
        <w:tc>
          <w:tcPr>
            <w:shd w:fill="2c3e50" w:val="clear"/>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ffffff"/>
                <w:sz w:val="16"/>
                <w:szCs w:val="16"/>
                <w:rtl w:val="0"/>
              </w:rPr>
              <w:t xml:space="preserve">Drug</w:t>
            </w:r>
            <w:r w:rsidDel="00000000" w:rsidR="00000000" w:rsidRPr="00000000">
              <w:rPr>
                <w:rtl w:val="0"/>
              </w:rPr>
            </w:r>
          </w:p>
        </w:tc>
        <w:tc>
          <w:tcPr>
            <w:shd w:fill="2c3e50" w:val="clea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ffffff"/>
                <w:sz w:val="16"/>
                <w:szCs w:val="16"/>
                <w:rtl w:val="0"/>
              </w:rPr>
              <w:t xml:space="preserve">Class</w:t>
            </w:r>
            <w:r w:rsidDel="00000000" w:rsidR="00000000" w:rsidRPr="00000000">
              <w:rPr>
                <w:rtl w:val="0"/>
              </w:rPr>
            </w:r>
          </w:p>
        </w:tc>
        <w:tc>
          <w:tcPr>
            <w:shd w:fill="2c3e50" w:val="clea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ffffff"/>
                <w:sz w:val="16"/>
                <w:szCs w:val="16"/>
                <w:rtl w:val="0"/>
              </w:rPr>
              <w:t xml:space="preserve">Route</w:t>
            </w:r>
            <w:r w:rsidDel="00000000" w:rsidR="00000000" w:rsidRPr="00000000">
              <w:rPr>
                <w:rtl w:val="0"/>
              </w:rPr>
            </w:r>
          </w:p>
        </w:tc>
        <w:tc>
          <w:tcPr>
            <w:shd w:fill="2c3e50" w:val="clear"/>
          </w:tcPr>
          <w:p w:rsidR="00000000" w:rsidDel="00000000" w:rsidP="00000000" w:rsidRDefault="00000000" w:rsidRPr="00000000" w14:paraId="0000003D">
            <w:pPr>
              <w:rPr/>
            </w:pPr>
            <w:r w:rsidDel="00000000" w:rsidR="00000000" w:rsidRPr="00000000">
              <w:rPr>
                <w:rFonts w:ascii="Calibri" w:cs="Calibri" w:eastAsia="Calibri" w:hAnsi="Calibri"/>
                <w:b w:val="1"/>
                <w:bCs w:val="1"/>
                <w:color w:val="ffffff"/>
                <w:sz w:val="16"/>
                <w:szCs w:val="16"/>
                <w:rtl w:val="0"/>
              </w:rPr>
              <w:t xml:space="preserve">Key Indication</w:t>
            </w:r>
            <w:r w:rsidDel="00000000" w:rsidR="00000000" w:rsidRPr="00000000">
              <w:rPr>
                <w:rtl w:val="0"/>
              </w:rPr>
            </w:r>
          </w:p>
        </w:tc>
        <w:tc>
          <w:tcPr>
            <w:shd w:fill="2c3e50" w:val="clea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ffffff"/>
                <w:sz w:val="16"/>
                <w:szCs w:val="16"/>
                <w:rtl w:val="0"/>
              </w:rPr>
              <w:t xml:space="preserve">Efficacy Results</w:t>
            </w:r>
            <w:r w:rsidDel="00000000" w:rsidR="00000000" w:rsidRPr="00000000">
              <w:rPr>
                <w:rtl w:val="0"/>
              </w:rPr>
            </w:r>
          </w:p>
        </w:tc>
        <w:tc>
          <w:tcPr>
            <w:shd w:fill="2c3e50" w:val="clea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ffffff"/>
                <w:sz w:val="16"/>
                <w:szCs w:val="16"/>
                <w:rtl w:val="0"/>
              </w:rPr>
              <w:t xml:space="preserve">Safety Results</w:t>
            </w:r>
            <w:r w:rsidDel="00000000" w:rsidR="00000000" w:rsidRPr="00000000">
              <w:rPr>
                <w:rtl w:val="0"/>
              </w:rPr>
            </w:r>
          </w:p>
        </w:tc>
        <w:tc>
          <w:tcPr>
            <w:shd w:fill="2c3e50" w:val="clear"/>
          </w:tcPr>
          <w:p w:rsidR="00000000" w:rsidDel="00000000" w:rsidP="00000000" w:rsidRDefault="00000000" w:rsidRPr="00000000" w14:paraId="00000040">
            <w:pPr>
              <w:rPr/>
            </w:pPr>
            <w:r w:rsidDel="00000000" w:rsidR="00000000" w:rsidRPr="00000000">
              <w:rPr>
                <w:rFonts w:ascii="Calibri" w:cs="Calibri" w:eastAsia="Calibri" w:hAnsi="Calibri"/>
                <w:b w:val="1"/>
                <w:bCs w:val="1"/>
                <w:color w:val="ffffff"/>
                <w:sz w:val="16"/>
                <w:szCs w:val="16"/>
                <w:rtl w:val="0"/>
              </w:rPr>
              <w:t xml:space="preserve">SoC Fit</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16"/>
                <w:szCs w:val="16"/>
                <w:rtl w:val="0"/>
              </w:rPr>
              <w:t xml:space="preserve">efgartigimod alfa</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6"/>
                <w:szCs w:val="16"/>
                <w:rtl w:val="0"/>
              </w:rPr>
              <w:t xml:space="preserve">FcRn blocker</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6"/>
                <w:szCs w:val="16"/>
                <w:rtl w:val="0"/>
              </w:rPr>
              <w:t xml:space="preserve">IV</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6"/>
                <w:szCs w:val="16"/>
                <w:rtl w:val="0"/>
              </w:rPr>
              <w:t xml:space="preserve">Adult gMG, anti-AChR antibody positive</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6"/>
                <w:szCs w:val="16"/>
                <w:rtl w:val="0"/>
              </w:rPr>
              <w:t xml:space="preserve">• Study 1 (targeted add-on, adults, AChR+, MGFA II-IV): MG-ADL responders cycle 1 </w:t>
            </w:r>
            <w:r w:rsidDel="00000000" w:rsidR="00000000" w:rsidRPr="00000000">
              <w:rPr>
                <w:b w:val="1"/>
                <w:bCs w:val="1"/>
                <w:sz w:val="16"/>
                <w:szCs w:val="16"/>
                <w:rtl w:val="0"/>
              </w:rPr>
              <w:t xml:space="preserve">67.7% vs 29.7%</w:t>
            </w:r>
            <w:r w:rsidDel="00000000" w:rsidR="00000000" w:rsidRPr="00000000">
              <w:rPr>
                <w:sz w:val="16"/>
                <w:szCs w:val="16"/>
                <w:rtl w:val="0"/>
              </w:rPr>
              <w:t xml:space="preserve">; OR </w:t>
            </w:r>
            <w:r w:rsidDel="00000000" w:rsidR="00000000" w:rsidRPr="00000000">
              <w:rPr>
                <w:b w:val="1"/>
                <w:bCs w:val="1"/>
                <w:sz w:val="16"/>
                <w:szCs w:val="16"/>
                <w:rtl w:val="0"/>
              </w:rPr>
              <w:t xml:space="preserve">4.951</w:t>
            </w:r>
            <w:r w:rsidDel="00000000" w:rsidR="00000000" w:rsidRPr="00000000">
              <w:rPr>
                <w:sz w:val="16"/>
                <w:szCs w:val="16"/>
                <w:rtl w:val="0"/>
              </w:rPr>
              <w:t xml:space="preserve">; p&lt;0.0001</w:t>
            </w:r>
            <w:r w:rsidDel="00000000" w:rsidR="00000000" w:rsidRPr="00000000">
              <w:rPr>
                <w:color w:val="0563c1"/>
                <w:sz w:val="18"/>
                <w:szCs w:val="18"/>
                <w:rtl w:val="0"/>
              </w:rPr>
              <w:t xml:space="preserve">[</w:t>
            </w:r>
            <w:hyperlink r:id="rId60">
              <w:r w:rsidDel="00000000" w:rsidR="00000000" w:rsidRPr="00000000">
                <w:rPr>
                  <w:color w:val="0563c1"/>
                  <w:sz w:val="18"/>
                  <w:szCs w:val="18"/>
                  <w:u w:val="single"/>
                  <w:rtl w:val="0"/>
                </w:rPr>
                <w:t xml:space="preserve">7</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Study 1 (targeted add-on, adults, AChR+): QMG responders cycle 1 </w:t>
            </w:r>
            <w:r w:rsidDel="00000000" w:rsidR="00000000" w:rsidRPr="00000000">
              <w:rPr>
                <w:b w:val="1"/>
                <w:bCs w:val="1"/>
                <w:sz w:val="16"/>
                <w:szCs w:val="16"/>
                <w:rtl w:val="0"/>
              </w:rPr>
              <w:t xml:space="preserve">63.1% vs 14.1%</w:t>
            </w:r>
            <w:r w:rsidDel="00000000" w:rsidR="00000000" w:rsidRPr="00000000">
              <w:rPr>
                <w:sz w:val="16"/>
                <w:szCs w:val="16"/>
                <w:rtl w:val="0"/>
              </w:rPr>
              <w:t xml:space="preserve">; OR </w:t>
            </w:r>
            <w:r w:rsidDel="00000000" w:rsidR="00000000" w:rsidRPr="00000000">
              <w:rPr>
                <w:b w:val="1"/>
                <w:bCs w:val="1"/>
                <w:sz w:val="16"/>
                <w:szCs w:val="16"/>
                <w:rtl w:val="0"/>
              </w:rPr>
              <w:t xml:space="preserve">10.842</w:t>
            </w:r>
            <w:r w:rsidDel="00000000" w:rsidR="00000000" w:rsidRPr="00000000">
              <w:rPr>
                <w:sz w:val="16"/>
                <w:szCs w:val="16"/>
                <w:rtl w:val="0"/>
              </w:rPr>
              <w:t xml:space="preserve">; p&lt;0.0001</w:t>
            </w:r>
            <w:r w:rsidDel="00000000" w:rsidR="00000000" w:rsidRPr="00000000">
              <w:rPr>
                <w:color w:val="0563c1"/>
                <w:sz w:val="18"/>
                <w:szCs w:val="18"/>
                <w:rtl w:val="0"/>
              </w:rPr>
              <w:t xml:space="preserve">[</w:t>
            </w:r>
            <w:hyperlink r:id="rId61">
              <w:r w:rsidDel="00000000" w:rsidR="00000000" w:rsidRPr="00000000">
                <w:rPr>
                  <w:color w:val="0563c1"/>
                  <w:sz w:val="18"/>
                  <w:szCs w:val="18"/>
                  <w:u w:val="single"/>
                  <w:rtl w:val="0"/>
                </w:rPr>
                <w:t xml:space="preserve">7</w:t>
              </w:r>
            </w:hyperlink>
            <w:r w:rsidDel="00000000" w:rsidR="00000000" w:rsidRPr="00000000">
              <w:rPr>
                <w:color w:val="0563c1"/>
                <w:sz w:val="18"/>
                <w:szCs w:val="18"/>
                <w:rtl w:val="0"/>
              </w:rPr>
              <w:t xml:space="preserv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6"/>
                <w:szCs w:val="16"/>
                <w:rtl w:val="0"/>
              </w:rPr>
              <w:t xml:space="preserve">Respiratory tract infection </w:t>
            </w:r>
            <w:r w:rsidDel="00000000" w:rsidR="00000000" w:rsidRPr="00000000">
              <w:rPr>
                <w:b w:val="1"/>
                <w:bCs w:val="1"/>
                <w:sz w:val="16"/>
                <w:szCs w:val="16"/>
                <w:rtl w:val="0"/>
              </w:rPr>
              <w:t xml:space="preserve">33% vs 29%</w:t>
            </w:r>
            <w:r w:rsidDel="00000000" w:rsidR="00000000" w:rsidRPr="00000000">
              <w:rPr>
                <w:sz w:val="16"/>
                <w:szCs w:val="16"/>
                <w:rtl w:val="0"/>
              </w:rPr>
              <w:t xml:space="preserve">, headache </w:t>
            </w:r>
            <w:r w:rsidDel="00000000" w:rsidR="00000000" w:rsidRPr="00000000">
              <w:rPr>
                <w:b w:val="1"/>
                <w:bCs w:val="1"/>
                <w:sz w:val="16"/>
                <w:szCs w:val="16"/>
                <w:rtl w:val="0"/>
              </w:rPr>
              <w:t xml:space="preserve">32% vs 29%</w:t>
            </w:r>
            <w:r w:rsidDel="00000000" w:rsidR="00000000" w:rsidRPr="00000000">
              <w:rPr>
                <w:sz w:val="16"/>
                <w:szCs w:val="16"/>
                <w:rtl w:val="0"/>
              </w:rPr>
              <w:t xml:space="preserve">, UTI </w:t>
            </w:r>
            <w:r w:rsidDel="00000000" w:rsidR="00000000" w:rsidRPr="00000000">
              <w:rPr>
                <w:b w:val="1"/>
                <w:bCs w:val="1"/>
                <w:sz w:val="16"/>
                <w:szCs w:val="16"/>
                <w:rtl w:val="0"/>
              </w:rPr>
              <w:t xml:space="preserve">10% vs 5%</w:t>
            </w:r>
            <w:r w:rsidDel="00000000" w:rsidR="00000000" w:rsidRPr="00000000">
              <w:rPr>
                <w:sz w:val="16"/>
                <w:szCs w:val="16"/>
                <w:rtl w:val="0"/>
              </w:rPr>
              <w:t xml:space="preserve">, paresthesia </w:t>
            </w:r>
            <w:r w:rsidDel="00000000" w:rsidR="00000000" w:rsidRPr="00000000">
              <w:rPr>
                <w:b w:val="1"/>
                <w:bCs w:val="1"/>
                <w:sz w:val="16"/>
                <w:szCs w:val="16"/>
                <w:rtl w:val="0"/>
              </w:rPr>
              <w:t xml:space="preserve">7% vs 5%</w:t>
            </w:r>
            <w:r w:rsidDel="00000000" w:rsidR="00000000" w:rsidRPr="00000000">
              <w:rPr>
                <w:sz w:val="16"/>
                <w:szCs w:val="16"/>
                <w:rtl w:val="0"/>
              </w:rPr>
              <w:t xml:space="preserve">, myalgia </w:t>
            </w:r>
            <w:r w:rsidDel="00000000" w:rsidR="00000000" w:rsidRPr="00000000">
              <w:rPr>
                <w:b w:val="1"/>
                <w:bCs w:val="1"/>
                <w:sz w:val="16"/>
                <w:szCs w:val="16"/>
                <w:rtl w:val="0"/>
              </w:rPr>
              <w:t xml:space="preserve">6% vs 1%</w:t>
            </w:r>
            <w:r w:rsidDel="00000000" w:rsidR="00000000" w:rsidRPr="00000000">
              <w:rPr>
                <w:sz w:val="16"/>
                <w:szCs w:val="16"/>
                <w:rtl w:val="0"/>
              </w:rPr>
              <w:t xml:space="preserve">; below-normal WBC </w:t>
            </w:r>
            <w:r w:rsidDel="00000000" w:rsidR="00000000" w:rsidRPr="00000000">
              <w:rPr>
                <w:b w:val="1"/>
                <w:bCs w:val="1"/>
                <w:sz w:val="16"/>
                <w:szCs w:val="16"/>
                <w:rtl w:val="0"/>
              </w:rPr>
              <w:t xml:space="preserve">12% vs 5%</w:t>
            </w:r>
            <w:r w:rsidDel="00000000" w:rsidR="00000000" w:rsidRPr="00000000">
              <w:rPr>
                <w:sz w:val="16"/>
                <w:szCs w:val="16"/>
                <w:rtl w:val="0"/>
              </w:rPr>
              <w:t xml:space="preserve">, lymphocytes </w:t>
            </w:r>
            <w:r w:rsidDel="00000000" w:rsidR="00000000" w:rsidRPr="00000000">
              <w:rPr>
                <w:b w:val="1"/>
                <w:bCs w:val="1"/>
                <w:sz w:val="16"/>
                <w:szCs w:val="16"/>
                <w:rtl w:val="0"/>
              </w:rPr>
              <w:t xml:space="preserve">28% vs 19%</w:t>
            </w:r>
            <w:r w:rsidDel="00000000" w:rsidR="00000000" w:rsidRPr="00000000">
              <w:rPr>
                <w:sz w:val="16"/>
                <w:szCs w:val="16"/>
                <w:rtl w:val="0"/>
              </w:rPr>
              <w:t xml:space="preserve">, neutrophils </w:t>
            </w:r>
            <w:r w:rsidDel="00000000" w:rsidR="00000000" w:rsidRPr="00000000">
              <w:rPr>
                <w:b w:val="1"/>
                <w:bCs w:val="1"/>
                <w:sz w:val="16"/>
                <w:szCs w:val="16"/>
                <w:rtl w:val="0"/>
              </w:rPr>
              <w:t xml:space="preserve">13% vs 6%</w:t>
            </w:r>
            <w:r w:rsidDel="00000000" w:rsidR="00000000" w:rsidRPr="00000000">
              <w:rPr>
                <w:sz w:val="16"/>
                <w:szCs w:val="16"/>
                <w:rtl w:val="0"/>
              </w:rPr>
              <w:t xml:space="preserve">; postmarketing anaphylaxis/hypotension reported</w:t>
            </w:r>
            <w:r w:rsidDel="00000000" w:rsidR="00000000" w:rsidRPr="00000000">
              <w:rPr>
                <w:color w:val="0563c1"/>
                <w:sz w:val="18"/>
                <w:szCs w:val="18"/>
                <w:rtl w:val="0"/>
              </w:rPr>
              <w:t xml:space="preserve">[</w:t>
            </w:r>
            <w:hyperlink r:id="rId62">
              <w:r w:rsidDel="00000000" w:rsidR="00000000" w:rsidRPr="00000000">
                <w:rPr>
                  <w:color w:val="0563c1"/>
                  <w:sz w:val="18"/>
                  <w:szCs w:val="18"/>
                  <w:u w:val="single"/>
                  <w:rtl w:val="0"/>
                </w:rPr>
                <w:t xml:space="preserve">7</w:t>
              </w:r>
            </w:hyperlink>
            <w:r w:rsidDel="00000000" w:rsidR="00000000" w:rsidRPr="00000000">
              <w:rPr>
                <w:color w:val="0563c1"/>
                <w:sz w:val="18"/>
                <w:szCs w:val="18"/>
                <w:rtl w:val="0"/>
              </w:rPr>
              <w:t xml:space="preserv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6"/>
                <w:szCs w:val="16"/>
                <w:rtl w:val="0"/>
              </w:rPr>
              <w:t xml:space="preserve">Leading adult AChR+ FcRn option</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48">
            <w:pPr>
              <w:rPr/>
            </w:pPr>
            <w:r w:rsidDel="00000000" w:rsidR="00000000" w:rsidRPr="00000000">
              <w:rPr>
                <w:sz w:val="16"/>
                <w:szCs w:val="16"/>
                <w:rtl w:val="0"/>
              </w:rPr>
              <w:t xml:space="preserve">efgartigimod alfa, hyaluronidase (human recombinant)</w:t>
            </w:r>
            <w:r w:rsidDel="00000000" w:rsidR="00000000" w:rsidRPr="00000000">
              <w:rPr>
                <w:rtl w:val="0"/>
              </w:rPr>
            </w:r>
          </w:p>
        </w:tc>
        <w:tc>
          <w:tcPr>
            <w:shd w:fill="f8f9fa" w:val="clear"/>
          </w:tcPr>
          <w:p w:rsidR="00000000" w:rsidDel="00000000" w:rsidP="00000000" w:rsidRDefault="00000000" w:rsidRPr="00000000" w14:paraId="00000049">
            <w:pPr>
              <w:rPr/>
            </w:pPr>
            <w:r w:rsidDel="00000000" w:rsidR="00000000" w:rsidRPr="00000000">
              <w:rPr>
                <w:sz w:val="16"/>
                <w:szCs w:val="16"/>
                <w:rtl w:val="0"/>
              </w:rPr>
              <w:t xml:space="preserve">FcRn blocker + hyaluronidase</w:t>
            </w:r>
            <w:r w:rsidDel="00000000" w:rsidR="00000000" w:rsidRPr="00000000">
              <w:rPr>
                <w:rtl w:val="0"/>
              </w:rPr>
            </w:r>
          </w:p>
        </w:tc>
        <w:tc>
          <w:tcPr>
            <w:shd w:fill="f8f9fa" w:val="clear"/>
          </w:tcPr>
          <w:p w:rsidR="00000000" w:rsidDel="00000000" w:rsidP="00000000" w:rsidRDefault="00000000" w:rsidRPr="00000000" w14:paraId="0000004A">
            <w:pPr>
              <w:rPr/>
            </w:pPr>
            <w:r w:rsidDel="00000000" w:rsidR="00000000" w:rsidRPr="00000000">
              <w:rPr>
                <w:sz w:val="16"/>
                <w:szCs w:val="16"/>
                <w:rtl w:val="0"/>
              </w:rPr>
              <w:t xml:space="preserve">SC</w:t>
            </w:r>
            <w:r w:rsidDel="00000000" w:rsidR="00000000" w:rsidRPr="00000000">
              <w:rPr>
                <w:rtl w:val="0"/>
              </w:rPr>
            </w:r>
          </w:p>
        </w:tc>
        <w:tc>
          <w:tcPr>
            <w:shd w:fill="f8f9fa" w:val="clear"/>
          </w:tcPr>
          <w:p w:rsidR="00000000" w:rsidDel="00000000" w:rsidP="00000000" w:rsidRDefault="00000000" w:rsidRPr="00000000" w14:paraId="0000004B">
            <w:pPr>
              <w:rPr/>
            </w:pPr>
            <w:r w:rsidDel="00000000" w:rsidR="00000000" w:rsidRPr="00000000">
              <w:rPr>
                <w:sz w:val="16"/>
                <w:szCs w:val="16"/>
                <w:rtl w:val="0"/>
              </w:rPr>
              <w:t xml:space="preserve">Adult gMG, anti-AChR antibody positive</w:t>
            </w:r>
            <w:r w:rsidDel="00000000" w:rsidR="00000000" w:rsidRPr="00000000">
              <w:rPr>
                <w:rtl w:val="0"/>
              </w:rPr>
            </w:r>
          </w:p>
        </w:tc>
        <w:tc>
          <w:tcPr>
            <w:shd w:fill="f8f9fa" w:val="clear"/>
          </w:tcPr>
          <w:p w:rsidR="00000000" w:rsidDel="00000000" w:rsidP="00000000" w:rsidRDefault="00000000" w:rsidRPr="00000000" w14:paraId="0000004C">
            <w:pPr>
              <w:rPr/>
            </w:pPr>
            <w:r w:rsidDel="00000000" w:rsidR="00000000" w:rsidRPr="00000000">
              <w:rPr>
                <w:sz w:val="16"/>
                <w:szCs w:val="16"/>
                <w:rtl w:val="0"/>
              </w:rPr>
              <w:t xml:space="preserve">• Study 1 program anchor (targeted add-on, adults, AChR+, IV reference): MG-ADL responders </w:t>
            </w:r>
            <w:r w:rsidDel="00000000" w:rsidR="00000000" w:rsidRPr="00000000">
              <w:rPr>
                <w:b w:val="1"/>
                <w:bCs w:val="1"/>
                <w:sz w:val="16"/>
                <w:szCs w:val="16"/>
                <w:rtl w:val="0"/>
              </w:rPr>
              <w:t xml:space="preserve">67.7% vs 29.7%</w:t>
            </w:r>
            <w:r w:rsidDel="00000000" w:rsidR="00000000" w:rsidRPr="00000000">
              <w:rPr>
                <w:sz w:val="16"/>
                <w:szCs w:val="16"/>
                <w:rtl w:val="0"/>
              </w:rPr>
              <w:t xml:space="preserve">; QMG responders </w:t>
            </w:r>
            <w:r w:rsidDel="00000000" w:rsidR="00000000" w:rsidRPr="00000000">
              <w:rPr>
                <w:b w:val="1"/>
                <w:bCs w:val="1"/>
                <w:sz w:val="16"/>
                <w:szCs w:val="16"/>
                <w:rtl w:val="0"/>
              </w:rPr>
              <w:t xml:space="preserve">63.1% vs 14.1%</w:t>
            </w:r>
            <w:r w:rsidDel="00000000" w:rsidR="00000000" w:rsidRPr="00000000">
              <w:rPr>
                <w:color w:val="0563c1"/>
                <w:sz w:val="18"/>
                <w:szCs w:val="18"/>
                <w:rtl w:val="0"/>
              </w:rPr>
              <w:t xml:space="preserve">[</w:t>
            </w:r>
            <w:hyperlink r:id="rId63">
              <w:r w:rsidDel="00000000" w:rsidR="00000000" w:rsidRPr="00000000">
                <w:rPr>
                  <w:color w:val="0563c1"/>
                  <w:sz w:val="18"/>
                  <w:szCs w:val="18"/>
                  <w:u w:val="single"/>
                  <w:rtl w:val="0"/>
                </w:rPr>
                <w:t xml:space="preserve">9</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Study 2 (SC bridging, adults with gMG): maximum mean AChR-Ab reduction at Week 4 </w:t>
            </w:r>
            <w:r w:rsidDel="00000000" w:rsidR="00000000" w:rsidRPr="00000000">
              <w:rPr>
                <w:b w:val="1"/>
                <w:bCs w:val="1"/>
                <w:sz w:val="16"/>
                <w:szCs w:val="16"/>
                <w:rtl w:val="0"/>
              </w:rPr>
              <w:t xml:space="preserve">62.2%</w:t>
            </w:r>
            <w:r w:rsidDel="00000000" w:rsidR="00000000" w:rsidRPr="00000000">
              <w:rPr>
                <w:sz w:val="16"/>
                <w:szCs w:val="16"/>
                <w:rtl w:val="0"/>
              </w:rPr>
              <w:t xml:space="preserve"> with SC vs </w:t>
            </w:r>
            <w:r w:rsidDel="00000000" w:rsidR="00000000" w:rsidRPr="00000000">
              <w:rPr>
                <w:b w:val="1"/>
                <w:bCs w:val="1"/>
                <w:sz w:val="16"/>
                <w:szCs w:val="16"/>
                <w:rtl w:val="0"/>
              </w:rPr>
              <w:t xml:space="preserve">59.7%</w:t>
            </w:r>
            <w:r w:rsidDel="00000000" w:rsidR="00000000" w:rsidRPr="00000000">
              <w:rPr>
                <w:sz w:val="16"/>
                <w:szCs w:val="16"/>
                <w:rtl w:val="0"/>
              </w:rPr>
              <w:t xml:space="preserve"> with IV; 90% CIs within </w:t>
            </w:r>
            <w:r w:rsidDel="00000000" w:rsidR="00000000" w:rsidRPr="00000000">
              <w:rPr>
                <w:b w:val="1"/>
                <w:bCs w:val="1"/>
                <w:sz w:val="16"/>
                <w:szCs w:val="16"/>
                <w:rtl w:val="0"/>
              </w:rPr>
              <w:t xml:space="preserve">80%-125%</w:t>
            </w:r>
            <w:r w:rsidDel="00000000" w:rsidR="00000000" w:rsidRPr="00000000">
              <w:rPr>
                <w:sz w:val="16"/>
                <w:szCs w:val="16"/>
                <w:rtl w:val="0"/>
              </w:rPr>
              <w:t xml:space="preserve"> for PD comparability</w:t>
            </w:r>
            <w:r w:rsidDel="00000000" w:rsidR="00000000" w:rsidRPr="00000000">
              <w:rPr>
                <w:color w:val="0563c1"/>
                <w:sz w:val="18"/>
                <w:szCs w:val="18"/>
                <w:rtl w:val="0"/>
              </w:rPr>
              <w:t xml:space="preserve">[</w:t>
            </w:r>
            <w:hyperlink r:id="rId64">
              <w:r w:rsidDel="00000000" w:rsidR="00000000" w:rsidRPr="00000000">
                <w:rPr>
                  <w:color w:val="0563c1"/>
                  <w:sz w:val="18"/>
                  <w:szCs w:val="18"/>
                  <w:u w:val="single"/>
                  <w:rtl w:val="0"/>
                </w:rPr>
                <w:t xml:space="preserve">9</w:t>
              </w:r>
            </w:hyperlink>
            <w:r w:rsidDel="00000000" w:rsidR="00000000" w:rsidRPr="00000000">
              <w:rPr>
                <w:color w:val="0563c1"/>
                <w:sz w:val="18"/>
                <w:szCs w:val="18"/>
                <w:rtl w:val="0"/>
              </w:rPr>
              <w:t xml:space="preserve">]</w:t>
            </w:r>
            <w:r w:rsidDel="00000000" w:rsidR="00000000" w:rsidRPr="00000000">
              <w:rPr>
                <w:rtl w:val="0"/>
              </w:rPr>
            </w:r>
          </w:p>
        </w:tc>
        <w:tc>
          <w:tcPr>
            <w:shd w:fill="f8f9fa" w:val="clear"/>
          </w:tcPr>
          <w:p w:rsidR="00000000" w:rsidDel="00000000" w:rsidP="00000000" w:rsidRDefault="00000000" w:rsidRPr="00000000" w14:paraId="0000004D">
            <w:pPr>
              <w:rPr/>
            </w:pPr>
            <w:r w:rsidDel="00000000" w:rsidR="00000000" w:rsidRPr="00000000">
              <w:rPr>
                <w:sz w:val="16"/>
                <w:szCs w:val="16"/>
                <w:rtl w:val="0"/>
              </w:rPr>
              <w:t xml:space="preserve">Injection-site reactions </w:t>
            </w:r>
            <w:r w:rsidDel="00000000" w:rsidR="00000000" w:rsidRPr="00000000">
              <w:rPr>
                <w:b w:val="1"/>
                <w:bCs w:val="1"/>
                <w:sz w:val="16"/>
                <w:szCs w:val="16"/>
                <w:rtl w:val="0"/>
              </w:rPr>
              <w:t xml:space="preserve">38%</w:t>
            </w:r>
            <w:r w:rsidDel="00000000" w:rsidR="00000000" w:rsidRPr="00000000">
              <w:rPr>
                <w:sz w:val="16"/>
                <w:szCs w:val="16"/>
                <w:rtl w:val="0"/>
              </w:rPr>
              <w:t xml:space="preserve"> in gMG Study 2; common AEs ≥10% were injection-site reactions and headache; injection-site reactions mild/moderate and did not lead to discontinuation in Study 2/OLE; IV-reference common AEs included respiratory tract infection </w:t>
            </w:r>
            <w:r w:rsidDel="00000000" w:rsidR="00000000" w:rsidRPr="00000000">
              <w:rPr>
                <w:b w:val="1"/>
                <w:bCs w:val="1"/>
                <w:sz w:val="16"/>
                <w:szCs w:val="16"/>
                <w:rtl w:val="0"/>
              </w:rPr>
              <w:t xml:space="preserve">33% vs 29%</w:t>
            </w:r>
            <w:r w:rsidDel="00000000" w:rsidR="00000000" w:rsidRPr="00000000">
              <w:rPr>
                <w:sz w:val="16"/>
                <w:szCs w:val="16"/>
                <w:rtl w:val="0"/>
              </w:rPr>
              <w:t xml:space="preserve">, headache </w:t>
            </w:r>
            <w:r w:rsidDel="00000000" w:rsidR="00000000" w:rsidRPr="00000000">
              <w:rPr>
                <w:b w:val="1"/>
                <w:bCs w:val="1"/>
                <w:sz w:val="16"/>
                <w:szCs w:val="16"/>
                <w:rtl w:val="0"/>
              </w:rPr>
              <w:t xml:space="preserve">32% vs 29%</w:t>
            </w:r>
            <w:r w:rsidDel="00000000" w:rsidR="00000000" w:rsidRPr="00000000">
              <w:rPr>
                <w:sz w:val="16"/>
                <w:szCs w:val="16"/>
                <w:rtl w:val="0"/>
              </w:rPr>
              <w:t xml:space="preserve">, UTI </w:t>
            </w:r>
            <w:r w:rsidDel="00000000" w:rsidR="00000000" w:rsidRPr="00000000">
              <w:rPr>
                <w:b w:val="1"/>
                <w:bCs w:val="1"/>
                <w:sz w:val="16"/>
                <w:szCs w:val="16"/>
                <w:rtl w:val="0"/>
              </w:rPr>
              <w:t xml:space="preserve">10% vs 5%</w:t>
            </w:r>
            <w:r w:rsidDel="00000000" w:rsidR="00000000" w:rsidRPr="00000000">
              <w:rPr>
                <w:color w:val="0563c1"/>
                <w:sz w:val="18"/>
                <w:szCs w:val="18"/>
                <w:rtl w:val="0"/>
              </w:rPr>
              <w:t xml:space="preserve">[</w:t>
            </w:r>
            <w:hyperlink r:id="rId65">
              <w:r w:rsidDel="00000000" w:rsidR="00000000" w:rsidRPr="00000000">
                <w:rPr>
                  <w:color w:val="0563c1"/>
                  <w:sz w:val="18"/>
                  <w:szCs w:val="18"/>
                  <w:u w:val="single"/>
                  <w:rtl w:val="0"/>
                </w:rPr>
                <w:t xml:space="preserve">9</w:t>
              </w:r>
            </w:hyperlink>
            <w:r w:rsidDel="00000000" w:rsidR="00000000" w:rsidRPr="00000000">
              <w:rPr>
                <w:color w:val="0563c1"/>
                <w:sz w:val="18"/>
                <w:szCs w:val="18"/>
                <w:rtl w:val="0"/>
              </w:rPr>
              <w:t xml:space="preserve">]</w:t>
            </w:r>
            <w:r w:rsidDel="00000000" w:rsidR="00000000" w:rsidRPr="00000000">
              <w:rPr>
                <w:rtl w:val="0"/>
              </w:rPr>
            </w:r>
          </w:p>
        </w:tc>
        <w:tc>
          <w:tcPr>
            <w:shd w:fill="f8f9fa" w:val="clear"/>
          </w:tcPr>
          <w:p w:rsidR="00000000" w:rsidDel="00000000" w:rsidP="00000000" w:rsidRDefault="00000000" w:rsidRPr="00000000" w14:paraId="0000004E">
            <w:pPr>
              <w:rPr/>
            </w:pPr>
            <w:r w:rsidDel="00000000" w:rsidR="00000000" w:rsidRPr="00000000">
              <w:rPr>
                <w:sz w:val="16"/>
                <w:szCs w:val="16"/>
                <w:rtl w:val="0"/>
              </w:rPr>
              <w:t xml:space="preserve">Convenient SC option for adult AChR+</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sz w:val="16"/>
                <w:szCs w:val="16"/>
                <w:rtl w:val="0"/>
              </w:rPr>
              <w:t xml:space="preserve">nipocalimab</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6"/>
                <w:szCs w:val="16"/>
                <w:rtl w:val="0"/>
              </w:rPr>
              <w:t xml:space="preserve">FcRn blocker</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6"/>
                <w:szCs w:val="16"/>
                <w:rtl w:val="0"/>
              </w:rPr>
              <w:t xml:space="preserve">IV</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6"/>
                <w:szCs w:val="16"/>
                <w:rtl w:val="0"/>
              </w:rPr>
              <w:t xml:space="preserve">gMG in adults and pediatric patients ≥12 years, anti-AChR or anti-MuSK positive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6"/>
                <w:szCs w:val="16"/>
                <w:rtl w:val="0"/>
              </w:rPr>
              <w:t xml:space="preserve">• Study 1 (targeted add-on, adults, AChR+/MuSK+): MG-ADL LS mean change Weeks 22-24 </w:t>
            </w:r>
            <w:r w:rsidDel="00000000" w:rsidR="00000000" w:rsidRPr="00000000">
              <w:rPr>
                <w:b w:val="1"/>
                <w:bCs w:val="1"/>
                <w:sz w:val="16"/>
                <w:szCs w:val="16"/>
                <w:rtl w:val="0"/>
              </w:rPr>
              <w:t xml:space="preserve">-4.7 vs -3.3</w:t>
            </w:r>
            <w:r w:rsidDel="00000000" w:rsidR="00000000" w:rsidRPr="00000000">
              <w:rPr>
                <w:sz w:val="16"/>
                <w:szCs w:val="16"/>
                <w:rtl w:val="0"/>
              </w:rPr>
              <w:t xml:space="preserve">; difference </w:t>
            </w:r>
            <w:r w:rsidDel="00000000" w:rsidR="00000000" w:rsidRPr="00000000">
              <w:rPr>
                <w:b w:val="1"/>
                <w:bCs w:val="1"/>
                <w:sz w:val="16"/>
                <w:szCs w:val="16"/>
                <w:rtl w:val="0"/>
              </w:rPr>
              <w:t xml:space="preserve">-1.5</w:t>
            </w:r>
            <w:r w:rsidDel="00000000" w:rsidR="00000000" w:rsidRPr="00000000">
              <w:rPr>
                <w:sz w:val="16"/>
                <w:szCs w:val="16"/>
                <w:rtl w:val="0"/>
              </w:rPr>
              <w:t xml:space="preserve"> (95% CI </w:t>
            </w:r>
            <w:r w:rsidDel="00000000" w:rsidR="00000000" w:rsidRPr="00000000">
              <w:rPr>
                <w:b w:val="1"/>
                <w:bCs w:val="1"/>
                <w:sz w:val="16"/>
                <w:szCs w:val="16"/>
                <w:rtl w:val="0"/>
              </w:rPr>
              <w:t xml:space="preserve">-2.4 to -0.5</w:t>
            </w:r>
            <w:r w:rsidDel="00000000" w:rsidR="00000000" w:rsidRPr="00000000">
              <w:rPr>
                <w:sz w:val="16"/>
                <w:szCs w:val="16"/>
                <w:rtl w:val="0"/>
              </w:rPr>
              <w:t xml:space="preserve">), p=0.002</w:t>
            </w:r>
            <w:r w:rsidDel="00000000" w:rsidR="00000000" w:rsidRPr="00000000">
              <w:rPr>
                <w:color w:val="0563c1"/>
                <w:sz w:val="18"/>
                <w:szCs w:val="18"/>
                <w:rtl w:val="0"/>
              </w:rPr>
              <w:t xml:space="preserve">[</w:t>
            </w:r>
            <w:hyperlink r:id="rId66">
              <w:r w:rsidDel="00000000" w:rsidR="00000000" w:rsidRPr="00000000">
                <w:rPr>
                  <w:color w:val="0563c1"/>
                  <w:sz w:val="18"/>
                  <w:szCs w:val="18"/>
                  <w:u w:val="single"/>
                  <w:rtl w:val="0"/>
                </w:rPr>
                <w:t xml:space="preserve">3</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Study 1 (targeted add-on, adults, AChR+/MuSK+): QMG LS mean change Weeks 22 &amp; 24 </w:t>
            </w:r>
            <w:r w:rsidDel="00000000" w:rsidR="00000000" w:rsidRPr="00000000">
              <w:rPr>
                <w:b w:val="1"/>
                <w:bCs w:val="1"/>
                <w:sz w:val="16"/>
                <w:szCs w:val="16"/>
                <w:rtl w:val="0"/>
              </w:rPr>
              <w:t xml:space="preserve">-4.9 vs -2.1</w:t>
            </w:r>
            <w:r w:rsidDel="00000000" w:rsidR="00000000" w:rsidRPr="00000000">
              <w:rPr>
                <w:sz w:val="16"/>
                <w:szCs w:val="16"/>
                <w:rtl w:val="0"/>
              </w:rPr>
              <w:t xml:space="preserve">; difference </w:t>
            </w:r>
            <w:r w:rsidDel="00000000" w:rsidR="00000000" w:rsidRPr="00000000">
              <w:rPr>
                <w:b w:val="1"/>
                <w:bCs w:val="1"/>
                <w:sz w:val="16"/>
                <w:szCs w:val="16"/>
                <w:rtl w:val="0"/>
              </w:rPr>
              <w:t xml:space="preserve">-2.8</w:t>
            </w:r>
            <w:r w:rsidDel="00000000" w:rsidR="00000000" w:rsidRPr="00000000">
              <w:rPr>
                <w:sz w:val="16"/>
                <w:szCs w:val="16"/>
                <w:rtl w:val="0"/>
              </w:rPr>
              <w:t xml:space="preserve"> (95% CI </w:t>
            </w:r>
            <w:r w:rsidDel="00000000" w:rsidR="00000000" w:rsidRPr="00000000">
              <w:rPr>
                <w:b w:val="1"/>
                <w:bCs w:val="1"/>
                <w:sz w:val="16"/>
                <w:szCs w:val="16"/>
                <w:rtl w:val="0"/>
              </w:rPr>
              <w:t xml:space="preserve">-4.2 to -1.4</w:t>
            </w:r>
            <w:r w:rsidDel="00000000" w:rsidR="00000000" w:rsidRPr="00000000">
              <w:rPr>
                <w:sz w:val="16"/>
                <w:szCs w:val="16"/>
                <w:rtl w:val="0"/>
              </w:rPr>
              <w:t xml:space="preserve">), p&lt;0.001</w:t>
            </w:r>
            <w:r w:rsidDel="00000000" w:rsidR="00000000" w:rsidRPr="00000000">
              <w:rPr>
                <w:color w:val="0563c1"/>
                <w:sz w:val="18"/>
                <w:szCs w:val="18"/>
                <w:rtl w:val="0"/>
              </w:rPr>
              <w:t xml:space="preserve">[</w:t>
            </w:r>
            <w:hyperlink r:id="rId67">
              <w:r w:rsidDel="00000000" w:rsidR="00000000" w:rsidRPr="00000000">
                <w:rPr>
                  <w:color w:val="0563c1"/>
                  <w:sz w:val="18"/>
                  <w:szCs w:val="18"/>
                  <w:u w:val="single"/>
                  <w:rtl w:val="0"/>
                </w:rPr>
                <w:t xml:space="preserve">3</w:t>
              </w:r>
            </w:hyperlink>
            <w:r w:rsidDel="00000000" w:rsidR="00000000" w:rsidRPr="00000000">
              <w:rPr>
                <w:color w:val="0563c1"/>
                <w:sz w:val="18"/>
                <w:szCs w:val="18"/>
                <w:rtl w:val="0"/>
              </w:rPr>
              <w:t xml:space="preserv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6"/>
                <w:szCs w:val="16"/>
                <w:rtl w:val="0"/>
              </w:rPr>
              <w:t xml:space="preserve">Common AEs: respiratory tract infection </w:t>
            </w:r>
            <w:r w:rsidDel="00000000" w:rsidR="00000000" w:rsidRPr="00000000">
              <w:rPr>
                <w:b w:val="1"/>
                <w:bCs w:val="1"/>
                <w:sz w:val="16"/>
                <w:szCs w:val="16"/>
                <w:rtl w:val="0"/>
              </w:rPr>
              <w:t xml:space="preserve">18% vs 13%</w:t>
            </w:r>
            <w:r w:rsidDel="00000000" w:rsidR="00000000" w:rsidRPr="00000000">
              <w:rPr>
                <w:sz w:val="16"/>
                <w:szCs w:val="16"/>
                <w:rtl w:val="0"/>
              </w:rPr>
              <w:t xml:space="preserve">, peripheral edema </w:t>
            </w:r>
            <w:r w:rsidDel="00000000" w:rsidR="00000000" w:rsidRPr="00000000">
              <w:rPr>
                <w:b w:val="1"/>
                <w:bCs w:val="1"/>
                <w:sz w:val="16"/>
                <w:szCs w:val="16"/>
                <w:rtl w:val="0"/>
              </w:rPr>
              <w:t xml:space="preserve">12% vs 2%</w:t>
            </w:r>
            <w:r w:rsidDel="00000000" w:rsidR="00000000" w:rsidRPr="00000000">
              <w:rPr>
                <w:sz w:val="16"/>
                <w:szCs w:val="16"/>
                <w:rtl w:val="0"/>
              </w:rPr>
              <w:t xml:space="preserve">, muscle spasm </w:t>
            </w:r>
            <w:r w:rsidDel="00000000" w:rsidR="00000000" w:rsidRPr="00000000">
              <w:rPr>
                <w:b w:val="1"/>
                <w:bCs w:val="1"/>
                <w:sz w:val="16"/>
                <w:szCs w:val="16"/>
                <w:rtl w:val="0"/>
              </w:rPr>
              <w:t xml:space="preserve">12% vs 3%</w:t>
            </w:r>
            <w:r w:rsidDel="00000000" w:rsidR="00000000" w:rsidRPr="00000000">
              <w:rPr>
                <w:sz w:val="16"/>
                <w:szCs w:val="16"/>
                <w:rtl w:val="0"/>
              </w:rPr>
              <w:t xml:space="preserve">, hypersensitivity </w:t>
            </w:r>
            <w:r w:rsidDel="00000000" w:rsidR="00000000" w:rsidRPr="00000000">
              <w:rPr>
                <w:b w:val="1"/>
                <w:bCs w:val="1"/>
                <w:sz w:val="16"/>
                <w:szCs w:val="16"/>
                <w:rtl w:val="0"/>
              </w:rPr>
              <w:t xml:space="preserve">8% vs 7%</w:t>
            </w:r>
            <w:r w:rsidDel="00000000" w:rsidR="00000000" w:rsidRPr="00000000">
              <w:rPr>
                <w:sz w:val="16"/>
                <w:szCs w:val="16"/>
                <w:rtl w:val="0"/>
              </w:rPr>
              <w:t xml:space="preserve">, abdominal pain </w:t>
            </w:r>
            <w:r w:rsidDel="00000000" w:rsidR="00000000" w:rsidRPr="00000000">
              <w:rPr>
                <w:b w:val="1"/>
                <w:bCs w:val="1"/>
                <w:sz w:val="16"/>
                <w:szCs w:val="16"/>
                <w:rtl w:val="0"/>
              </w:rPr>
              <w:t xml:space="preserve">8% vs 3%</w:t>
            </w:r>
            <w:r w:rsidDel="00000000" w:rsidR="00000000" w:rsidRPr="00000000">
              <w:rPr>
                <w:sz w:val="16"/>
                <w:szCs w:val="16"/>
                <w:rtl w:val="0"/>
              </w:rPr>
              <w:t xml:space="preserve">; serious infections </w:t>
            </w:r>
            <w:r w:rsidDel="00000000" w:rsidR="00000000" w:rsidRPr="00000000">
              <w:rPr>
                <w:b w:val="1"/>
                <w:bCs w:val="1"/>
                <w:sz w:val="16"/>
                <w:szCs w:val="16"/>
                <w:rtl w:val="0"/>
              </w:rPr>
              <w:t xml:space="preserve">7%</w:t>
            </w:r>
            <w:r w:rsidDel="00000000" w:rsidR="00000000" w:rsidRPr="00000000">
              <w:rPr>
                <w:sz w:val="16"/>
                <w:szCs w:val="16"/>
                <w:rtl w:val="0"/>
              </w:rPr>
              <w:t xml:space="preserve"> across Study 1+extension; infusion-related reactions </w:t>
            </w:r>
            <w:r w:rsidDel="00000000" w:rsidR="00000000" w:rsidRPr="00000000">
              <w:rPr>
                <w:b w:val="1"/>
                <w:bCs w:val="1"/>
                <w:sz w:val="16"/>
                <w:szCs w:val="16"/>
                <w:rtl w:val="0"/>
              </w:rPr>
              <w:t xml:space="preserve">11%</w:t>
            </w:r>
            <w:r w:rsidDel="00000000" w:rsidR="00000000" w:rsidRPr="00000000">
              <w:rPr>
                <w:sz w:val="16"/>
                <w:szCs w:val="16"/>
                <w:rtl w:val="0"/>
              </w:rPr>
              <w:t xml:space="preserve">; hypersensitivity reactions </w:t>
            </w:r>
            <w:r w:rsidDel="00000000" w:rsidR="00000000" w:rsidRPr="00000000">
              <w:rPr>
                <w:b w:val="1"/>
                <w:bCs w:val="1"/>
                <w:sz w:val="16"/>
                <w:szCs w:val="16"/>
                <w:rtl w:val="0"/>
              </w:rPr>
              <w:t xml:space="preserve">16%</w:t>
            </w:r>
            <w:r w:rsidDel="00000000" w:rsidR="00000000" w:rsidRPr="00000000">
              <w:rPr>
                <w:sz w:val="16"/>
                <w:szCs w:val="16"/>
                <w:rtl w:val="0"/>
              </w:rPr>
              <w:t xml:space="preserve">; discontinuation from infection </w:t>
            </w:r>
            <w:r w:rsidDel="00000000" w:rsidR="00000000" w:rsidRPr="00000000">
              <w:rPr>
                <w:b w:val="1"/>
                <w:bCs w:val="1"/>
                <w:sz w:val="16"/>
                <w:szCs w:val="16"/>
                <w:rtl w:val="0"/>
              </w:rPr>
              <w:t xml:space="preserve">1%</w:t>
            </w:r>
            <w:r w:rsidDel="00000000" w:rsidR="00000000" w:rsidRPr="00000000">
              <w:rPr>
                <w:sz w:val="16"/>
                <w:szCs w:val="16"/>
                <w:rtl w:val="0"/>
              </w:rPr>
              <w:t xml:space="preserve"> and urticaria in 1 patient</w:t>
            </w:r>
            <w:r w:rsidDel="00000000" w:rsidR="00000000" w:rsidRPr="00000000">
              <w:rPr>
                <w:color w:val="0563c1"/>
                <w:sz w:val="18"/>
                <w:szCs w:val="18"/>
                <w:rtl w:val="0"/>
              </w:rPr>
              <w:t xml:space="preserve">[</w:t>
            </w:r>
            <w:hyperlink r:id="rId68">
              <w:r w:rsidDel="00000000" w:rsidR="00000000" w:rsidRPr="00000000">
                <w:rPr>
                  <w:color w:val="0563c1"/>
                  <w:sz w:val="18"/>
                  <w:szCs w:val="18"/>
                  <w:u w:val="single"/>
                  <w:rtl w:val="0"/>
                </w:rPr>
                <w:t xml:space="preserve">3</w:t>
              </w:r>
            </w:hyperlink>
            <w:r w:rsidDel="00000000" w:rsidR="00000000" w:rsidRPr="00000000">
              <w:rPr>
                <w:color w:val="0563c1"/>
                <w:sz w:val="18"/>
                <w:szCs w:val="18"/>
                <w:rtl w:val="0"/>
              </w:rPr>
              <w:t xml:space="preserv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6"/>
                <w:szCs w:val="16"/>
                <w:rtl w:val="0"/>
              </w:rPr>
              <w:t xml:space="preserve">Broad-label FcRn option, incl MuSK and adolescents</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56">
            <w:pPr>
              <w:rPr/>
            </w:pPr>
            <w:r w:rsidDel="00000000" w:rsidR="00000000" w:rsidRPr="00000000">
              <w:rPr>
                <w:sz w:val="16"/>
                <w:szCs w:val="16"/>
                <w:rtl w:val="0"/>
              </w:rPr>
              <w:t xml:space="preserve">rozanolixizumab</w:t>
            </w:r>
            <w:r w:rsidDel="00000000" w:rsidR="00000000" w:rsidRPr="00000000">
              <w:rPr>
                <w:rtl w:val="0"/>
              </w:rPr>
            </w:r>
          </w:p>
        </w:tc>
        <w:tc>
          <w:tcPr>
            <w:shd w:fill="f8f9fa" w:val="clear"/>
          </w:tcPr>
          <w:p w:rsidR="00000000" w:rsidDel="00000000" w:rsidP="00000000" w:rsidRDefault="00000000" w:rsidRPr="00000000" w14:paraId="00000057">
            <w:pPr>
              <w:rPr/>
            </w:pPr>
            <w:r w:rsidDel="00000000" w:rsidR="00000000" w:rsidRPr="00000000">
              <w:rPr>
                <w:sz w:val="16"/>
                <w:szCs w:val="16"/>
                <w:rtl w:val="0"/>
              </w:rPr>
              <w:t xml:space="preserve">FcRn blocker</w:t>
            </w:r>
            <w:r w:rsidDel="00000000" w:rsidR="00000000" w:rsidRPr="00000000">
              <w:rPr>
                <w:rtl w:val="0"/>
              </w:rPr>
            </w:r>
          </w:p>
        </w:tc>
        <w:tc>
          <w:tcPr>
            <w:shd w:fill="f8f9fa" w:val="clear"/>
          </w:tcPr>
          <w:p w:rsidR="00000000" w:rsidDel="00000000" w:rsidP="00000000" w:rsidRDefault="00000000" w:rsidRPr="00000000" w14:paraId="00000058">
            <w:pPr>
              <w:rPr/>
            </w:pPr>
            <w:r w:rsidDel="00000000" w:rsidR="00000000" w:rsidRPr="00000000">
              <w:rPr>
                <w:sz w:val="16"/>
                <w:szCs w:val="16"/>
                <w:rtl w:val="0"/>
              </w:rPr>
              <w:t xml:space="preserve">SC infusion</w:t>
            </w:r>
            <w:r w:rsidDel="00000000" w:rsidR="00000000" w:rsidRPr="00000000">
              <w:rPr>
                <w:rtl w:val="0"/>
              </w:rPr>
            </w:r>
          </w:p>
        </w:tc>
        <w:tc>
          <w:tcPr>
            <w:shd w:fill="f8f9fa" w:val="clear"/>
          </w:tcPr>
          <w:p w:rsidR="00000000" w:rsidDel="00000000" w:rsidP="00000000" w:rsidRDefault="00000000" w:rsidRPr="00000000" w14:paraId="00000059">
            <w:pPr>
              <w:rPr/>
            </w:pPr>
            <w:r w:rsidDel="00000000" w:rsidR="00000000" w:rsidRPr="00000000">
              <w:rPr>
                <w:sz w:val="16"/>
                <w:szCs w:val="16"/>
                <w:rtl w:val="0"/>
              </w:rPr>
              <w:t xml:space="preserve">Adult gMG, anti-AChR or anti-MuSK positive</w:t>
            </w:r>
            <w:r w:rsidDel="00000000" w:rsidR="00000000" w:rsidRPr="00000000">
              <w:rPr>
                <w:rtl w:val="0"/>
              </w:rPr>
            </w:r>
          </w:p>
        </w:tc>
        <w:tc>
          <w:tcPr>
            <w:shd w:fill="f8f9fa" w:val="clear"/>
          </w:tcPr>
          <w:p w:rsidR="00000000" w:rsidDel="00000000" w:rsidP="00000000" w:rsidRDefault="00000000" w:rsidRPr="00000000" w14:paraId="0000005A">
            <w:pPr>
              <w:rPr/>
            </w:pPr>
            <w:r w:rsidDel="00000000" w:rsidR="00000000" w:rsidRPr="00000000">
              <w:rPr>
                <w:sz w:val="16"/>
                <w:szCs w:val="16"/>
                <w:rtl w:val="0"/>
              </w:rPr>
              <w:t xml:space="preserve">• Study 1 (targeted add-on, adults, AChR+/MuSK+): MG-ADL Day 43 LS mean change </w:t>
            </w:r>
            <w:r w:rsidDel="00000000" w:rsidR="00000000" w:rsidRPr="00000000">
              <w:rPr>
                <w:b w:val="1"/>
                <w:bCs w:val="1"/>
                <w:sz w:val="16"/>
                <w:szCs w:val="16"/>
                <w:rtl w:val="0"/>
              </w:rPr>
              <w:t xml:space="preserve">-3.4</w:t>
            </w:r>
            <w:r w:rsidDel="00000000" w:rsidR="00000000" w:rsidRPr="00000000">
              <w:rPr>
                <w:sz w:val="16"/>
                <w:szCs w:val="16"/>
                <w:rtl w:val="0"/>
              </w:rPr>
              <w:t xml:space="preserve"> vs </w:t>
            </w:r>
            <w:r w:rsidDel="00000000" w:rsidR="00000000" w:rsidRPr="00000000">
              <w:rPr>
                <w:b w:val="1"/>
                <w:bCs w:val="1"/>
                <w:sz w:val="16"/>
                <w:szCs w:val="16"/>
                <w:rtl w:val="0"/>
              </w:rPr>
              <w:t xml:space="preserve">-0.8</w:t>
            </w:r>
            <w:r w:rsidDel="00000000" w:rsidR="00000000" w:rsidRPr="00000000">
              <w:rPr>
                <w:sz w:val="16"/>
                <w:szCs w:val="16"/>
                <w:rtl w:val="0"/>
              </w:rPr>
              <w:t xml:space="preserve"> placebo; difference </w:t>
            </w:r>
            <w:r w:rsidDel="00000000" w:rsidR="00000000" w:rsidRPr="00000000">
              <w:rPr>
                <w:b w:val="1"/>
                <w:bCs w:val="1"/>
                <w:sz w:val="16"/>
                <w:szCs w:val="16"/>
                <w:rtl w:val="0"/>
              </w:rPr>
              <w:t xml:space="preserve">-2.6</w:t>
            </w:r>
            <w:r w:rsidDel="00000000" w:rsidR="00000000" w:rsidRPr="00000000">
              <w:rPr>
                <w:sz w:val="16"/>
                <w:szCs w:val="16"/>
                <w:rtl w:val="0"/>
              </w:rPr>
              <w:t xml:space="preserve"> for ~7 mg/kg and </w:t>
            </w:r>
            <w:r w:rsidDel="00000000" w:rsidR="00000000" w:rsidRPr="00000000">
              <w:rPr>
                <w:b w:val="1"/>
                <w:bCs w:val="1"/>
                <w:sz w:val="16"/>
                <w:szCs w:val="16"/>
                <w:rtl w:val="0"/>
              </w:rPr>
              <w:t xml:space="preserve">-2.6</w:t>
            </w:r>
            <w:r w:rsidDel="00000000" w:rsidR="00000000" w:rsidRPr="00000000">
              <w:rPr>
                <w:sz w:val="16"/>
                <w:szCs w:val="16"/>
                <w:rtl w:val="0"/>
              </w:rPr>
              <w:t xml:space="preserve"> for ~10 mg/kg, both p&lt;0.001</w:t>
            </w:r>
            <w:r w:rsidDel="00000000" w:rsidR="00000000" w:rsidRPr="00000000">
              <w:rPr>
                <w:color w:val="0563c1"/>
                <w:sz w:val="18"/>
                <w:szCs w:val="18"/>
                <w:rtl w:val="0"/>
              </w:rPr>
              <w:t xml:space="preserve">[</w:t>
            </w:r>
            <w:hyperlink r:id="rId69">
              <w:r w:rsidDel="00000000" w:rsidR="00000000" w:rsidRPr="00000000">
                <w:rPr>
                  <w:color w:val="0563c1"/>
                  <w:sz w:val="18"/>
                  <w:szCs w:val="18"/>
                  <w:u w:val="single"/>
                  <w:rtl w:val="0"/>
                </w:rPr>
                <w:t xml:space="preserve">4</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Study 1 (targeted add-on, adults, AChR+/MuSK+): QMG Day 43 LS mean change </w:t>
            </w:r>
            <w:r w:rsidDel="00000000" w:rsidR="00000000" w:rsidRPr="00000000">
              <w:rPr>
                <w:b w:val="1"/>
                <w:bCs w:val="1"/>
                <w:sz w:val="16"/>
                <w:szCs w:val="16"/>
                <w:rtl w:val="0"/>
              </w:rPr>
              <w:t xml:space="preserve">-5.4</w:t>
            </w:r>
            <w:r w:rsidDel="00000000" w:rsidR="00000000" w:rsidRPr="00000000">
              <w:rPr>
                <w:sz w:val="16"/>
                <w:szCs w:val="16"/>
                <w:rtl w:val="0"/>
              </w:rPr>
              <w:t xml:space="preserve"> and </w:t>
            </w:r>
            <w:r w:rsidDel="00000000" w:rsidR="00000000" w:rsidRPr="00000000">
              <w:rPr>
                <w:b w:val="1"/>
                <w:bCs w:val="1"/>
                <w:sz w:val="16"/>
                <w:szCs w:val="16"/>
                <w:rtl w:val="0"/>
              </w:rPr>
              <w:t xml:space="preserve">-6.7</w:t>
            </w:r>
            <w:r w:rsidDel="00000000" w:rsidR="00000000" w:rsidRPr="00000000">
              <w:rPr>
                <w:sz w:val="16"/>
                <w:szCs w:val="16"/>
                <w:rtl w:val="0"/>
              </w:rPr>
              <w:t xml:space="preserve"> vs </w:t>
            </w:r>
            <w:r w:rsidDel="00000000" w:rsidR="00000000" w:rsidRPr="00000000">
              <w:rPr>
                <w:b w:val="1"/>
                <w:bCs w:val="1"/>
                <w:sz w:val="16"/>
                <w:szCs w:val="16"/>
                <w:rtl w:val="0"/>
              </w:rPr>
              <w:t xml:space="preserve">-1.9</w:t>
            </w:r>
            <w:r w:rsidDel="00000000" w:rsidR="00000000" w:rsidRPr="00000000">
              <w:rPr>
                <w:sz w:val="16"/>
                <w:szCs w:val="16"/>
                <w:rtl w:val="0"/>
              </w:rPr>
              <w:t xml:space="preserve"> placebo; differences </w:t>
            </w:r>
            <w:r w:rsidDel="00000000" w:rsidR="00000000" w:rsidRPr="00000000">
              <w:rPr>
                <w:b w:val="1"/>
                <w:bCs w:val="1"/>
                <w:sz w:val="16"/>
                <w:szCs w:val="16"/>
                <w:rtl w:val="0"/>
              </w:rPr>
              <w:t xml:space="preserve">-3.5</w:t>
            </w:r>
            <w:r w:rsidDel="00000000" w:rsidR="00000000" w:rsidRPr="00000000">
              <w:rPr>
                <w:sz w:val="16"/>
                <w:szCs w:val="16"/>
                <w:rtl w:val="0"/>
              </w:rPr>
              <w:t xml:space="preserve"> and </w:t>
            </w:r>
            <w:r w:rsidDel="00000000" w:rsidR="00000000" w:rsidRPr="00000000">
              <w:rPr>
                <w:b w:val="1"/>
                <w:bCs w:val="1"/>
                <w:sz w:val="16"/>
                <w:szCs w:val="16"/>
                <w:rtl w:val="0"/>
              </w:rPr>
              <w:t xml:space="preserve">-4.8</w:t>
            </w:r>
            <w:r w:rsidDel="00000000" w:rsidR="00000000" w:rsidRPr="00000000">
              <w:rPr>
                <w:sz w:val="16"/>
                <w:szCs w:val="16"/>
                <w:rtl w:val="0"/>
              </w:rPr>
              <w:t xml:space="preserve">, both p&lt;0.001</w:t>
            </w:r>
            <w:r w:rsidDel="00000000" w:rsidR="00000000" w:rsidRPr="00000000">
              <w:rPr>
                <w:color w:val="0563c1"/>
                <w:sz w:val="18"/>
                <w:szCs w:val="18"/>
                <w:rtl w:val="0"/>
              </w:rPr>
              <w:t xml:space="preserve">[</w:t>
            </w:r>
            <w:hyperlink r:id="rId70">
              <w:r w:rsidDel="00000000" w:rsidR="00000000" w:rsidRPr="00000000">
                <w:rPr>
                  <w:color w:val="0563c1"/>
                  <w:sz w:val="18"/>
                  <w:szCs w:val="18"/>
                  <w:u w:val="single"/>
                  <w:rtl w:val="0"/>
                </w:rPr>
                <w:t xml:space="preserve">4</w:t>
              </w:r>
            </w:hyperlink>
            <w:r w:rsidDel="00000000" w:rsidR="00000000" w:rsidRPr="00000000">
              <w:rPr>
                <w:color w:val="0563c1"/>
                <w:sz w:val="18"/>
                <w:szCs w:val="18"/>
                <w:rtl w:val="0"/>
              </w:rPr>
              <w:t xml:space="preserve">]</w:t>
            </w:r>
            <w:r w:rsidDel="00000000" w:rsidR="00000000" w:rsidRPr="00000000">
              <w:rPr>
                <w:rtl w:val="0"/>
              </w:rPr>
            </w:r>
          </w:p>
        </w:tc>
        <w:tc>
          <w:tcPr>
            <w:shd w:fill="f8f9fa" w:val="clear"/>
          </w:tcPr>
          <w:p w:rsidR="00000000" w:rsidDel="00000000" w:rsidP="00000000" w:rsidRDefault="00000000" w:rsidRPr="00000000" w14:paraId="0000005B">
            <w:pPr>
              <w:rPr/>
            </w:pPr>
            <w:r w:rsidDel="00000000" w:rsidR="00000000" w:rsidRPr="00000000">
              <w:rPr>
                <w:sz w:val="16"/>
                <w:szCs w:val="16"/>
                <w:rtl w:val="0"/>
              </w:rPr>
              <w:t xml:space="preserve">Headache </w:t>
            </w:r>
            <w:r w:rsidDel="00000000" w:rsidR="00000000" w:rsidRPr="00000000">
              <w:rPr>
                <w:b w:val="1"/>
                <w:bCs w:val="1"/>
                <w:sz w:val="16"/>
                <w:szCs w:val="16"/>
                <w:rtl w:val="0"/>
              </w:rPr>
              <w:t xml:space="preserve">44% vs 19%</w:t>
            </w:r>
            <w:r w:rsidDel="00000000" w:rsidR="00000000" w:rsidRPr="00000000">
              <w:rPr>
                <w:sz w:val="16"/>
                <w:szCs w:val="16"/>
                <w:rtl w:val="0"/>
              </w:rPr>
              <w:t xml:space="preserve">, any infection </w:t>
            </w:r>
            <w:r w:rsidDel="00000000" w:rsidR="00000000" w:rsidRPr="00000000">
              <w:rPr>
                <w:b w:val="1"/>
                <w:bCs w:val="1"/>
                <w:sz w:val="16"/>
                <w:szCs w:val="16"/>
                <w:rtl w:val="0"/>
              </w:rPr>
              <w:t xml:space="preserve">23% vs 19%</w:t>
            </w:r>
            <w:r w:rsidDel="00000000" w:rsidR="00000000" w:rsidRPr="00000000">
              <w:rPr>
                <w:sz w:val="16"/>
                <w:szCs w:val="16"/>
                <w:rtl w:val="0"/>
              </w:rPr>
              <w:t xml:space="preserve">, diarrhea </w:t>
            </w:r>
            <w:r w:rsidDel="00000000" w:rsidR="00000000" w:rsidRPr="00000000">
              <w:rPr>
                <w:b w:val="1"/>
                <w:bCs w:val="1"/>
                <w:sz w:val="16"/>
                <w:szCs w:val="16"/>
                <w:rtl w:val="0"/>
              </w:rPr>
              <w:t xml:space="preserve">20% vs 13%</w:t>
            </w:r>
            <w:r w:rsidDel="00000000" w:rsidR="00000000" w:rsidRPr="00000000">
              <w:rPr>
                <w:sz w:val="16"/>
                <w:szCs w:val="16"/>
                <w:rtl w:val="0"/>
              </w:rPr>
              <w:t xml:space="preserve">, pyrexia </w:t>
            </w:r>
            <w:r w:rsidDel="00000000" w:rsidR="00000000" w:rsidRPr="00000000">
              <w:rPr>
                <w:b w:val="1"/>
                <w:bCs w:val="1"/>
                <w:sz w:val="16"/>
                <w:szCs w:val="16"/>
                <w:rtl w:val="0"/>
              </w:rPr>
              <w:t xml:space="preserve">17% vs 2%</w:t>
            </w:r>
            <w:r w:rsidDel="00000000" w:rsidR="00000000" w:rsidRPr="00000000">
              <w:rPr>
                <w:sz w:val="16"/>
                <w:szCs w:val="16"/>
                <w:rtl w:val="0"/>
              </w:rPr>
              <w:t xml:space="preserve">, hypersensitivity </w:t>
            </w:r>
            <w:r w:rsidDel="00000000" w:rsidR="00000000" w:rsidRPr="00000000">
              <w:rPr>
                <w:b w:val="1"/>
                <w:bCs w:val="1"/>
                <w:sz w:val="16"/>
                <w:szCs w:val="16"/>
                <w:rtl w:val="0"/>
              </w:rPr>
              <w:t xml:space="preserve">11% vs 5%</w:t>
            </w:r>
            <w:r w:rsidDel="00000000" w:rsidR="00000000" w:rsidRPr="00000000">
              <w:rPr>
                <w:sz w:val="16"/>
                <w:szCs w:val="16"/>
                <w:rtl w:val="0"/>
              </w:rPr>
              <w:t xml:space="preserve">, nausea </w:t>
            </w:r>
            <w:r w:rsidDel="00000000" w:rsidR="00000000" w:rsidRPr="00000000">
              <w:rPr>
                <w:b w:val="1"/>
                <w:bCs w:val="1"/>
                <w:sz w:val="16"/>
                <w:szCs w:val="16"/>
                <w:rtl w:val="0"/>
              </w:rPr>
              <w:t xml:space="preserve">10% vs 8%</w:t>
            </w:r>
            <w:r w:rsidDel="00000000" w:rsidR="00000000" w:rsidRPr="00000000">
              <w:rPr>
                <w:sz w:val="16"/>
                <w:szCs w:val="16"/>
                <w:rtl w:val="0"/>
              </w:rPr>
              <w:t xml:space="preserve">, administration-site reactions </w:t>
            </w:r>
            <w:r w:rsidDel="00000000" w:rsidR="00000000" w:rsidRPr="00000000">
              <w:rPr>
                <w:b w:val="1"/>
                <w:bCs w:val="1"/>
                <w:sz w:val="16"/>
                <w:szCs w:val="16"/>
                <w:rtl w:val="0"/>
              </w:rPr>
              <w:t xml:space="preserve">8% vs 3%</w:t>
            </w:r>
            <w:r w:rsidDel="00000000" w:rsidR="00000000" w:rsidRPr="00000000">
              <w:rPr>
                <w:sz w:val="16"/>
                <w:szCs w:val="16"/>
                <w:rtl w:val="0"/>
              </w:rPr>
              <w:t xml:space="preserve">; serious infections </w:t>
            </w:r>
            <w:r w:rsidDel="00000000" w:rsidR="00000000" w:rsidRPr="00000000">
              <w:rPr>
                <w:b w:val="1"/>
                <w:bCs w:val="1"/>
                <w:sz w:val="16"/>
                <w:szCs w:val="16"/>
                <w:rtl w:val="0"/>
              </w:rPr>
              <w:t xml:space="preserve">4%</w:t>
            </w:r>
            <w:r w:rsidDel="00000000" w:rsidR="00000000" w:rsidRPr="00000000">
              <w:rPr>
                <w:sz w:val="16"/>
                <w:szCs w:val="16"/>
                <w:rtl w:val="0"/>
              </w:rPr>
              <w:t xml:space="preserve"> overall; 3 fatal pneumonias in broader program; aseptic meningitis reported</w:t>
            </w:r>
            <w:r w:rsidDel="00000000" w:rsidR="00000000" w:rsidRPr="00000000">
              <w:rPr>
                <w:color w:val="0563c1"/>
                <w:sz w:val="18"/>
                <w:szCs w:val="18"/>
                <w:rtl w:val="0"/>
              </w:rPr>
              <w:t xml:space="preserve">[</w:t>
            </w:r>
            <w:hyperlink r:id="rId71">
              <w:r w:rsidDel="00000000" w:rsidR="00000000" w:rsidRPr="00000000">
                <w:rPr>
                  <w:color w:val="0563c1"/>
                  <w:sz w:val="18"/>
                  <w:szCs w:val="18"/>
                  <w:u w:val="single"/>
                  <w:rtl w:val="0"/>
                </w:rPr>
                <w:t xml:space="preserve">4</w:t>
              </w:r>
            </w:hyperlink>
            <w:r w:rsidDel="00000000" w:rsidR="00000000" w:rsidRPr="00000000">
              <w:rPr>
                <w:color w:val="0563c1"/>
                <w:sz w:val="18"/>
                <w:szCs w:val="18"/>
                <w:rtl w:val="0"/>
              </w:rPr>
              <w:t xml:space="preserve">]</w:t>
            </w:r>
            <w:r w:rsidDel="00000000" w:rsidR="00000000" w:rsidRPr="00000000">
              <w:rPr>
                <w:rtl w:val="0"/>
              </w:rPr>
            </w:r>
          </w:p>
        </w:tc>
        <w:tc>
          <w:tcPr>
            <w:shd w:fill="f8f9fa" w:val="clear"/>
          </w:tcPr>
          <w:p w:rsidR="00000000" w:rsidDel="00000000" w:rsidP="00000000" w:rsidRDefault="00000000" w:rsidRPr="00000000" w14:paraId="0000005C">
            <w:pPr>
              <w:rPr/>
            </w:pPr>
            <w:r w:rsidDel="00000000" w:rsidR="00000000" w:rsidRPr="00000000">
              <w:rPr>
                <w:sz w:val="16"/>
                <w:szCs w:val="16"/>
                <w:rtl w:val="0"/>
              </w:rPr>
              <w:t xml:space="preserve">Strong adult FcRn option; useful in MuSK+</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sz w:val="16"/>
                <w:szCs w:val="16"/>
                <w:rtl w:val="0"/>
              </w:rPr>
              <w:t xml:space="preserve">eculizumab</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6"/>
                <w:szCs w:val="16"/>
                <w:rtl w:val="0"/>
              </w:rPr>
              <w:t xml:space="preserve">Complement C5 inhibitor</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6"/>
                <w:szCs w:val="16"/>
                <w:rtl w:val="0"/>
              </w:rPr>
              <w:t xml:space="preserve">IV</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6"/>
                <w:szCs w:val="16"/>
                <w:rtl w:val="0"/>
              </w:rPr>
              <w:t xml:space="preserve">gMG in adult and pediatric patients ≥6 years, anti-AChR antibody positive</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6"/>
                <w:szCs w:val="16"/>
                <w:rtl w:val="0"/>
              </w:rPr>
              <w:t xml:space="preserve">• ECU-MG-301 (refractory targeted add-on, adults, AChR+): MG-ADL LS mean change at Week 26 </w:t>
            </w:r>
            <w:r w:rsidDel="00000000" w:rsidR="00000000" w:rsidRPr="00000000">
              <w:rPr>
                <w:b w:val="1"/>
                <w:bCs w:val="1"/>
                <w:sz w:val="16"/>
                <w:szCs w:val="16"/>
                <w:rtl w:val="0"/>
              </w:rPr>
              <w:t xml:space="preserve">-4.2 vs -2.3</w:t>
            </w:r>
            <w:r w:rsidDel="00000000" w:rsidR="00000000" w:rsidRPr="00000000">
              <w:rPr>
                <w:sz w:val="16"/>
                <w:szCs w:val="16"/>
                <w:rtl w:val="0"/>
              </w:rPr>
              <w:t xml:space="preserve">; difference </w:t>
            </w:r>
            <w:r w:rsidDel="00000000" w:rsidR="00000000" w:rsidRPr="00000000">
              <w:rPr>
                <w:b w:val="1"/>
                <w:bCs w:val="1"/>
                <w:sz w:val="16"/>
                <w:szCs w:val="16"/>
                <w:rtl w:val="0"/>
              </w:rPr>
              <w:t xml:space="preserve">-1.9</w:t>
            </w:r>
            <w:r w:rsidDel="00000000" w:rsidR="00000000" w:rsidRPr="00000000">
              <w:rPr>
                <w:sz w:val="16"/>
                <w:szCs w:val="16"/>
                <w:rtl w:val="0"/>
              </w:rPr>
              <w:t xml:space="preserve"> (95% CI </w:t>
            </w:r>
            <w:r w:rsidDel="00000000" w:rsidR="00000000" w:rsidRPr="00000000">
              <w:rPr>
                <w:b w:val="1"/>
                <w:bCs w:val="1"/>
                <w:sz w:val="16"/>
                <w:szCs w:val="16"/>
                <w:rtl w:val="0"/>
              </w:rPr>
              <w:t xml:space="preserve">-3.3 to -0.6</w:t>
            </w:r>
            <w:r w:rsidDel="00000000" w:rsidR="00000000" w:rsidRPr="00000000">
              <w:rPr>
                <w:sz w:val="16"/>
                <w:szCs w:val="16"/>
                <w:rtl w:val="0"/>
              </w:rPr>
              <w:t xml:space="preserve">), p=0.006</w:t>
            </w:r>
            <w:r w:rsidDel="00000000" w:rsidR="00000000" w:rsidRPr="00000000">
              <w:rPr>
                <w:color w:val="0563c1"/>
                <w:sz w:val="18"/>
                <w:szCs w:val="18"/>
                <w:rtl w:val="0"/>
              </w:rPr>
              <w:t xml:space="preserve">[</w:t>
            </w:r>
            <w:hyperlink r:id="rId72">
              <w:r w:rsidDel="00000000" w:rsidR="00000000" w:rsidRPr="00000000">
                <w:rPr>
                  <w:color w:val="0563c1"/>
                  <w:sz w:val="18"/>
                  <w:szCs w:val="18"/>
                  <w:u w:val="single"/>
                  <w:rtl w:val="0"/>
                </w:rPr>
                <w:t xml:space="preserve">2</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ECU-MG-301 (refractory targeted add-on, adults, AChR+): QMG LS mean change at Week 26 </w:t>
            </w:r>
            <w:r w:rsidDel="00000000" w:rsidR="00000000" w:rsidRPr="00000000">
              <w:rPr>
                <w:b w:val="1"/>
                <w:bCs w:val="1"/>
                <w:sz w:val="16"/>
                <w:szCs w:val="16"/>
                <w:rtl w:val="0"/>
              </w:rPr>
              <w:t xml:space="preserve">-4.6 vs -1.6</w:t>
            </w:r>
            <w:r w:rsidDel="00000000" w:rsidR="00000000" w:rsidRPr="00000000">
              <w:rPr>
                <w:sz w:val="16"/>
                <w:szCs w:val="16"/>
                <w:rtl w:val="0"/>
              </w:rPr>
              <w:t xml:space="preserve">; difference </w:t>
            </w:r>
            <w:r w:rsidDel="00000000" w:rsidR="00000000" w:rsidRPr="00000000">
              <w:rPr>
                <w:b w:val="1"/>
                <w:bCs w:val="1"/>
                <w:sz w:val="16"/>
                <w:szCs w:val="16"/>
                <w:rtl w:val="0"/>
              </w:rPr>
              <w:t xml:space="preserve">-3.0</w:t>
            </w:r>
            <w:r w:rsidDel="00000000" w:rsidR="00000000" w:rsidRPr="00000000">
              <w:rPr>
                <w:sz w:val="16"/>
                <w:szCs w:val="16"/>
                <w:rtl w:val="0"/>
              </w:rPr>
              <w:t xml:space="preserve"> (95% CI </w:t>
            </w:r>
            <w:r w:rsidDel="00000000" w:rsidR="00000000" w:rsidRPr="00000000">
              <w:rPr>
                <w:b w:val="1"/>
                <w:bCs w:val="1"/>
                <w:sz w:val="16"/>
                <w:szCs w:val="16"/>
                <w:rtl w:val="0"/>
              </w:rPr>
              <w:t xml:space="preserve">-4.6 to -1.3</w:t>
            </w:r>
            <w:r w:rsidDel="00000000" w:rsidR="00000000" w:rsidRPr="00000000">
              <w:rPr>
                <w:sz w:val="16"/>
                <w:szCs w:val="16"/>
                <w:rtl w:val="0"/>
              </w:rPr>
              <w:t xml:space="preserve">), p=0.001</w:t>
            </w:r>
            <w:r w:rsidDel="00000000" w:rsidR="00000000" w:rsidRPr="00000000">
              <w:rPr>
                <w:color w:val="0563c1"/>
                <w:sz w:val="18"/>
                <w:szCs w:val="18"/>
                <w:rtl w:val="0"/>
              </w:rPr>
              <w:t xml:space="preserve">[</w:t>
            </w:r>
            <w:hyperlink r:id="rId73">
              <w:r w:rsidDel="00000000" w:rsidR="00000000" w:rsidRPr="00000000">
                <w:rPr>
                  <w:color w:val="0563c1"/>
                  <w:sz w:val="18"/>
                  <w:szCs w:val="18"/>
                  <w:u w:val="single"/>
                  <w:rtl w:val="0"/>
                </w:rPr>
                <w:t xml:space="preserve">2</w:t>
              </w:r>
            </w:hyperlink>
            <w:r w:rsidDel="00000000" w:rsidR="00000000" w:rsidRPr="00000000">
              <w:rPr>
                <w:color w:val="0563c1"/>
                <w:sz w:val="18"/>
                <w:szCs w:val="18"/>
                <w:rtl w:val="0"/>
              </w:rPr>
              <w:t xml:space="preserve">]</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6"/>
                <w:szCs w:val="16"/>
                <w:rtl w:val="0"/>
              </w:rPr>
              <w:t xml:space="preserve">gMG AEs: musculoskeletal pain </w:t>
            </w:r>
            <w:r w:rsidDel="00000000" w:rsidR="00000000" w:rsidRPr="00000000">
              <w:rPr>
                <w:b w:val="1"/>
                <w:bCs w:val="1"/>
                <w:sz w:val="16"/>
                <w:szCs w:val="16"/>
                <w:rtl w:val="0"/>
              </w:rPr>
              <w:t xml:space="preserve">15% vs 8%</w:t>
            </w:r>
            <w:r w:rsidDel="00000000" w:rsidR="00000000" w:rsidRPr="00000000">
              <w:rPr>
                <w:sz w:val="16"/>
                <w:szCs w:val="16"/>
                <w:rtl w:val="0"/>
              </w:rPr>
              <w:t xml:space="preserve">, abdominal pain </w:t>
            </w:r>
            <w:r w:rsidDel="00000000" w:rsidR="00000000" w:rsidRPr="00000000">
              <w:rPr>
                <w:b w:val="1"/>
                <w:bCs w:val="1"/>
                <w:sz w:val="16"/>
                <w:szCs w:val="16"/>
                <w:rtl w:val="0"/>
              </w:rPr>
              <w:t xml:space="preserve">8% vs 5%</w:t>
            </w:r>
            <w:r w:rsidDel="00000000" w:rsidR="00000000" w:rsidRPr="00000000">
              <w:rPr>
                <w:sz w:val="16"/>
                <w:szCs w:val="16"/>
                <w:rtl w:val="0"/>
              </w:rPr>
              <w:t xml:space="preserve">, peripheral edema </w:t>
            </w:r>
            <w:r w:rsidDel="00000000" w:rsidR="00000000" w:rsidRPr="00000000">
              <w:rPr>
                <w:b w:val="1"/>
                <w:bCs w:val="1"/>
                <w:sz w:val="16"/>
                <w:szCs w:val="16"/>
                <w:rtl w:val="0"/>
              </w:rPr>
              <w:t xml:space="preserve">8% vs 5%</w:t>
            </w:r>
            <w:r w:rsidDel="00000000" w:rsidR="00000000" w:rsidRPr="00000000">
              <w:rPr>
                <w:sz w:val="16"/>
                <w:szCs w:val="16"/>
                <w:rtl w:val="0"/>
              </w:rPr>
              <w:t xml:space="preserve">, herpes simplex </w:t>
            </w:r>
            <w:r w:rsidDel="00000000" w:rsidR="00000000" w:rsidRPr="00000000">
              <w:rPr>
                <w:b w:val="1"/>
                <w:bCs w:val="1"/>
                <w:sz w:val="16"/>
                <w:szCs w:val="16"/>
                <w:rtl w:val="0"/>
              </w:rPr>
              <w:t xml:space="preserve">8% vs 2%</w:t>
            </w:r>
            <w:r w:rsidDel="00000000" w:rsidR="00000000" w:rsidRPr="00000000">
              <w:rPr>
                <w:sz w:val="16"/>
                <w:szCs w:val="16"/>
                <w:rtl w:val="0"/>
              </w:rPr>
              <w:t xml:space="preserve">, contusion </w:t>
            </w:r>
            <w:r w:rsidDel="00000000" w:rsidR="00000000" w:rsidRPr="00000000">
              <w:rPr>
                <w:b w:val="1"/>
                <w:bCs w:val="1"/>
                <w:sz w:val="16"/>
                <w:szCs w:val="16"/>
                <w:rtl w:val="0"/>
              </w:rPr>
              <w:t xml:space="preserve">8% vs 3%</w:t>
            </w:r>
            <w:r w:rsidDel="00000000" w:rsidR="00000000" w:rsidRPr="00000000">
              <w:rPr>
                <w:sz w:val="16"/>
                <w:szCs w:val="16"/>
                <w:rtl w:val="0"/>
              </w:rPr>
              <w:t xml:space="preserve">, pyrexia </w:t>
            </w:r>
            <w:r w:rsidDel="00000000" w:rsidR="00000000" w:rsidRPr="00000000">
              <w:rPr>
                <w:b w:val="1"/>
                <w:bCs w:val="1"/>
                <w:sz w:val="16"/>
                <w:szCs w:val="16"/>
                <w:rtl w:val="0"/>
              </w:rPr>
              <w:t xml:space="preserve">7% vs 3%</w:t>
            </w:r>
            <w:r w:rsidDel="00000000" w:rsidR="00000000" w:rsidRPr="00000000">
              <w:rPr>
                <w:sz w:val="16"/>
                <w:szCs w:val="16"/>
                <w:rtl w:val="0"/>
              </w:rPr>
              <w:t xml:space="preserve">; major risk is serious/fatal meningococcal infection despite vaccination and REMS restriction</w:t>
            </w:r>
            <w:r w:rsidDel="00000000" w:rsidR="00000000" w:rsidRPr="00000000">
              <w:rPr>
                <w:color w:val="0563c1"/>
                <w:sz w:val="18"/>
                <w:szCs w:val="18"/>
                <w:rtl w:val="0"/>
              </w:rPr>
              <w:t xml:space="preserve">[</w:t>
            </w:r>
            <w:hyperlink r:id="rId74">
              <w:r w:rsidDel="00000000" w:rsidR="00000000" w:rsidRPr="00000000">
                <w:rPr>
                  <w:color w:val="0563c1"/>
                  <w:sz w:val="18"/>
                  <w:szCs w:val="18"/>
                  <w:u w:val="single"/>
                  <w:rtl w:val="0"/>
                </w:rPr>
                <w:t xml:space="preserve">2</w:t>
              </w:r>
            </w:hyperlink>
            <w:r w:rsidDel="00000000" w:rsidR="00000000" w:rsidRPr="00000000">
              <w:rPr>
                <w:color w:val="0563c1"/>
                <w:sz w:val="18"/>
                <w:szCs w:val="18"/>
                <w:rtl w:val="0"/>
              </w:rPr>
              <w:t xml:space="preserve">]</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6"/>
                <w:szCs w:val="16"/>
                <w:rtl w:val="0"/>
              </w:rPr>
              <w:t xml:space="preserve">Refractory AChR+ disease; key complement option</w:t>
            </w:r>
            <w:r w:rsidDel="00000000" w:rsidR="00000000" w:rsidRPr="00000000">
              <w:rPr>
                <w:rtl w:val="0"/>
              </w:rPr>
            </w:r>
          </w:p>
        </w:tc>
      </w:tr>
      <w:tr>
        <w:trPr>
          <w:cantSplit w:val="0"/>
          <w:tblHeader w:val="0"/>
        </w:trPr>
        <w:tc>
          <w:tcPr>
            <w:shd w:fill="f8f9fa" w:val="clear"/>
          </w:tcPr>
          <w:p w:rsidR="00000000" w:rsidDel="00000000" w:rsidP="00000000" w:rsidRDefault="00000000" w:rsidRPr="00000000" w14:paraId="00000064">
            <w:pPr>
              <w:rPr/>
            </w:pPr>
            <w:r w:rsidDel="00000000" w:rsidR="00000000" w:rsidRPr="00000000">
              <w:rPr>
                <w:sz w:val="16"/>
                <w:szCs w:val="16"/>
                <w:rtl w:val="0"/>
              </w:rPr>
              <w:t xml:space="preserve">ravulizumab</w:t>
            </w:r>
            <w:r w:rsidDel="00000000" w:rsidR="00000000" w:rsidRPr="00000000">
              <w:rPr>
                <w:rtl w:val="0"/>
              </w:rPr>
            </w:r>
          </w:p>
        </w:tc>
        <w:tc>
          <w:tcPr>
            <w:shd w:fill="f8f9fa" w:val="clear"/>
          </w:tcPr>
          <w:p w:rsidR="00000000" w:rsidDel="00000000" w:rsidP="00000000" w:rsidRDefault="00000000" w:rsidRPr="00000000" w14:paraId="00000065">
            <w:pPr>
              <w:rPr/>
            </w:pPr>
            <w:r w:rsidDel="00000000" w:rsidR="00000000" w:rsidRPr="00000000">
              <w:rPr>
                <w:sz w:val="16"/>
                <w:szCs w:val="16"/>
                <w:rtl w:val="0"/>
              </w:rPr>
              <w:t xml:space="preserve">Complement C5 inhibitor</w:t>
            </w:r>
            <w:r w:rsidDel="00000000" w:rsidR="00000000" w:rsidRPr="00000000">
              <w:rPr>
                <w:rtl w:val="0"/>
              </w:rPr>
            </w:r>
          </w:p>
        </w:tc>
        <w:tc>
          <w:tcPr>
            <w:shd w:fill="f8f9fa" w:val="clear"/>
          </w:tcPr>
          <w:p w:rsidR="00000000" w:rsidDel="00000000" w:rsidP="00000000" w:rsidRDefault="00000000" w:rsidRPr="00000000" w14:paraId="00000066">
            <w:pPr>
              <w:rPr/>
            </w:pPr>
            <w:r w:rsidDel="00000000" w:rsidR="00000000" w:rsidRPr="00000000">
              <w:rPr>
                <w:sz w:val="16"/>
                <w:szCs w:val="16"/>
                <w:rtl w:val="0"/>
              </w:rPr>
              <w:t xml:space="preserve">IV</w:t>
            </w:r>
            <w:r w:rsidDel="00000000" w:rsidR="00000000" w:rsidRPr="00000000">
              <w:rPr>
                <w:rtl w:val="0"/>
              </w:rPr>
            </w:r>
          </w:p>
        </w:tc>
        <w:tc>
          <w:tcPr>
            <w:shd w:fill="f8f9fa" w:val="clear"/>
          </w:tcPr>
          <w:p w:rsidR="00000000" w:rsidDel="00000000" w:rsidP="00000000" w:rsidRDefault="00000000" w:rsidRPr="00000000" w14:paraId="00000067">
            <w:pPr>
              <w:rPr/>
            </w:pPr>
            <w:r w:rsidDel="00000000" w:rsidR="00000000" w:rsidRPr="00000000">
              <w:rPr>
                <w:sz w:val="16"/>
                <w:szCs w:val="16"/>
                <w:rtl w:val="0"/>
              </w:rPr>
              <w:t xml:space="preserve">Adult gMG, anti-AChR antibody positive</w:t>
            </w:r>
            <w:r w:rsidDel="00000000" w:rsidR="00000000" w:rsidRPr="00000000">
              <w:rPr>
                <w:rtl w:val="0"/>
              </w:rPr>
            </w:r>
          </w:p>
        </w:tc>
        <w:tc>
          <w:tcPr>
            <w:shd w:fill="f8f9fa" w:val="clear"/>
          </w:tcPr>
          <w:p w:rsidR="00000000" w:rsidDel="00000000" w:rsidP="00000000" w:rsidRDefault="00000000" w:rsidRPr="00000000" w14:paraId="00000068">
            <w:pPr>
              <w:rPr/>
            </w:pPr>
            <w:r w:rsidDel="00000000" w:rsidR="00000000" w:rsidRPr="00000000">
              <w:rPr>
                <w:sz w:val="16"/>
                <w:szCs w:val="16"/>
                <w:rtl w:val="0"/>
              </w:rPr>
              <w:t xml:space="preserve">• ALXN1210-MG-306 (targeted add-on, adults, AChR+): MG-ADL Week 26 LS mean change </w:t>
            </w:r>
            <w:r w:rsidDel="00000000" w:rsidR="00000000" w:rsidRPr="00000000">
              <w:rPr>
                <w:b w:val="1"/>
                <w:bCs w:val="1"/>
                <w:sz w:val="16"/>
                <w:szCs w:val="16"/>
                <w:rtl w:val="0"/>
              </w:rPr>
              <w:t xml:space="preserve">-3.1 vs -1.4</w:t>
            </w:r>
            <w:r w:rsidDel="00000000" w:rsidR="00000000" w:rsidRPr="00000000">
              <w:rPr>
                <w:sz w:val="16"/>
                <w:szCs w:val="16"/>
                <w:rtl w:val="0"/>
              </w:rPr>
              <w:t xml:space="preserve">; treatment effect </w:t>
            </w:r>
            <w:r w:rsidDel="00000000" w:rsidR="00000000" w:rsidRPr="00000000">
              <w:rPr>
                <w:b w:val="1"/>
                <w:bCs w:val="1"/>
                <w:sz w:val="16"/>
                <w:szCs w:val="16"/>
                <w:rtl w:val="0"/>
              </w:rPr>
              <w:t xml:space="preserve">-1.6</w:t>
            </w:r>
            <w:r w:rsidDel="00000000" w:rsidR="00000000" w:rsidRPr="00000000">
              <w:rPr>
                <w:sz w:val="16"/>
                <w:szCs w:val="16"/>
                <w:rtl w:val="0"/>
              </w:rPr>
              <w:t xml:space="preserve"> (95% CI </w:t>
            </w:r>
            <w:r w:rsidDel="00000000" w:rsidR="00000000" w:rsidRPr="00000000">
              <w:rPr>
                <w:b w:val="1"/>
                <w:bCs w:val="1"/>
                <w:sz w:val="16"/>
                <w:szCs w:val="16"/>
                <w:rtl w:val="0"/>
              </w:rPr>
              <w:t xml:space="preserve">-2.6 to -0.7</w:t>
            </w:r>
            <w:r w:rsidDel="00000000" w:rsidR="00000000" w:rsidRPr="00000000">
              <w:rPr>
                <w:sz w:val="16"/>
                <w:szCs w:val="16"/>
                <w:rtl w:val="0"/>
              </w:rPr>
              <w:t xml:space="preserve">), p&lt;0.001</w:t>
            </w:r>
            <w:r w:rsidDel="00000000" w:rsidR="00000000" w:rsidRPr="00000000">
              <w:rPr>
                <w:color w:val="0563c1"/>
                <w:sz w:val="18"/>
                <w:szCs w:val="18"/>
                <w:rtl w:val="0"/>
              </w:rPr>
              <w:t xml:space="preserve">[</w:t>
            </w:r>
            <w:hyperlink r:id="rId75">
              <w:r w:rsidDel="00000000" w:rsidR="00000000" w:rsidRPr="00000000">
                <w:rPr>
                  <w:color w:val="0563c1"/>
                  <w:sz w:val="18"/>
                  <w:szCs w:val="18"/>
                  <w:u w:val="single"/>
                  <w:rtl w:val="0"/>
                </w:rPr>
                <w:t xml:space="preserve">6</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ALXN1210-MG-306 (targeted add-on, adults, AChR+): QMG Week 26 LS mean change </w:t>
            </w:r>
            <w:r w:rsidDel="00000000" w:rsidR="00000000" w:rsidRPr="00000000">
              <w:rPr>
                <w:b w:val="1"/>
                <w:bCs w:val="1"/>
                <w:sz w:val="16"/>
                <w:szCs w:val="16"/>
                <w:rtl w:val="0"/>
              </w:rPr>
              <w:t xml:space="preserve">-2.8 vs -0.8</w:t>
            </w:r>
            <w:r w:rsidDel="00000000" w:rsidR="00000000" w:rsidRPr="00000000">
              <w:rPr>
                <w:sz w:val="16"/>
                <w:szCs w:val="16"/>
                <w:rtl w:val="0"/>
              </w:rPr>
              <w:t xml:space="preserve">; treatment effect </w:t>
            </w:r>
            <w:r w:rsidDel="00000000" w:rsidR="00000000" w:rsidRPr="00000000">
              <w:rPr>
                <w:b w:val="1"/>
                <w:bCs w:val="1"/>
                <w:sz w:val="16"/>
                <w:szCs w:val="16"/>
                <w:rtl w:val="0"/>
              </w:rPr>
              <w:t xml:space="preserve">-2.0</w:t>
            </w:r>
            <w:r w:rsidDel="00000000" w:rsidR="00000000" w:rsidRPr="00000000">
              <w:rPr>
                <w:sz w:val="16"/>
                <w:szCs w:val="16"/>
                <w:rtl w:val="0"/>
              </w:rPr>
              <w:t xml:space="preserve"> (95% CI </w:t>
            </w:r>
            <w:r w:rsidDel="00000000" w:rsidR="00000000" w:rsidRPr="00000000">
              <w:rPr>
                <w:b w:val="1"/>
                <w:bCs w:val="1"/>
                <w:sz w:val="16"/>
                <w:szCs w:val="16"/>
                <w:rtl w:val="0"/>
              </w:rPr>
              <w:t xml:space="preserve">-3.2 to -0.8</w:t>
            </w:r>
            <w:r w:rsidDel="00000000" w:rsidR="00000000" w:rsidRPr="00000000">
              <w:rPr>
                <w:sz w:val="16"/>
                <w:szCs w:val="16"/>
                <w:rtl w:val="0"/>
              </w:rPr>
              <w:t xml:space="preserve">), p&lt;0.001</w:t>
            </w:r>
            <w:r w:rsidDel="00000000" w:rsidR="00000000" w:rsidRPr="00000000">
              <w:rPr>
                <w:color w:val="0563c1"/>
                <w:sz w:val="18"/>
                <w:szCs w:val="18"/>
                <w:rtl w:val="0"/>
              </w:rPr>
              <w:t xml:space="preserve">[</w:t>
            </w:r>
            <w:hyperlink r:id="rId76">
              <w:r w:rsidDel="00000000" w:rsidR="00000000" w:rsidRPr="00000000">
                <w:rPr>
                  <w:color w:val="0563c1"/>
                  <w:sz w:val="18"/>
                  <w:szCs w:val="18"/>
                  <w:u w:val="single"/>
                  <w:rtl w:val="0"/>
                </w:rPr>
                <w:t xml:space="preserve">6</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ALXN1210-MG-306: MG-ADL responders ≥3-point improvement </w:t>
            </w:r>
            <w:r w:rsidDel="00000000" w:rsidR="00000000" w:rsidRPr="00000000">
              <w:rPr>
                <w:b w:val="1"/>
                <w:bCs w:val="1"/>
                <w:sz w:val="16"/>
                <w:szCs w:val="16"/>
                <w:rtl w:val="0"/>
              </w:rPr>
              <w:t xml:space="preserve">56.7% vs 34.1%</w:t>
            </w:r>
            <w:r w:rsidDel="00000000" w:rsidR="00000000" w:rsidRPr="00000000">
              <w:rPr>
                <w:sz w:val="16"/>
                <w:szCs w:val="16"/>
                <w:rtl w:val="0"/>
              </w:rPr>
              <w:t xml:space="preserve">; QMG responders ≥5-point improvement </w:t>
            </w:r>
            <w:r w:rsidDel="00000000" w:rsidR="00000000" w:rsidRPr="00000000">
              <w:rPr>
                <w:b w:val="1"/>
                <w:bCs w:val="1"/>
                <w:sz w:val="16"/>
                <w:szCs w:val="16"/>
                <w:rtl w:val="0"/>
              </w:rPr>
              <w:t xml:space="preserve">30.0% vs 11.3%</w:t>
            </w:r>
            <w:r w:rsidDel="00000000" w:rsidR="00000000" w:rsidRPr="00000000">
              <w:rPr>
                <w:sz w:val="16"/>
                <w:szCs w:val="16"/>
                <w:rtl w:val="0"/>
              </w:rPr>
              <w:t xml:space="preserve">, p=0.005</w:t>
            </w:r>
            <w:r w:rsidDel="00000000" w:rsidR="00000000" w:rsidRPr="00000000">
              <w:rPr>
                <w:color w:val="0563c1"/>
                <w:sz w:val="18"/>
                <w:szCs w:val="18"/>
                <w:rtl w:val="0"/>
              </w:rPr>
              <w:t xml:space="preserve">[</w:t>
            </w:r>
            <w:hyperlink r:id="rId77">
              <w:r w:rsidDel="00000000" w:rsidR="00000000" w:rsidRPr="00000000">
                <w:rPr>
                  <w:color w:val="0563c1"/>
                  <w:sz w:val="18"/>
                  <w:szCs w:val="18"/>
                  <w:u w:val="single"/>
                  <w:rtl w:val="0"/>
                </w:rPr>
                <w:t xml:space="preserve">6</w:t>
              </w:r>
            </w:hyperlink>
            <w:r w:rsidDel="00000000" w:rsidR="00000000" w:rsidRPr="00000000">
              <w:rPr>
                <w:color w:val="0563c1"/>
                <w:sz w:val="18"/>
                <w:szCs w:val="18"/>
                <w:rtl w:val="0"/>
              </w:rPr>
              <w:t xml:space="preserve">]</w:t>
            </w:r>
            <w:r w:rsidDel="00000000" w:rsidR="00000000" w:rsidRPr="00000000">
              <w:rPr>
                <w:rtl w:val="0"/>
              </w:rPr>
            </w:r>
          </w:p>
        </w:tc>
        <w:tc>
          <w:tcPr>
            <w:shd w:fill="f8f9fa" w:val="clear"/>
          </w:tcPr>
          <w:p w:rsidR="00000000" w:rsidDel="00000000" w:rsidP="00000000" w:rsidRDefault="00000000" w:rsidRPr="00000000" w14:paraId="00000069">
            <w:pPr>
              <w:rPr/>
            </w:pPr>
            <w:r w:rsidDel="00000000" w:rsidR="00000000" w:rsidRPr="00000000">
              <w:rPr>
                <w:sz w:val="16"/>
                <w:szCs w:val="16"/>
                <w:rtl w:val="0"/>
              </w:rPr>
              <w:t xml:space="preserve">gMG common AEs: diarrhea </w:t>
            </w:r>
            <w:r w:rsidDel="00000000" w:rsidR="00000000" w:rsidRPr="00000000">
              <w:rPr>
                <w:b w:val="1"/>
                <w:bCs w:val="1"/>
                <w:sz w:val="16"/>
                <w:szCs w:val="16"/>
                <w:rtl w:val="0"/>
              </w:rPr>
              <w:t xml:space="preserve">15% vs 12%</w:t>
            </w:r>
            <w:r w:rsidDel="00000000" w:rsidR="00000000" w:rsidRPr="00000000">
              <w:rPr>
                <w:sz w:val="16"/>
                <w:szCs w:val="16"/>
                <w:rtl w:val="0"/>
              </w:rPr>
              <w:t xml:space="preserve">, upper respiratory tract infection </w:t>
            </w:r>
            <w:r w:rsidDel="00000000" w:rsidR="00000000" w:rsidRPr="00000000">
              <w:rPr>
                <w:b w:val="1"/>
                <w:bCs w:val="1"/>
                <w:sz w:val="16"/>
                <w:szCs w:val="16"/>
                <w:rtl w:val="0"/>
              </w:rPr>
              <w:t xml:space="preserve">14% vs 8%</w:t>
            </w:r>
            <w:r w:rsidDel="00000000" w:rsidR="00000000" w:rsidRPr="00000000">
              <w:rPr>
                <w:sz w:val="16"/>
                <w:szCs w:val="16"/>
                <w:rtl w:val="0"/>
              </w:rPr>
              <w:t xml:space="preserve">, dizziness </w:t>
            </w:r>
            <w:r w:rsidDel="00000000" w:rsidR="00000000" w:rsidRPr="00000000">
              <w:rPr>
                <w:b w:val="1"/>
                <w:bCs w:val="1"/>
                <w:sz w:val="16"/>
                <w:szCs w:val="16"/>
                <w:rtl w:val="0"/>
              </w:rPr>
              <w:t xml:space="preserve">9% vs 3%</w:t>
            </w:r>
            <w:r w:rsidDel="00000000" w:rsidR="00000000" w:rsidRPr="00000000">
              <w:rPr>
                <w:sz w:val="16"/>
                <w:szCs w:val="16"/>
                <w:rtl w:val="0"/>
              </w:rPr>
              <w:t xml:space="preserve">, back pain </w:t>
            </w:r>
            <w:r w:rsidDel="00000000" w:rsidR="00000000" w:rsidRPr="00000000">
              <w:rPr>
                <w:b w:val="1"/>
                <w:bCs w:val="1"/>
                <w:sz w:val="16"/>
                <w:szCs w:val="16"/>
                <w:rtl w:val="0"/>
              </w:rPr>
              <w:t xml:space="preserve">8% vs 6%</w:t>
            </w:r>
            <w:r w:rsidDel="00000000" w:rsidR="00000000" w:rsidRPr="00000000">
              <w:rPr>
                <w:sz w:val="16"/>
                <w:szCs w:val="16"/>
                <w:rtl w:val="0"/>
              </w:rPr>
              <w:t xml:space="preserve">, abdominal pain </w:t>
            </w:r>
            <w:r w:rsidDel="00000000" w:rsidR="00000000" w:rsidRPr="00000000">
              <w:rPr>
                <w:b w:val="1"/>
                <w:bCs w:val="1"/>
                <w:sz w:val="16"/>
                <w:szCs w:val="16"/>
                <w:rtl w:val="0"/>
              </w:rPr>
              <w:t xml:space="preserve">6% vs 0%</w:t>
            </w:r>
            <w:r w:rsidDel="00000000" w:rsidR="00000000" w:rsidRPr="00000000">
              <w:rPr>
                <w:sz w:val="16"/>
                <w:szCs w:val="16"/>
                <w:rtl w:val="0"/>
              </w:rPr>
              <w:t xml:space="preserve">, UTI </w:t>
            </w:r>
            <w:r w:rsidDel="00000000" w:rsidR="00000000" w:rsidRPr="00000000">
              <w:rPr>
                <w:b w:val="1"/>
                <w:bCs w:val="1"/>
                <w:sz w:val="16"/>
                <w:szCs w:val="16"/>
                <w:rtl w:val="0"/>
              </w:rPr>
              <w:t xml:space="preserve">6% vs 4%</w:t>
            </w:r>
            <w:r w:rsidDel="00000000" w:rsidR="00000000" w:rsidRPr="00000000">
              <w:rPr>
                <w:sz w:val="16"/>
                <w:szCs w:val="16"/>
                <w:rtl w:val="0"/>
              </w:rPr>
              <w:t xml:space="preserve">; serious adverse reactions </w:t>
            </w:r>
            <w:r w:rsidDel="00000000" w:rsidR="00000000" w:rsidRPr="00000000">
              <w:rPr>
                <w:b w:val="1"/>
                <w:bCs w:val="1"/>
                <w:sz w:val="16"/>
                <w:szCs w:val="16"/>
                <w:rtl w:val="0"/>
              </w:rPr>
              <w:t xml:space="preserve">23% vs 16%</w:t>
            </w:r>
            <w:r w:rsidDel="00000000" w:rsidR="00000000" w:rsidRPr="00000000">
              <w:rPr>
                <w:sz w:val="16"/>
                <w:szCs w:val="16"/>
                <w:rtl w:val="0"/>
              </w:rPr>
              <w:t xml:space="preserve">, with infections </w:t>
            </w:r>
            <w:r w:rsidDel="00000000" w:rsidR="00000000" w:rsidRPr="00000000">
              <w:rPr>
                <w:b w:val="1"/>
                <w:bCs w:val="1"/>
                <w:sz w:val="16"/>
                <w:szCs w:val="16"/>
                <w:rtl w:val="0"/>
              </w:rPr>
              <w:t xml:space="preserve">9% vs 4%</w:t>
            </w:r>
            <w:r w:rsidDel="00000000" w:rsidR="00000000" w:rsidRPr="00000000">
              <w:rPr>
                <w:sz w:val="16"/>
                <w:szCs w:val="16"/>
                <w:rtl w:val="0"/>
              </w:rPr>
              <w:t xml:space="preserve">; one fatal COVID-19 pneumonia; meningococcal risk/REMS</w:t>
            </w:r>
            <w:r w:rsidDel="00000000" w:rsidR="00000000" w:rsidRPr="00000000">
              <w:rPr>
                <w:color w:val="0563c1"/>
                <w:sz w:val="18"/>
                <w:szCs w:val="18"/>
                <w:rtl w:val="0"/>
              </w:rPr>
              <w:t xml:space="preserve">[</w:t>
            </w:r>
            <w:hyperlink r:id="rId78">
              <w:r w:rsidDel="00000000" w:rsidR="00000000" w:rsidRPr="00000000">
                <w:rPr>
                  <w:color w:val="0563c1"/>
                  <w:sz w:val="18"/>
                  <w:szCs w:val="18"/>
                  <w:u w:val="single"/>
                  <w:rtl w:val="0"/>
                </w:rPr>
                <w:t xml:space="preserve">6</w:t>
              </w:r>
            </w:hyperlink>
            <w:r w:rsidDel="00000000" w:rsidR="00000000" w:rsidRPr="00000000">
              <w:rPr>
                <w:color w:val="0563c1"/>
                <w:sz w:val="18"/>
                <w:szCs w:val="18"/>
                <w:rtl w:val="0"/>
              </w:rPr>
              <w:t xml:space="preserve">]</w:t>
            </w:r>
            <w:r w:rsidDel="00000000" w:rsidR="00000000" w:rsidRPr="00000000">
              <w:rPr>
                <w:rtl w:val="0"/>
              </w:rPr>
            </w:r>
          </w:p>
        </w:tc>
        <w:tc>
          <w:tcPr>
            <w:shd w:fill="f8f9fa" w:val="clear"/>
          </w:tcPr>
          <w:p w:rsidR="00000000" w:rsidDel="00000000" w:rsidP="00000000" w:rsidRDefault="00000000" w:rsidRPr="00000000" w14:paraId="0000006A">
            <w:pPr>
              <w:rPr/>
            </w:pPr>
            <w:r w:rsidDel="00000000" w:rsidR="00000000" w:rsidRPr="00000000">
              <w:rPr>
                <w:sz w:val="16"/>
                <w:szCs w:val="16"/>
                <w:rtl w:val="0"/>
              </w:rPr>
              <w:t xml:space="preserve">Preferred long-interval complement inhibitor</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sz w:val="16"/>
                <w:szCs w:val="16"/>
                <w:rtl w:val="0"/>
              </w:rPr>
              <w:t xml:space="preserve">zilucoplan</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16"/>
                <w:szCs w:val="16"/>
                <w:rtl w:val="0"/>
              </w:rPr>
              <w:t xml:space="preserve">Complement C5 inhibitor</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6"/>
                <w:szCs w:val="16"/>
                <w:rtl w:val="0"/>
              </w:rPr>
              <w:t xml:space="preserve">SC</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6"/>
                <w:szCs w:val="16"/>
                <w:rtl w:val="0"/>
              </w:rPr>
              <w:t xml:space="preserve">Adult gMG, anti-AChR antibody positive</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6"/>
                <w:szCs w:val="16"/>
                <w:rtl w:val="0"/>
              </w:rPr>
              <w:t xml:space="preserve">• Study 1 (targeted add-on, adults, AChR+): MG-ADL Week 12 LS mean change </w:t>
            </w:r>
            <w:r w:rsidDel="00000000" w:rsidR="00000000" w:rsidRPr="00000000">
              <w:rPr>
                <w:b w:val="1"/>
                <w:bCs w:val="1"/>
                <w:sz w:val="16"/>
                <w:szCs w:val="16"/>
                <w:rtl w:val="0"/>
              </w:rPr>
              <w:t xml:space="preserve">-4.39 vs -2.30</w:t>
            </w:r>
            <w:r w:rsidDel="00000000" w:rsidR="00000000" w:rsidRPr="00000000">
              <w:rPr>
                <w:sz w:val="16"/>
                <w:szCs w:val="16"/>
                <w:rtl w:val="0"/>
              </w:rPr>
              <w:t xml:space="preserve">; difference </w:t>
            </w:r>
            <w:r w:rsidDel="00000000" w:rsidR="00000000" w:rsidRPr="00000000">
              <w:rPr>
                <w:b w:val="1"/>
                <w:bCs w:val="1"/>
                <w:sz w:val="16"/>
                <w:szCs w:val="16"/>
                <w:rtl w:val="0"/>
              </w:rPr>
              <w:t xml:space="preserve">-2.09</w:t>
            </w:r>
            <w:r w:rsidDel="00000000" w:rsidR="00000000" w:rsidRPr="00000000">
              <w:rPr>
                <w:sz w:val="16"/>
                <w:szCs w:val="16"/>
                <w:rtl w:val="0"/>
              </w:rPr>
              <w:t xml:space="preserve"> (95% CI </w:t>
            </w:r>
            <w:r w:rsidDel="00000000" w:rsidR="00000000" w:rsidRPr="00000000">
              <w:rPr>
                <w:b w:val="1"/>
                <w:bCs w:val="1"/>
                <w:sz w:val="16"/>
                <w:szCs w:val="16"/>
                <w:rtl w:val="0"/>
              </w:rPr>
              <w:t xml:space="preserve">-3.24 to -0.95</w:t>
            </w:r>
            <w:r w:rsidDel="00000000" w:rsidR="00000000" w:rsidRPr="00000000">
              <w:rPr>
                <w:sz w:val="16"/>
                <w:szCs w:val="16"/>
                <w:rtl w:val="0"/>
              </w:rPr>
              <w:t xml:space="preserve">), p&lt;0.001</w:t>
            </w:r>
            <w:r w:rsidDel="00000000" w:rsidR="00000000" w:rsidRPr="00000000">
              <w:rPr>
                <w:color w:val="0563c1"/>
                <w:sz w:val="18"/>
                <w:szCs w:val="18"/>
                <w:rtl w:val="0"/>
              </w:rPr>
              <w:t xml:space="preserve">[</w:t>
            </w:r>
            <w:hyperlink r:id="rId79">
              <w:r w:rsidDel="00000000" w:rsidR="00000000" w:rsidRPr="00000000">
                <w:rPr>
                  <w:color w:val="0563c1"/>
                  <w:sz w:val="18"/>
                  <w:szCs w:val="18"/>
                  <w:u w:val="single"/>
                  <w:rtl w:val="0"/>
                </w:rPr>
                <w:t xml:space="preserve">5</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Study 1 (targeted add-on, adults, AChR+): QMG Week 12 LS mean change </w:t>
            </w:r>
            <w:r w:rsidDel="00000000" w:rsidR="00000000" w:rsidRPr="00000000">
              <w:rPr>
                <w:b w:val="1"/>
                <w:bCs w:val="1"/>
                <w:sz w:val="16"/>
                <w:szCs w:val="16"/>
                <w:rtl w:val="0"/>
              </w:rPr>
              <w:t xml:space="preserve">-6.19 vs -3.25</w:t>
            </w:r>
            <w:r w:rsidDel="00000000" w:rsidR="00000000" w:rsidRPr="00000000">
              <w:rPr>
                <w:sz w:val="16"/>
                <w:szCs w:val="16"/>
                <w:rtl w:val="0"/>
              </w:rPr>
              <w:t xml:space="preserve">; difference </w:t>
            </w:r>
            <w:r w:rsidDel="00000000" w:rsidR="00000000" w:rsidRPr="00000000">
              <w:rPr>
                <w:b w:val="1"/>
                <w:bCs w:val="1"/>
                <w:sz w:val="16"/>
                <w:szCs w:val="16"/>
                <w:rtl w:val="0"/>
              </w:rPr>
              <w:t xml:space="preserve">-2.94</w:t>
            </w:r>
            <w:r w:rsidDel="00000000" w:rsidR="00000000" w:rsidRPr="00000000">
              <w:rPr>
                <w:sz w:val="16"/>
                <w:szCs w:val="16"/>
                <w:rtl w:val="0"/>
              </w:rPr>
              <w:t xml:space="preserve"> (95% CI </w:t>
            </w:r>
            <w:r w:rsidDel="00000000" w:rsidR="00000000" w:rsidRPr="00000000">
              <w:rPr>
                <w:b w:val="1"/>
                <w:bCs w:val="1"/>
                <w:sz w:val="16"/>
                <w:szCs w:val="16"/>
                <w:rtl w:val="0"/>
              </w:rPr>
              <w:t xml:space="preserve">-4.39 to -1.49</w:t>
            </w:r>
            <w:r w:rsidDel="00000000" w:rsidR="00000000" w:rsidRPr="00000000">
              <w:rPr>
                <w:sz w:val="16"/>
                <w:szCs w:val="16"/>
                <w:rtl w:val="0"/>
              </w:rPr>
              <w:t xml:space="preserve">), p&lt;0.001</w:t>
            </w:r>
            <w:r w:rsidDel="00000000" w:rsidR="00000000" w:rsidRPr="00000000">
              <w:rPr>
                <w:color w:val="0563c1"/>
                <w:sz w:val="18"/>
                <w:szCs w:val="18"/>
                <w:rtl w:val="0"/>
              </w:rPr>
              <w:t xml:space="preserve">[</w:t>
            </w:r>
            <w:hyperlink r:id="rId80">
              <w:r w:rsidDel="00000000" w:rsidR="00000000" w:rsidRPr="00000000">
                <w:rPr>
                  <w:color w:val="0563c1"/>
                  <w:sz w:val="18"/>
                  <w:szCs w:val="18"/>
                  <w:u w:val="single"/>
                  <w:rtl w:val="0"/>
                </w:rPr>
                <w:t xml:space="preserve">5</w:t>
              </w:r>
            </w:hyperlink>
            <w:r w:rsidDel="00000000" w:rsidR="00000000" w:rsidRPr="00000000">
              <w:rPr>
                <w:color w:val="0563c1"/>
                <w:sz w:val="18"/>
                <w:szCs w:val="18"/>
                <w:rtl w:val="0"/>
              </w:rPr>
              <w:t xml:space="preserve">]</w:t>
            </w:r>
            <w:r w:rsidDel="00000000" w:rsidR="00000000" w:rsidRPr="00000000">
              <w:rPr>
                <w:sz w:val="16"/>
                <w:szCs w:val="16"/>
                <w:rtl w:val="0"/>
              </w:rPr>
              <w:t xml:space="preserve"> </w:t>
              <w:br w:type="textWrapping"/>
              <w:t xml:space="preserve">• Study 1: MG-ADL responders ≥3-point improvement </w:t>
            </w:r>
            <w:r w:rsidDel="00000000" w:rsidR="00000000" w:rsidRPr="00000000">
              <w:rPr>
                <w:b w:val="1"/>
                <w:bCs w:val="1"/>
                <w:sz w:val="16"/>
                <w:szCs w:val="16"/>
                <w:rtl w:val="0"/>
              </w:rPr>
              <w:t xml:space="preserve">73.1% vs 46.1%</w:t>
            </w:r>
            <w:r w:rsidDel="00000000" w:rsidR="00000000" w:rsidRPr="00000000">
              <w:rPr>
                <w:sz w:val="16"/>
                <w:szCs w:val="16"/>
                <w:rtl w:val="0"/>
              </w:rPr>
              <w:t xml:space="preserve">, p&lt;0.001; QMG responders ≥5-point improvement </w:t>
            </w:r>
            <w:r w:rsidDel="00000000" w:rsidR="00000000" w:rsidRPr="00000000">
              <w:rPr>
                <w:b w:val="1"/>
                <w:bCs w:val="1"/>
                <w:sz w:val="16"/>
                <w:szCs w:val="16"/>
                <w:rtl w:val="0"/>
              </w:rPr>
              <w:t xml:space="preserve">58% vs 33%</w:t>
            </w:r>
            <w:r w:rsidDel="00000000" w:rsidR="00000000" w:rsidRPr="00000000">
              <w:rPr>
                <w:sz w:val="16"/>
                <w:szCs w:val="16"/>
                <w:rtl w:val="0"/>
              </w:rPr>
              <w:t xml:space="preserve">, p=0.0012</w:t>
            </w:r>
            <w:r w:rsidDel="00000000" w:rsidR="00000000" w:rsidRPr="00000000">
              <w:rPr>
                <w:color w:val="0563c1"/>
                <w:sz w:val="18"/>
                <w:szCs w:val="18"/>
                <w:rtl w:val="0"/>
              </w:rPr>
              <w:t xml:space="preserve">[</w:t>
            </w:r>
            <w:hyperlink r:id="rId81">
              <w:r w:rsidDel="00000000" w:rsidR="00000000" w:rsidRPr="00000000">
                <w:rPr>
                  <w:color w:val="0563c1"/>
                  <w:sz w:val="18"/>
                  <w:szCs w:val="18"/>
                  <w:u w:val="single"/>
                  <w:rtl w:val="0"/>
                </w:rPr>
                <w:t xml:space="preserve">5</w:t>
              </w:r>
            </w:hyperlink>
            <w:r w:rsidDel="00000000" w:rsidR="00000000" w:rsidRPr="00000000">
              <w:rPr>
                <w:color w:val="0563c1"/>
                <w:sz w:val="18"/>
                <w:szCs w:val="18"/>
                <w:rtl w:val="0"/>
              </w:rPr>
              <w:t xml:space="preserv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6"/>
                <w:szCs w:val="16"/>
                <w:rtl w:val="0"/>
              </w:rPr>
              <w:t xml:space="preserve">Injection-site reactions </w:t>
            </w:r>
            <w:r w:rsidDel="00000000" w:rsidR="00000000" w:rsidRPr="00000000">
              <w:rPr>
                <w:b w:val="1"/>
                <w:bCs w:val="1"/>
                <w:sz w:val="16"/>
                <w:szCs w:val="16"/>
                <w:rtl w:val="0"/>
              </w:rPr>
              <w:t xml:space="preserve">29% vs 16%</w:t>
            </w:r>
            <w:r w:rsidDel="00000000" w:rsidR="00000000" w:rsidRPr="00000000">
              <w:rPr>
                <w:sz w:val="16"/>
                <w:szCs w:val="16"/>
                <w:rtl w:val="0"/>
              </w:rPr>
              <w:t xml:space="preserve">, URTI </w:t>
            </w:r>
            <w:r w:rsidDel="00000000" w:rsidR="00000000" w:rsidRPr="00000000">
              <w:rPr>
                <w:b w:val="1"/>
                <w:bCs w:val="1"/>
                <w:sz w:val="16"/>
                <w:szCs w:val="16"/>
                <w:rtl w:val="0"/>
              </w:rPr>
              <w:t xml:space="preserve">14% vs 7%</w:t>
            </w:r>
            <w:r w:rsidDel="00000000" w:rsidR="00000000" w:rsidRPr="00000000">
              <w:rPr>
                <w:sz w:val="16"/>
                <w:szCs w:val="16"/>
                <w:rtl w:val="0"/>
              </w:rPr>
              <w:t xml:space="preserve">, diarrhea </w:t>
            </w:r>
            <w:r w:rsidDel="00000000" w:rsidR="00000000" w:rsidRPr="00000000">
              <w:rPr>
                <w:b w:val="1"/>
                <w:bCs w:val="1"/>
                <w:sz w:val="16"/>
                <w:szCs w:val="16"/>
                <w:rtl w:val="0"/>
              </w:rPr>
              <w:t xml:space="preserve">11% vs 2%</w:t>
            </w:r>
            <w:r w:rsidDel="00000000" w:rsidR="00000000" w:rsidRPr="00000000">
              <w:rPr>
                <w:sz w:val="16"/>
                <w:szCs w:val="16"/>
                <w:rtl w:val="0"/>
              </w:rPr>
              <w:t xml:space="preserve">, UTI </w:t>
            </w:r>
            <w:r w:rsidDel="00000000" w:rsidR="00000000" w:rsidRPr="00000000">
              <w:rPr>
                <w:b w:val="1"/>
                <w:bCs w:val="1"/>
                <w:sz w:val="16"/>
                <w:szCs w:val="16"/>
                <w:rtl w:val="0"/>
              </w:rPr>
              <w:t xml:space="preserve">8% vs 5%</w:t>
            </w:r>
            <w:r w:rsidDel="00000000" w:rsidR="00000000" w:rsidRPr="00000000">
              <w:rPr>
                <w:sz w:val="16"/>
                <w:szCs w:val="16"/>
                <w:rtl w:val="0"/>
              </w:rPr>
              <w:t xml:space="preserve">, nausea/vomiting </w:t>
            </w:r>
            <w:r w:rsidDel="00000000" w:rsidR="00000000" w:rsidRPr="00000000">
              <w:rPr>
                <w:b w:val="1"/>
                <w:bCs w:val="1"/>
                <w:sz w:val="16"/>
                <w:szCs w:val="16"/>
                <w:rtl w:val="0"/>
              </w:rPr>
              <w:t xml:space="preserve">8% vs 7%</w:t>
            </w:r>
            <w:r w:rsidDel="00000000" w:rsidR="00000000" w:rsidRPr="00000000">
              <w:rPr>
                <w:sz w:val="16"/>
                <w:szCs w:val="16"/>
                <w:rtl w:val="0"/>
              </w:rPr>
              <w:t xml:space="preserve">, lipase increased </w:t>
            </w:r>
            <w:r w:rsidDel="00000000" w:rsidR="00000000" w:rsidRPr="00000000">
              <w:rPr>
                <w:b w:val="1"/>
                <w:bCs w:val="1"/>
                <w:sz w:val="16"/>
                <w:szCs w:val="16"/>
                <w:rtl w:val="0"/>
              </w:rPr>
              <w:t xml:space="preserve">7% vs 0%</w:t>
            </w:r>
            <w:r w:rsidDel="00000000" w:rsidR="00000000" w:rsidRPr="00000000">
              <w:rPr>
                <w:sz w:val="16"/>
                <w:szCs w:val="16"/>
                <w:rtl w:val="0"/>
              </w:rPr>
              <w:t xml:space="preserve">, amylase increased </w:t>
            </w:r>
            <w:r w:rsidDel="00000000" w:rsidR="00000000" w:rsidRPr="00000000">
              <w:rPr>
                <w:b w:val="1"/>
                <w:bCs w:val="1"/>
                <w:sz w:val="16"/>
                <w:szCs w:val="16"/>
                <w:rtl w:val="0"/>
              </w:rPr>
              <w:t xml:space="preserve">5% vs 1%</w:t>
            </w:r>
            <w:r w:rsidDel="00000000" w:rsidR="00000000" w:rsidRPr="00000000">
              <w:rPr>
                <w:sz w:val="16"/>
                <w:szCs w:val="16"/>
                <w:rtl w:val="0"/>
              </w:rPr>
              <w:t xml:space="preserve">; pancreatitis/pancreatic cysts reported in extension; serious meningococcal risk and REMS</w:t>
            </w:r>
            <w:r w:rsidDel="00000000" w:rsidR="00000000" w:rsidRPr="00000000">
              <w:rPr>
                <w:color w:val="0563c1"/>
                <w:sz w:val="18"/>
                <w:szCs w:val="18"/>
                <w:rtl w:val="0"/>
              </w:rPr>
              <w:t xml:space="preserve">[</w:t>
            </w:r>
            <w:hyperlink r:id="rId82">
              <w:r w:rsidDel="00000000" w:rsidR="00000000" w:rsidRPr="00000000">
                <w:rPr>
                  <w:color w:val="0563c1"/>
                  <w:sz w:val="18"/>
                  <w:szCs w:val="18"/>
                  <w:u w:val="single"/>
                  <w:rtl w:val="0"/>
                </w:rPr>
                <w:t xml:space="preserve">5</w:t>
              </w:r>
            </w:hyperlink>
            <w:r w:rsidDel="00000000" w:rsidR="00000000" w:rsidRPr="00000000">
              <w:rPr>
                <w:color w:val="0563c1"/>
                <w:sz w:val="18"/>
                <w:szCs w:val="18"/>
                <w:rtl w:val="0"/>
              </w:rPr>
              <w:t xml:space="preserv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6"/>
                <w:szCs w:val="16"/>
                <w:rtl w:val="0"/>
              </w:rPr>
              <w:t xml:space="preserve">Self-injected complement option; fast, potent but daily</w:t>
            </w:r>
            <w:r w:rsidDel="00000000" w:rsidR="00000000" w:rsidRPr="00000000">
              <w:rPr>
                <w:rtl w:val="0"/>
              </w:rPr>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Special Populations</w:t>
      </w:r>
    </w:p>
    <w:p w:rsidR="00000000" w:rsidDel="00000000" w:rsidP="00000000" w:rsidRDefault="00000000" w:rsidRPr="00000000" w14:paraId="00000074">
      <w:pPr>
        <w:pStyle w:val="Heading2"/>
        <w:rPr/>
      </w:pPr>
      <w:r w:rsidDel="00000000" w:rsidR="00000000" w:rsidRPr="00000000">
        <w:rPr>
          <w:rtl w:val="0"/>
        </w:rPr>
        <w:t xml:space="preserve">Pediatric</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Best options: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Eculizumab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is the earliest approved targeted drug for gMG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AChR-positive, age ≥6 years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83">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Nipocalimab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is approved for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AChR- or MuSK-positive patients ≥12 years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had pediatric PK/safety support</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84">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Earliest approved age: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eculizumab at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 years</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85">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Restrictions: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Efgartigimod IV/SC, rozanolixizumab, ravulizumab, and zilucoplan do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have established pediatric gMG use</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86">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7</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87">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9</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88">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4</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89">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6</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90">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5</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Complement inhibitors require meningococcal vaccination/REMS</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91">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9">
      <w:pPr>
        <w:pStyle w:val="Heading2"/>
        <w:rPr/>
      </w:pPr>
      <w:r w:rsidDel="00000000" w:rsidR="00000000" w:rsidRPr="00000000">
        <w:rPr>
          <w:rtl w:val="0"/>
        </w:rPr>
        <w:t xml:space="preserve">Pregnancy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Human pregnancy data are limited for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FcRn blockers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several labels warn that lowering maternal IgG may reduce passive neonatal immunity; live vaccines in exposed infants may need special consideration</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92">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7</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93">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9</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94">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Eculizumab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has the most reassuring human experience among these agents, with pooled exposure data in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&gt;300 pregnancies with live births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not suggesting a specific safety signal, though data remain limited</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95">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Ravulizumab, rozanolixizumab, zilucoplan, nipocalimab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no adequate human-risk definition; animal findings raise concern</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96">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6</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97">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4</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98">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5</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99">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D">
      <w:pPr>
        <w:pStyle w:val="Heading2"/>
        <w:rPr/>
      </w:pPr>
      <w:r w:rsidDel="00000000" w:rsidR="00000000" w:rsidRPr="00000000">
        <w:rPr>
          <w:rtl w:val="0"/>
        </w:rPr>
        <w:t xml:space="preserve">Lactation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Eculizumab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has limited published data not detecting drug in human milk, but infant-risk certainty is still limited</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00">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Nipocalimab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is excreted in human colostrum/breastmilk in limited data</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01">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Efgartigimod products, rozanolixizumab, zilucoplan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no adequate human milk data; maternal IgG is known to be present in milk</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02">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7</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03">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9</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04">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4</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05">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5</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Ravulizumab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label advises discontinuing breastfeeding during treatment and for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 months after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final dose</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06">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6</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2">
      <w:pPr>
        <w:pStyle w:val="Heading2"/>
        <w:rPr/>
      </w:pPr>
      <w:r w:rsidDel="00000000" w:rsidR="00000000" w:rsidRPr="00000000">
        <w:rPr>
          <w:rtl w:val="0"/>
        </w:rPr>
        <w:t xml:space="preserve">Elderly</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targeted gMG drug has strong elderly-specific evidence; most labels state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insufficient numbers ≥65 years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determine differential response</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07">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7</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08">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09">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4</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10">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5</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Eculizumab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ravulizumab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include some older-adult exposure without clear age-related differences, but numbers remain limited</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11">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hyperlink r:id="rId112">
        <w:r w:rsidDel="00000000" w:rsidR="00000000" w:rsidRPr="00000000">
          <w:rPr>
            <w:rFonts w:ascii="Calibri" w:cs="Calibri" w:eastAsia="Calibri" w:hAnsi="Calibri"/>
            <w:b w:val="0"/>
            <w:bCs w:val="0"/>
            <w:i w:val="0"/>
            <w:iCs w:val="0"/>
            <w:smallCaps w:val="0"/>
            <w:strike w:val="0"/>
            <w:color w:val="0563c1"/>
            <w:sz w:val="18"/>
            <w:szCs w:val="18"/>
            <w:u w:val="single"/>
            <w:shd w:fill="auto" w:val="clear"/>
            <w:vertAlign w:val="baseline"/>
            <w:rtl w:val="0"/>
          </w:rPr>
          <w:t xml:space="preserve">6</w:t>
        </w:r>
      </w:hyperlink>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practice, selection is driven more by comorbidity burden: infection susceptibility may favor caution with FcRn blockers, while meningococcal-risk/REMS burden may complicate complement inhibitors </w:t>
      </w:r>
      <w:r w:rsidDel="00000000" w:rsidR="00000000" w:rsidRPr="00000000">
        <w:rPr>
          <w:rFonts w:ascii="Calibri" w:cs="Calibri" w:eastAsia="Calibri" w:hAnsi="Calibri"/>
          <w:b w:val="0"/>
          <w:bCs w:val="0"/>
          <w:i w:val="0"/>
          <w:iCs w:val="0"/>
          <w:smallCaps w:val="0"/>
          <w:strike w:val="0"/>
          <w:color w:val="0563c1"/>
          <w:sz w:val="18"/>
          <w:szCs w:val="18"/>
          <w:u w:val="none"/>
          <w:shd w:fill="auto" w:val="clear"/>
          <w:vertAlign w:val="baseline"/>
          <w:rtl w:val="0"/>
        </w:rPr>
        <w:t xml:space="preserve">[G1][G2]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sectPr>
      <w:pgSz w:h="12240" w:w="15840" w:orient="landscape"/>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ccessdata.fda.gov/spl/data/64417957-79df-4c96-b5f6-0c6608be316f/64417957-79df-4c96-b5f6-0c6608be316f.xml" TargetMode="External"/><Relationship Id="rId42" Type="http://schemas.openxmlformats.org/officeDocument/2006/relationships/hyperlink" Target="https://www.accessdata.fda.gov/spl/data/9fcc72ab-e368-485e-95e1-fda4ef5abc5c/9fcc72ab-e368-485e-95e1-fda4ef5abc5c.xml" TargetMode="External"/><Relationship Id="rId41" Type="http://schemas.openxmlformats.org/officeDocument/2006/relationships/hyperlink" Target="https://www.accessdata.fda.gov/spl/data/39710b30-82c5-1f80-e063-6294a90a22f1/39710b30-82c5-1f80-e063-6294a90a22f1.xml" TargetMode="External"/><Relationship Id="rId44" Type="http://schemas.openxmlformats.org/officeDocument/2006/relationships/hyperlink" Target="https://www.accessdata.fda.gov/spl/data/9fcc72ab-e368-485e-95e1-fda4ef5abc5c/9fcc72ab-e368-485e-95e1-fda4ef5abc5c.xml" TargetMode="External"/><Relationship Id="rId43" Type="http://schemas.openxmlformats.org/officeDocument/2006/relationships/hyperlink" Target="https://www.accessdata.fda.gov/spl/data/388e2dd2-9db9-be7f-e063-6394a90a78d0/388e2dd2-9db9-be7f-e063-6394a90a78d0.xml" TargetMode="External"/><Relationship Id="rId46" Type="http://schemas.openxmlformats.org/officeDocument/2006/relationships/hyperlink" Target="https://www.accessdata.fda.gov/spl/data/9fcc72ab-e368-485e-95e1-fda4ef5abc5c/9fcc72ab-e368-485e-95e1-fda4ef5abc5c.xml" TargetMode="External"/><Relationship Id="rId45" Type="http://schemas.openxmlformats.org/officeDocument/2006/relationships/hyperlink" Target="https://www.accessdata.fda.gov/spl/data/347a9376-5865-d57f-e063-6394a90a4ad4/347a9376-5865-d57f-e063-6394a90a4ad4.xml" TargetMode="External"/><Relationship Id="rId107" Type="http://schemas.openxmlformats.org/officeDocument/2006/relationships/hyperlink" Target="https://www.accessdata.fda.gov/spl/data/9fcc72ab-e368-485e-95e1-fda4ef5abc5c/9fcc72ab-e368-485e-95e1-fda4ef5abc5c.xml" TargetMode="External"/><Relationship Id="rId106" Type="http://schemas.openxmlformats.org/officeDocument/2006/relationships/hyperlink" Target="https://www.accessdata.fda.gov/spl/data/64417957-79df-4c96-b5f6-0c6608be316f/64417957-79df-4c96-b5f6-0c6608be316f.xml" TargetMode="External"/><Relationship Id="rId105" Type="http://schemas.openxmlformats.org/officeDocument/2006/relationships/hyperlink" Target="https://www.accessdata.fda.gov/spl/data/39710b30-82c5-1f80-e063-6294a90a22f1/39710b30-82c5-1f80-e063-6294a90a22f1.xml" TargetMode="External"/><Relationship Id="rId104" Type="http://schemas.openxmlformats.org/officeDocument/2006/relationships/hyperlink" Target="https://www.accessdata.fda.gov/spl/data/388e2dd2-9db9-be7f-e063-6394a90a78d0/388e2dd2-9db9-be7f-e063-6394a90a78d0.xml" TargetMode="External"/><Relationship Id="rId109" Type="http://schemas.openxmlformats.org/officeDocument/2006/relationships/hyperlink" Target="https://www.accessdata.fda.gov/spl/data/388e2dd2-9db9-be7f-e063-6394a90a78d0/388e2dd2-9db9-be7f-e063-6394a90a78d0.xml" TargetMode="External"/><Relationship Id="rId108" Type="http://schemas.openxmlformats.org/officeDocument/2006/relationships/hyperlink" Target="https://www.accessdata.fda.gov/spl/data/347a9376-5865-d57f-e063-6394a90a4ad4/347a9376-5865-d57f-e063-6394a90a4ad4.xml" TargetMode="External"/><Relationship Id="rId48" Type="http://schemas.openxmlformats.org/officeDocument/2006/relationships/hyperlink" Target="https://www.accessdata.fda.gov/spl/data/347a9376-5865-d57f-e063-6394a90a4ad4/347a9376-5865-d57f-e063-6394a90a4ad4.xml" TargetMode="External"/><Relationship Id="rId47" Type="http://schemas.openxmlformats.org/officeDocument/2006/relationships/hyperlink" Target="https://www.accessdata.fda.gov/spl/data/b1ce196a-d3fc-4758-a46b-4c3165251b08/b1ce196a-d3fc-4758-a46b-4c3165251b08.xml" TargetMode="External"/><Relationship Id="rId49" Type="http://schemas.openxmlformats.org/officeDocument/2006/relationships/hyperlink" Target="https://www.accessdata.fda.gov/spl/data/388e2dd2-9db9-be7f-e063-6394a90a78d0/388e2dd2-9db9-be7f-e063-6394a90a78d0.xml" TargetMode="External"/><Relationship Id="rId103" Type="http://schemas.openxmlformats.org/officeDocument/2006/relationships/hyperlink" Target="https://www.accessdata.fda.gov/spl/data/b1ce196a-d3fc-4758-a46b-4c3165251b08/b1ce196a-d3fc-4758-a46b-4c3165251b08.xml" TargetMode="External"/><Relationship Id="rId102" Type="http://schemas.openxmlformats.org/officeDocument/2006/relationships/hyperlink" Target="https://www.accessdata.fda.gov/spl/data/9fcc72ab-e368-485e-95e1-fda4ef5abc5c/9fcc72ab-e368-485e-95e1-fda4ef5abc5c.xml" TargetMode="External"/><Relationship Id="rId101" Type="http://schemas.openxmlformats.org/officeDocument/2006/relationships/hyperlink" Target="https://www.accessdata.fda.gov/spl/data/347a9376-5865-d57f-e063-6394a90a4ad4/347a9376-5865-d57f-e063-6394a90a4ad4.xml" TargetMode="External"/><Relationship Id="rId100" Type="http://schemas.openxmlformats.org/officeDocument/2006/relationships/hyperlink" Target="https://www.accessdata.fda.gov/spl/data/25021c88-95e1-42f0-b895-921526b90642/25021c88-95e1-42f0-b895-921526b90642.xml" TargetMode="External"/><Relationship Id="rId31" Type="http://schemas.openxmlformats.org/officeDocument/2006/relationships/hyperlink" Target="https://www.accessdata.fda.gov/spl/data/347a9376-5865-d57f-e063-6394a90a4ad4/347a9376-5865-d57f-e063-6394a90a4ad4.xml" TargetMode="External"/><Relationship Id="rId30" Type="http://schemas.openxmlformats.org/officeDocument/2006/relationships/hyperlink" Target="https://www.accessdata.fda.gov/spl/data/388e2dd2-9db9-be7f-e063-6394a90a78d0/388e2dd2-9db9-be7f-e063-6394a90a78d0.xml" TargetMode="External"/><Relationship Id="rId33" Type="http://schemas.openxmlformats.org/officeDocument/2006/relationships/hyperlink" Target="https://www.accessdata.fda.gov/spl/data/b1ce196a-d3fc-4758-a46b-4c3165251b08/b1ce196a-d3fc-4758-a46b-4c3165251b08.xml" TargetMode="External"/><Relationship Id="rId32" Type="http://schemas.openxmlformats.org/officeDocument/2006/relationships/hyperlink" Target="https://www.accessdata.fda.gov/spl/data/25021c88-95e1-42f0-b895-921526b90642/25021c88-95e1-42f0-b895-921526b90642.xml" TargetMode="External"/><Relationship Id="rId35" Type="http://schemas.openxmlformats.org/officeDocument/2006/relationships/hyperlink" Target="https://www.accessdata.fda.gov/spl/data/64417957-79df-4c96-b5f6-0c6608be316f/64417957-79df-4c96-b5f6-0c6608be316f.xml" TargetMode="External"/><Relationship Id="rId34" Type="http://schemas.openxmlformats.org/officeDocument/2006/relationships/hyperlink" Target="https://www.accessdata.fda.gov/spl/data/39710b30-82c5-1f80-e063-6294a90a22f1/39710b30-82c5-1f80-e063-6294a90a22f1.xml" TargetMode="External"/><Relationship Id="rId37" Type="http://schemas.openxmlformats.org/officeDocument/2006/relationships/hyperlink" Target="https://www.accessdata.fda.gov/spl/data/9fcc72ab-e368-485e-95e1-fda4ef5abc5c/9fcc72ab-e368-485e-95e1-fda4ef5abc5c.xml" TargetMode="External"/><Relationship Id="rId36" Type="http://schemas.openxmlformats.org/officeDocument/2006/relationships/hyperlink" Target="https://www.accessdata.fda.gov/spl/data/25021c88-95e1-42f0-b895-921526b90642/25021c88-95e1-42f0-b895-921526b90642.xml" TargetMode="External"/><Relationship Id="rId39" Type="http://schemas.openxmlformats.org/officeDocument/2006/relationships/hyperlink" Target="https://www.accessdata.fda.gov/spl/data/25021c88-95e1-42f0-b895-921526b90642/25021c88-95e1-42f0-b895-921526b90642.xml" TargetMode="External"/><Relationship Id="rId38" Type="http://schemas.openxmlformats.org/officeDocument/2006/relationships/hyperlink" Target="https://www.accessdata.fda.gov/spl/data/347a9376-5865-d57f-e063-6394a90a4ad4/347a9376-5865-d57f-e063-6394a90a4ad4.xml" TargetMode="External"/><Relationship Id="rId20" Type="http://schemas.openxmlformats.org/officeDocument/2006/relationships/hyperlink" Target="https://www.accessdata.fda.gov/spl/data/39710b30-82c5-1f80-e063-6294a90a22f1/39710b30-82c5-1f80-e063-6294a90a22f1.xml" TargetMode="External"/><Relationship Id="rId22" Type="http://schemas.openxmlformats.org/officeDocument/2006/relationships/hyperlink" Target="https://www.accessdata.fda.gov/spl/data/9fcc72ab-e368-485e-95e1-fda4ef5abc5c/9fcc72ab-e368-485e-95e1-fda4ef5abc5c.xml" TargetMode="External"/><Relationship Id="rId21" Type="http://schemas.openxmlformats.org/officeDocument/2006/relationships/image" Target="media/image1.png"/><Relationship Id="rId24" Type="http://schemas.openxmlformats.org/officeDocument/2006/relationships/hyperlink" Target="https://www.accessdata.fda.gov/spl/data/388e2dd2-9db9-be7f-e063-6394a90a78d0/388e2dd2-9db9-be7f-e063-6394a90a78d0.xml" TargetMode="External"/><Relationship Id="rId23" Type="http://schemas.openxmlformats.org/officeDocument/2006/relationships/hyperlink" Target="https://www.accessdata.fda.gov/spl/data/b1ce196a-d3fc-4758-a46b-4c3165251b08/b1ce196a-d3fc-4758-a46b-4c3165251b08.xml" TargetMode="External"/><Relationship Id="rId26" Type="http://schemas.openxmlformats.org/officeDocument/2006/relationships/hyperlink" Target="https://www.accessdata.fda.gov/spl/data/25021c88-95e1-42f0-b895-921526b90642/25021c88-95e1-42f0-b895-921526b90642.xml" TargetMode="External"/><Relationship Id="rId25" Type="http://schemas.openxmlformats.org/officeDocument/2006/relationships/hyperlink" Target="https://www.accessdata.fda.gov/spl/data/347a9376-5865-d57f-e063-6394a90a4ad4/347a9376-5865-d57f-e063-6394a90a4ad4.xml" TargetMode="External"/><Relationship Id="rId28" Type="http://schemas.openxmlformats.org/officeDocument/2006/relationships/hyperlink" Target="https://www.accessdata.fda.gov/spl/data/39710b30-82c5-1f80-e063-6294a90a22f1/39710b30-82c5-1f80-e063-6294a90a22f1.xml" TargetMode="External"/><Relationship Id="rId27" Type="http://schemas.openxmlformats.org/officeDocument/2006/relationships/hyperlink" Target="https://www.accessdata.fda.gov/spl/data/64417957-79df-4c96-b5f6-0c6608be316f/64417957-79df-4c96-b5f6-0c6608be316f.xml" TargetMode="External"/><Relationship Id="rId29" Type="http://schemas.openxmlformats.org/officeDocument/2006/relationships/hyperlink" Target="https://www.accessdata.fda.gov/spl/data/347a9376-5865-d57f-e063-6394a90a4ad4/347a9376-5865-d57f-e063-6394a90a4ad4.xml" TargetMode="External"/><Relationship Id="rId95" Type="http://schemas.openxmlformats.org/officeDocument/2006/relationships/hyperlink" Target="https://www.accessdata.fda.gov/spl/data/25021c88-95e1-42f0-b895-921526b90642/25021c88-95e1-42f0-b895-921526b90642.xml" TargetMode="External"/><Relationship Id="rId94" Type="http://schemas.openxmlformats.org/officeDocument/2006/relationships/hyperlink" Target="https://www.accessdata.fda.gov/spl/data/347a9376-5865-d57f-e063-6394a90a4ad4/347a9376-5865-d57f-e063-6394a90a4ad4.xml" TargetMode="External"/><Relationship Id="rId97" Type="http://schemas.openxmlformats.org/officeDocument/2006/relationships/hyperlink" Target="https://www.accessdata.fda.gov/spl/data/388e2dd2-9db9-be7f-e063-6394a90a78d0/388e2dd2-9db9-be7f-e063-6394a90a78d0.xml" TargetMode="External"/><Relationship Id="rId96" Type="http://schemas.openxmlformats.org/officeDocument/2006/relationships/hyperlink" Target="https://www.accessdata.fda.gov/spl/data/64417957-79df-4c96-b5f6-0c6608be316f/64417957-79df-4c96-b5f6-0c6608be316f.xml" TargetMode="External"/><Relationship Id="rId11" Type="http://schemas.openxmlformats.org/officeDocument/2006/relationships/hyperlink" Target="https://www.accessdata.fda.gov/spl/data/64417957-79df-4c96-b5f6-0c6608be316f/64417957-79df-4c96-b5f6-0c6608be316f.xml" TargetMode="External"/><Relationship Id="rId99" Type="http://schemas.openxmlformats.org/officeDocument/2006/relationships/hyperlink" Target="https://www.accessdata.fda.gov/spl/data/347a9376-5865-d57f-e063-6394a90a4ad4/347a9376-5865-d57f-e063-6394a90a4ad4.xml" TargetMode="External"/><Relationship Id="rId10" Type="http://schemas.openxmlformats.org/officeDocument/2006/relationships/hyperlink" Target="https://www.accessdata.fda.gov/spl/data/388e2dd2-9db9-be7f-e063-6394a90a78d0/388e2dd2-9db9-be7f-e063-6394a90a78d0.xml" TargetMode="External"/><Relationship Id="rId98" Type="http://schemas.openxmlformats.org/officeDocument/2006/relationships/hyperlink" Target="https://www.accessdata.fda.gov/spl/data/39710b30-82c5-1f80-e063-6294a90a22f1/39710b30-82c5-1f80-e063-6294a90a22f1.xml" TargetMode="External"/><Relationship Id="rId13" Type="http://schemas.openxmlformats.org/officeDocument/2006/relationships/hyperlink" Target="https://www.accessdata.fda.gov/spl/data/39710b30-82c5-1f80-e063-6294a90a22f1/39710b30-82c5-1f80-e063-6294a90a22f1.xml" TargetMode="External"/><Relationship Id="rId12" Type="http://schemas.openxmlformats.org/officeDocument/2006/relationships/hyperlink" Target="https://www.accessdata.fda.gov/spl/data/25021c88-95e1-42f0-b895-921526b90642/25021c88-95e1-42f0-b895-921526b90642.xml" TargetMode="External"/><Relationship Id="rId91" Type="http://schemas.openxmlformats.org/officeDocument/2006/relationships/hyperlink" Target="https://www.accessdata.fda.gov/spl/data/25021c88-95e1-42f0-b895-921526b90642/25021c88-95e1-42f0-b895-921526b90642.xml" TargetMode="External"/><Relationship Id="rId90" Type="http://schemas.openxmlformats.org/officeDocument/2006/relationships/hyperlink" Target="https://www.accessdata.fda.gov/spl/data/39710b30-82c5-1f80-e063-6294a90a22f1/39710b30-82c5-1f80-e063-6294a90a22f1.xml" TargetMode="External"/><Relationship Id="rId93" Type="http://schemas.openxmlformats.org/officeDocument/2006/relationships/hyperlink" Target="https://www.accessdata.fda.gov/spl/data/b1ce196a-d3fc-4758-a46b-4c3165251b08/b1ce196a-d3fc-4758-a46b-4c3165251b08.xml" TargetMode="External"/><Relationship Id="rId92" Type="http://schemas.openxmlformats.org/officeDocument/2006/relationships/hyperlink" Target="https://www.accessdata.fda.gov/spl/data/9fcc72ab-e368-485e-95e1-fda4ef5abc5c/9fcc72ab-e368-485e-95e1-fda4ef5abc5c.xml" TargetMode="External"/><Relationship Id="rId15" Type="http://schemas.openxmlformats.org/officeDocument/2006/relationships/hyperlink" Target="https://www.accessdata.fda.gov/spl/data/64417957-79df-4c96-b5f6-0c6608be316f/64417957-79df-4c96-b5f6-0c6608be316f.xml" TargetMode="External"/><Relationship Id="rId110" Type="http://schemas.openxmlformats.org/officeDocument/2006/relationships/hyperlink" Target="https://www.accessdata.fda.gov/spl/data/39710b30-82c5-1f80-e063-6294a90a22f1/39710b30-82c5-1f80-e063-6294a90a22f1.xml" TargetMode="External"/><Relationship Id="rId14" Type="http://schemas.openxmlformats.org/officeDocument/2006/relationships/hyperlink" Target="https://www.accessdata.fda.gov/spl/data/25021c88-95e1-42f0-b895-921526b90642/25021c88-95e1-42f0-b895-921526b90642.xml" TargetMode="External"/><Relationship Id="rId17" Type="http://schemas.openxmlformats.org/officeDocument/2006/relationships/hyperlink" Target="https://www.accessdata.fda.gov/spl/data/347a9376-5865-d57f-e063-6394a90a4ad4/347a9376-5865-d57f-e063-6394a90a4ad4.xml" TargetMode="External"/><Relationship Id="rId16" Type="http://schemas.openxmlformats.org/officeDocument/2006/relationships/hyperlink" Target="https://www.accessdata.fda.gov/spl/data/388e2dd2-9db9-be7f-e063-6394a90a78d0/388e2dd2-9db9-be7f-e063-6394a90a78d0.xml" TargetMode="External"/><Relationship Id="rId19" Type="http://schemas.openxmlformats.org/officeDocument/2006/relationships/hyperlink" Target="https://www.accessdata.fda.gov/spl/data/64417957-79df-4c96-b5f6-0c6608be316f/64417957-79df-4c96-b5f6-0c6608be316f.xml" TargetMode="External"/><Relationship Id="rId18" Type="http://schemas.openxmlformats.org/officeDocument/2006/relationships/hyperlink" Target="https://www.accessdata.fda.gov/spl/data/25021c88-95e1-42f0-b895-921526b90642/25021c88-95e1-42f0-b895-921526b90642.xml" TargetMode="External"/><Relationship Id="rId112" Type="http://schemas.openxmlformats.org/officeDocument/2006/relationships/hyperlink" Target="https://www.accessdata.fda.gov/spl/data/64417957-79df-4c96-b5f6-0c6608be316f/64417957-79df-4c96-b5f6-0c6608be316f.xml" TargetMode="External"/><Relationship Id="rId111" Type="http://schemas.openxmlformats.org/officeDocument/2006/relationships/hyperlink" Target="https://www.accessdata.fda.gov/spl/data/25021c88-95e1-42f0-b895-921526b90642/25021c88-95e1-42f0-b895-921526b90642.xml" TargetMode="External"/><Relationship Id="rId84" Type="http://schemas.openxmlformats.org/officeDocument/2006/relationships/hyperlink" Target="https://www.accessdata.fda.gov/spl/data/347a9376-5865-d57f-e063-6394a90a4ad4/347a9376-5865-d57f-e063-6394a90a4ad4.xml" TargetMode="External"/><Relationship Id="rId83" Type="http://schemas.openxmlformats.org/officeDocument/2006/relationships/hyperlink" Target="https://www.accessdata.fda.gov/spl/data/25021c88-95e1-42f0-b895-921526b90642/25021c88-95e1-42f0-b895-921526b90642.xml" TargetMode="External"/><Relationship Id="rId86" Type="http://schemas.openxmlformats.org/officeDocument/2006/relationships/hyperlink" Target="https://www.accessdata.fda.gov/spl/data/9fcc72ab-e368-485e-95e1-fda4ef5abc5c/9fcc72ab-e368-485e-95e1-fda4ef5abc5c.xml" TargetMode="External"/><Relationship Id="rId85" Type="http://schemas.openxmlformats.org/officeDocument/2006/relationships/hyperlink" Target="https://www.accessdata.fda.gov/spl/data/25021c88-95e1-42f0-b895-921526b90642/25021c88-95e1-42f0-b895-921526b90642.xml" TargetMode="External"/><Relationship Id="rId88" Type="http://schemas.openxmlformats.org/officeDocument/2006/relationships/hyperlink" Target="https://www.accessdata.fda.gov/spl/data/388e2dd2-9db9-be7f-e063-6394a90a78d0/388e2dd2-9db9-be7f-e063-6394a90a78d0.xml" TargetMode="External"/><Relationship Id="rId87" Type="http://schemas.openxmlformats.org/officeDocument/2006/relationships/hyperlink" Target="https://www.accessdata.fda.gov/spl/data/b1ce196a-d3fc-4758-a46b-4c3165251b08/b1ce196a-d3fc-4758-a46b-4c3165251b08.xml" TargetMode="External"/><Relationship Id="rId89" Type="http://schemas.openxmlformats.org/officeDocument/2006/relationships/hyperlink" Target="https://www.accessdata.fda.gov/spl/data/64417957-79df-4c96-b5f6-0c6608be316f/64417957-79df-4c96-b5f6-0c6608be316f.xml" TargetMode="External"/><Relationship Id="rId80" Type="http://schemas.openxmlformats.org/officeDocument/2006/relationships/hyperlink" Target="https://www.accessdata.fda.gov/spl/data/39710b30-82c5-1f80-e063-6294a90a22f1/39710b30-82c5-1f80-e063-6294a90a22f1.xml" TargetMode="External"/><Relationship Id="rId82" Type="http://schemas.openxmlformats.org/officeDocument/2006/relationships/hyperlink" Target="https://www.accessdata.fda.gov/spl/data/39710b30-82c5-1f80-e063-6294a90a22f1/39710b30-82c5-1f80-e063-6294a90a22f1.xml" TargetMode="External"/><Relationship Id="rId81" Type="http://schemas.openxmlformats.org/officeDocument/2006/relationships/hyperlink" Target="https://www.accessdata.fda.gov/spl/data/39710b30-82c5-1f80-e063-6294a90a22f1/39710b30-82c5-1f80-e063-6294a90a22f1.x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ccessdata.fda.gov/spl/data/b1ce196a-d3fc-4758-a46b-4c3165251b08/b1ce196a-d3fc-4758-a46b-4c3165251b08.x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ccessdata.fda.gov/spl/data/347a9376-5865-d57f-e063-6394a90a4ad4/347a9376-5865-d57f-e063-6394a90a4ad4.xml" TargetMode="External"/><Relationship Id="rId8" Type="http://schemas.openxmlformats.org/officeDocument/2006/relationships/hyperlink" Target="https://www.accessdata.fda.gov/spl/data/9fcc72ab-e368-485e-95e1-fda4ef5abc5c/9fcc72ab-e368-485e-95e1-fda4ef5abc5c.xml" TargetMode="External"/><Relationship Id="rId73" Type="http://schemas.openxmlformats.org/officeDocument/2006/relationships/hyperlink" Target="https://www.accessdata.fda.gov/spl/data/25021c88-95e1-42f0-b895-921526b90642/25021c88-95e1-42f0-b895-921526b90642.xml" TargetMode="External"/><Relationship Id="rId72" Type="http://schemas.openxmlformats.org/officeDocument/2006/relationships/hyperlink" Target="https://www.accessdata.fda.gov/spl/data/25021c88-95e1-42f0-b895-921526b90642/25021c88-95e1-42f0-b895-921526b90642.xml" TargetMode="External"/><Relationship Id="rId75" Type="http://schemas.openxmlformats.org/officeDocument/2006/relationships/hyperlink" Target="https://www.accessdata.fda.gov/spl/data/64417957-79df-4c96-b5f6-0c6608be316f/64417957-79df-4c96-b5f6-0c6608be316f.xml" TargetMode="External"/><Relationship Id="rId74" Type="http://schemas.openxmlformats.org/officeDocument/2006/relationships/hyperlink" Target="https://www.accessdata.fda.gov/spl/data/25021c88-95e1-42f0-b895-921526b90642/25021c88-95e1-42f0-b895-921526b90642.xml" TargetMode="External"/><Relationship Id="rId77" Type="http://schemas.openxmlformats.org/officeDocument/2006/relationships/hyperlink" Target="https://www.accessdata.fda.gov/spl/data/64417957-79df-4c96-b5f6-0c6608be316f/64417957-79df-4c96-b5f6-0c6608be316f.xml" TargetMode="External"/><Relationship Id="rId76" Type="http://schemas.openxmlformats.org/officeDocument/2006/relationships/hyperlink" Target="https://www.accessdata.fda.gov/spl/data/64417957-79df-4c96-b5f6-0c6608be316f/64417957-79df-4c96-b5f6-0c6608be316f.xml" TargetMode="External"/><Relationship Id="rId79" Type="http://schemas.openxmlformats.org/officeDocument/2006/relationships/hyperlink" Target="https://www.accessdata.fda.gov/spl/data/39710b30-82c5-1f80-e063-6294a90a22f1/39710b30-82c5-1f80-e063-6294a90a22f1.xml" TargetMode="External"/><Relationship Id="rId78" Type="http://schemas.openxmlformats.org/officeDocument/2006/relationships/hyperlink" Target="https://www.accessdata.fda.gov/spl/data/64417957-79df-4c96-b5f6-0c6608be316f/64417957-79df-4c96-b5f6-0c6608be316f.xml" TargetMode="External"/><Relationship Id="rId71" Type="http://schemas.openxmlformats.org/officeDocument/2006/relationships/hyperlink" Target="https://www.accessdata.fda.gov/spl/data/388e2dd2-9db9-be7f-e063-6394a90a78d0/388e2dd2-9db9-be7f-e063-6394a90a78d0.xml" TargetMode="External"/><Relationship Id="rId70" Type="http://schemas.openxmlformats.org/officeDocument/2006/relationships/hyperlink" Target="https://www.accessdata.fda.gov/spl/data/388e2dd2-9db9-be7f-e063-6394a90a78d0/388e2dd2-9db9-be7f-e063-6394a90a78d0.xml" TargetMode="External"/><Relationship Id="rId62" Type="http://schemas.openxmlformats.org/officeDocument/2006/relationships/hyperlink" Target="https://www.accessdata.fda.gov/spl/data/9fcc72ab-e368-485e-95e1-fda4ef5abc5c/9fcc72ab-e368-485e-95e1-fda4ef5abc5c.xml" TargetMode="External"/><Relationship Id="rId61" Type="http://schemas.openxmlformats.org/officeDocument/2006/relationships/hyperlink" Target="https://www.accessdata.fda.gov/spl/data/9fcc72ab-e368-485e-95e1-fda4ef5abc5c/9fcc72ab-e368-485e-95e1-fda4ef5abc5c.xml" TargetMode="External"/><Relationship Id="rId64" Type="http://schemas.openxmlformats.org/officeDocument/2006/relationships/hyperlink" Target="https://www.accessdata.fda.gov/spl/data/b1ce196a-d3fc-4758-a46b-4c3165251b08/b1ce196a-d3fc-4758-a46b-4c3165251b08.xml" TargetMode="External"/><Relationship Id="rId63" Type="http://schemas.openxmlformats.org/officeDocument/2006/relationships/hyperlink" Target="https://www.accessdata.fda.gov/spl/data/b1ce196a-d3fc-4758-a46b-4c3165251b08/b1ce196a-d3fc-4758-a46b-4c3165251b08.xml" TargetMode="External"/><Relationship Id="rId66" Type="http://schemas.openxmlformats.org/officeDocument/2006/relationships/hyperlink" Target="https://www.accessdata.fda.gov/spl/data/347a9376-5865-d57f-e063-6394a90a4ad4/347a9376-5865-d57f-e063-6394a90a4ad4.xml" TargetMode="External"/><Relationship Id="rId65" Type="http://schemas.openxmlformats.org/officeDocument/2006/relationships/hyperlink" Target="https://www.accessdata.fda.gov/spl/data/b1ce196a-d3fc-4758-a46b-4c3165251b08/b1ce196a-d3fc-4758-a46b-4c3165251b08.xml" TargetMode="External"/><Relationship Id="rId68" Type="http://schemas.openxmlformats.org/officeDocument/2006/relationships/hyperlink" Target="https://www.accessdata.fda.gov/spl/data/347a9376-5865-d57f-e063-6394a90a4ad4/347a9376-5865-d57f-e063-6394a90a4ad4.xml" TargetMode="External"/><Relationship Id="rId67" Type="http://schemas.openxmlformats.org/officeDocument/2006/relationships/hyperlink" Target="https://www.accessdata.fda.gov/spl/data/347a9376-5865-d57f-e063-6394a90a4ad4/347a9376-5865-d57f-e063-6394a90a4ad4.xml" TargetMode="External"/><Relationship Id="rId60" Type="http://schemas.openxmlformats.org/officeDocument/2006/relationships/hyperlink" Target="https://www.accessdata.fda.gov/spl/data/9fcc72ab-e368-485e-95e1-fda4ef5abc5c/9fcc72ab-e368-485e-95e1-fda4ef5abc5c.xml" TargetMode="External"/><Relationship Id="rId69" Type="http://schemas.openxmlformats.org/officeDocument/2006/relationships/hyperlink" Target="https://www.accessdata.fda.gov/spl/data/388e2dd2-9db9-be7f-e063-6394a90a78d0/388e2dd2-9db9-be7f-e063-6394a90a78d0.xml" TargetMode="External"/><Relationship Id="rId51" Type="http://schemas.openxmlformats.org/officeDocument/2006/relationships/hyperlink" Target="https://www.accessdata.fda.gov/spl/data/388e2dd2-9db9-be7f-e063-6394a90a78d0/388e2dd2-9db9-be7f-e063-6394a90a78d0.xml" TargetMode="External"/><Relationship Id="rId50" Type="http://schemas.openxmlformats.org/officeDocument/2006/relationships/hyperlink" Target="https://www.accessdata.fda.gov/spl/data/347a9376-5865-d57f-e063-6394a90a4ad4/347a9376-5865-d57f-e063-6394a90a4ad4.xml" TargetMode="External"/><Relationship Id="rId53" Type="http://schemas.openxmlformats.org/officeDocument/2006/relationships/hyperlink" Target="https://www.accessdata.fda.gov/spl/data/64417957-79df-4c96-b5f6-0c6608be316f/64417957-79df-4c96-b5f6-0c6608be316f.xml" TargetMode="External"/><Relationship Id="rId52" Type="http://schemas.openxmlformats.org/officeDocument/2006/relationships/hyperlink" Target="https://www.accessdata.fda.gov/spl/data/25021c88-95e1-42f0-b895-921526b90642/25021c88-95e1-42f0-b895-921526b90642.xml" TargetMode="External"/><Relationship Id="rId55" Type="http://schemas.openxmlformats.org/officeDocument/2006/relationships/hyperlink" Target="https://www.accessdata.fda.gov/spl/data/25021c88-95e1-42f0-b895-921526b90642/25021c88-95e1-42f0-b895-921526b90642.xml" TargetMode="External"/><Relationship Id="rId54" Type="http://schemas.openxmlformats.org/officeDocument/2006/relationships/hyperlink" Target="https://www.accessdata.fda.gov/spl/data/39710b30-82c5-1f80-e063-6294a90a22f1/39710b30-82c5-1f80-e063-6294a90a22f1.xml" TargetMode="External"/><Relationship Id="rId57" Type="http://schemas.openxmlformats.org/officeDocument/2006/relationships/hyperlink" Target="https://www.accessdata.fda.gov/spl/data/39710b30-82c5-1f80-e063-6294a90a22f1/39710b30-82c5-1f80-e063-6294a90a22f1.xml" TargetMode="External"/><Relationship Id="rId56" Type="http://schemas.openxmlformats.org/officeDocument/2006/relationships/hyperlink" Target="https://www.accessdata.fda.gov/spl/data/64417957-79df-4c96-b5f6-0c6608be316f/64417957-79df-4c96-b5f6-0c6608be316f.xml" TargetMode="External"/><Relationship Id="rId59" Type="http://schemas.openxmlformats.org/officeDocument/2006/relationships/hyperlink" Target="https://www.accessdata.fda.gov/spl/data/39710b30-82c5-1f80-e063-6294a90a22f1/39710b30-82c5-1f80-e063-6294a90a22f1.xml" TargetMode="External"/><Relationship Id="rId58" Type="http://schemas.openxmlformats.org/officeDocument/2006/relationships/hyperlink" Target="https://www.accessdata.fda.gov/spl/data/64417957-79df-4c96-b5f6-0c6608be316f/64417957-79df-4c96-b5f6-0c6608be316f.x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lXrpy0tO/JfTk05yQQRkBw50mA==">CgMxLjA4AHIhMTRNdVJtQVdEbmVFOXhmVllJZTFDNnZMM2o5Z1NncW5Q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