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target-GUCY2C-2026-04-23</w:t>
      </w:r>
    </w:p>
    <w:bookmarkStart w:id="52" w:name="gucy2c-gcc-target-landscape-ci-report"/>
    <w:p>
      <w:pPr>
        <w:pStyle w:val="Heading1"/>
      </w:pPr>
      <w:r>
        <w:t xml:space="preserve">GUCY2C (GCC) — Target Landscape CI Report</w:t>
      </w:r>
    </w:p>
    <w:p>
      <w:pPr>
        <w:pStyle w:val="FirstParagraph"/>
      </w:pPr>
      <w:r>
        <w:rPr>
          <w:b/>
          <w:bCs/>
        </w:rPr>
        <w:t xml:space="preserve">Date:</w:t>
      </w:r>
      <w:r>
        <w:t xml:space="preserve"> </w:t>
      </w:r>
      <w:r>
        <w:t xml:space="preserve">2026-04-23</w:t>
      </w:r>
      <w:r>
        <w:br/>
      </w:r>
      <w:r>
        <w:rPr>
          <w:b/>
          <w:bCs/>
        </w:rPr>
        <w:t xml:space="preserve">Prepared by:</w:t>
      </w:r>
      <w:r>
        <w:t xml:space="preserve"> </w:t>
      </w:r>
      <w:r>
        <w:t xml:space="preserve">Claude Code</w:t>
      </w:r>
      <w:r>
        <w:br/>
      </w:r>
      <w:r>
        <w:rPr>
          <w:b/>
          <w:bCs/>
        </w:rPr>
        <w:t xml:space="preserve">Type:</w:t>
      </w:r>
      <w:r>
        <w:t xml:space="preserve"> </w:t>
      </w:r>
      <w:r>
        <w:t xml:space="preserve">Target Sweep</w:t>
      </w:r>
    </w:p>
    <w:p>
      <w:r>
        <w:pict>
          <v:rect style="width:0;height:1.5pt" o:hralign="center" o:hrstd="t" o:hr="t"/>
        </w:pict>
      </w:r>
    </w:p>
    <w:bookmarkStart w:id="9" w:name="tldr"/>
    <w:p>
      <w:pPr>
        <w:pStyle w:val="Heading2"/>
      </w:pPr>
      <w:r>
        <w:t xml:space="preserve">TL;DR</w:t>
      </w:r>
    </w:p>
    <w:p>
      <w:pPr>
        <w:pStyle w:val="FirstParagraph"/>
      </w:pPr>
      <w:r>
        <w:t xml:space="preserve">GUCY2C (Guanylyl Cyclase C / GCC) is a near-universally expressed colorectal cancer target with a graveyard of failed clinical programs — two Takeda ADCs terminated for insufficient benefit, and Pfizer's T-cell engager discontinued in Phase 1 (2024). The field has pivoted sharply toward CAR-T, where ImmunoChina's IM96 showed a 40% ORR at the highest dose level in heavily pre-treated mCRC (ASCO 2024), with Phase 2 expected in 2025. The current clinical field is thin and dominated by CAR-T, with early-stage interest in theranostics and bispecific formats — leaving several modalities unexplored or underexplored.</w:t>
      </w:r>
    </w:p>
    <w:p>
      <w:pPr>
        <w:pStyle w:val="BlockText"/>
      </w:pPr>
      <w:r>
        <w:rPr>
          <w:b/>
          <w:bCs/>
        </w:rPr>
        <w:t xml:space="preserve">Flag for Sego:</w:t>
      </w:r>
      <w:r>
        <w:t xml:space="preserve"> </w:t>
      </w:r>
      <w:r>
        <w:t xml:space="preserve">The ADC modality has failed twice with classical internalizing payloads. This creates a specific gap: non-internalizing ADC strategies (bystander/extracellular release payloads), novel formats, or non-ADC targeted delivery for this receptor-class target deserve fresh consideration.</w:t>
      </w:r>
    </w:p>
    <w:p>
      <w:r>
        <w:pict>
          <v:rect style="width:0;height:1.5pt" o:hralign="center" o:hrstd="t" o:hr="t"/>
        </w:pict>
      </w:r>
    </w:p>
    <w:bookmarkEnd w:id="9"/>
    <w:bookmarkStart w:id="10" w:name="expression-landscape"/>
    <w:p>
      <w:pPr>
        <w:pStyle w:val="Heading2"/>
      </w:pPr>
      <w:r>
        <w:t xml:space="preserve">Expression Landscape</w:t>
      </w:r>
    </w:p>
    <w:p>
      <w:pPr>
        <w:pStyle w:val="FirstParagraph"/>
      </w:pPr>
      <w:r>
        <w:t xml:space="preserve">GUCY2C is normally expressed only on the luminal (apical) surface of intestinal epithelium — physiologically inaccessible to systemically administered drugs. In cancer, surface expression is aberrantly exposed, creating a "tumor-on" target profile. Ectopic expression also occurs in non-GI adenocarcinomas.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Tumor Type</w:t>
            </w:r>
          </w:p>
        </w:tc>
        <w:tc>
          <w:tcPr/>
          <w:p>
            <w:pPr>
              <w:pStyle w:val="Compact"/>
            </w:pPr>
            <w:r>
              <w:t xml:space="preserve">Expression Rate</w:t>
            </w:r>
          </w:p>
        </w:tc>
        <w:tc>
          <w:tcPr/>
          <w:p>
            <w:pPr>
              <w:pStyle w:val="Compact"/>
            </w:pPr>
            <w:r>
              <w:t xml:space="preserve">Notes</w:t>
            </w:r>
          </w:p>
        </w:tc>
      </w:tr>
      <w:tr>
        <w:tc>
          <w:tcPr/>
          <w:p>
            <w:pPr>
              <w:pStyle w:val="Compact"/>
            </w:pPr>
            <w:r>
              <w:t xml:space="preserve">Colorectal (primary)</w:t>
            </w:r>
          </w:p>
        </w:tc>
        <w:tc>
          <w:tcPr/>
          <w:p>
            <w:pPr>
              <w:pStyle w:val="Compact"/>
            </w:pPr>
            <w:r>
              <w:t xml:space="preserve">~98%</w:t>
            </w:r>
          </w:p>
        </w:tc>
        <w:tc>
          <w:tcPr/>
          <w:p>
            <w:pPr>
              <w:pStyle w:val="Compact"/>
            </w:pPr>
            <w:r>
              <w:t xml:space="preserve">Near-universal; validated across histologies</w:t>
            </w:r>
          </w:p>
        </w:tc>
      </w:tr>
      <w:tr>
        <w:tc>
          <w:tcPr/>
          <w:p>
            <w:pPr>
              <w:pStyle w:val="Compact"/>
            </w:pPr>
            <w:r>
              <w:t xml:space="preserve">Colorectal (metastatic)</w:t>
            </w:r>
          </w:p>
        </w:tc>
        <w:tc>
          <w:tcPr/>
          <w:p>
            <w:pPr>
              <w:pStyle w:val="Compact"/>
            </w:pPr>
            <w:r>
              <w:t xml:space="preserve">~81%</w:t>
            </w:r>
          </w:p>
        </w:tc>
        <w:tc>
          <w:tcPr/>
          <w:p>
            <w:pPr>
              <w:pStyle w:val="Compact"/>
            </w:pPr>
            <w:r>
              <w:t xml:space="preserve">Preserved at metastatic sites</w:t>
            </w:r>
          </w:p>
        </w:tc>
      </w:tr>
      <w:tr>
        <w:tc>
          <w:tcPr/>
          <w:p>
            <w:pPr>
              <w:pStyle w:val="Compact"/>
            </w:pPr>
            <w:r>
              <w:t xml:space="preserve">Esophageal adenocarcinoma</w:t>
            </w:r>
          </w:p>
        </w:tc>
        <w:tc>
          <w:tcPr/>
          <w:p>
            <w:pPr>
              <w:pStyle w:val="Compact"/>
            </w:pPr>
            <w:r>
              <w:t xml:space="preserve">59–68%</w:t>
            </w:r>
          </w:p>
        </w:tc>
        <w:tc>
          <w:tcPr/>
          <w:p>
            <w:pPr>
              <w:pStyle w:val="Compact"/>
            </w:pPr>
            <w:r>
              <w:t xml:space="preserve">Ectopic; bile acid-induced</w:t>
            </w:r>
          </w:p>
        </w:tc>
      </w:tr>
      <w:tr>
        <w:tc>
          <w:tcPr/>
          <w:p>
            <w:pPr>
              <w:pStyle w:val="Compact"/>
            </w:pPr>
            <w:r>
              <w:t xml:space="preserve">Gastric / GEJ adenocarcinoma</w:t>
            </w:r>
          </w:p>
        </w:tc>
        <w:tc>
          <w:tcPr/>
          <w:p>
            <w:pPr>
              <w:pStyle w:val="Compact"/>
            </w:pPr>
            <w:r>
              <w:t xml:space="preserve">59–68%</w:t>
            </w:r>
          </w:p>
        </w:tc>
        <w:tc>
          <w:tcPr/>
          <w:p>
            <w:pPr>
              <w:pStyle w:val="Compact"/>
            </w:pPr>
            <w:r>
              <w:t xml:space="preserve">Ectopic; validated in early studies</w:t>
            </w:r>
          </w:p>
        </w:tc>
      </w:tr>
      <w:tr>
        <w:tc>
          <w:tcPr/>
          <w:p>
            <w:pPr>
              <w:pStyle w:val="Compact"/>
            </w:pPr>
            <w:r>
              <w:t xml:space="preserve">Pancreatic</w:t>
            </w:r>
          </w:p>
        </w:tc>
        <w:tc>
          <w:tcPr/>
          <w:p>
            <w:pPr>
              <w:pStyle w:val="Compact"/>
            </w:pPr>
            <w:r>
              <w:t xml:space="preserve">Expressed</w:t>
            </w:r>
          </w:p>
        </w:tc>
        <w:tc>
          <w:tcPr/>
          <w:p>
            <w:pPr>
              <w:pStyle w:val="Compact"/>
            </w:pPr>
            <w:r>
              <w:t xml:space="preserve">Ectopic; emerging interest</w:t>
            </w:r>
          </w:p>
        </w:tc>
      </w:tr>
      <w:tr>
        <w:tc>
          <w:tcPr/>
          <w:p>
            <w:pPr>
              <w:pStyle w:val="Compact"/>
            </w:pPr>
            <w:r>
              <w:t xml:space="preserve">Colorectal (lymph node micrometastases)</w:t>
            </w:r>
          </w:p>
        </w:tc>
        <w:tc>
          <w:tcPr/>
          <w:p>
            <w:pPr>
              <w:pStyle w:val="Compact"/>
            </w:pPr>
            <w:r>
              <w:t xml:space="preserve">High</w:t>
            </w:r>
          </w:p>
        </w:tc>
        <w:tc>
          <w:tcPr/>
          <w:p>
            <w:pPr>
              <w:pStyle w:val="Compact"/>
            </w:pPr>
            <w:r>
              <w:t xml:space="preserve">GUCY2C molecular staging clinical validation</w:t>
            </w:r>
          </w:p>
        </w:tc>
      </w:tr>
    </w:tbl>
    <w:p>
      <w:pPr>
        <w:pStyle w:val="BodyText"/>
      </w:pPr>
      <w:r>
        <w:rPr>
          <w:b/>
          <w:bCs/>
        </w:rPr>
        <w:t xml:space="preserve">Key biology:</w:t>
      </w:r>
      <w:r>
        <w:t xml:space="preserve"> </w:t>
      </w:r>
      <w:r>
        <w:t xml:space="preserve">GUCY2C is a receptor guanylyl cyclase; its endogenous ligands are guanylin and uroguanylin. In cancer cells, it acts as a tumor suppressor when activated — but this biology is orthogonal to its utility as a cell-surface target for targeted delivery.</w:t>
      </w:r>
    </w:p>
    <w:p>
      <w:pPr>
        <w:pStyle w:val="BodyText"/>
      </w:pPr>
      <w:r>
        <w:rPr>
          <w:b/>
          <w:bCs/>
        </w:rPr>
        <w:t xml:space="preserve">Internalization caveat:</w:t>
      </w:r>
      <w:r>
        <w:t xml:space="preserve"> </w:t>
      </w:r>
      <w:r>
        <w:t xml:space="preserve">GUCY2C does not internalize efficiently upon antibody binding, which has been a critical failure mode for classical ADC strategies (both Takeda programs failed). This is a known limitation of the target and should inform modality selection.</w:t>
      </w:r>
    </w:p>
    <w:p>
      <w:r>
        <w:pict>
          <v:rect style="width:0;height:1.5pt" o:hralign="center" o:hrstd="t" o:hr="t"/>
        </w:pict>
      </w:r>
    </w:p>
    <w:bookmarkEnd w:id="10"/>
    <w:bookmarkStart w:id="15" w:name="competitive-pipeline"/>
    <w:p>
      <w:pPr>
        <w:pStyle w:val="Heading2"/>
      </w:pPr>
      <w:r>
        <w:t xml:space="preserve">Competitive Pipeline</w:t>
      </w:r>
    </w:p>
    <w:bookmarkStart w:id="11" w:name="terminated-discontinued"/>
    <w:p>
      <w:pPr>
        <w:pStyle w:val="Heading3"/>
      </w:pPr>
      <w:r>
        <w:t xml:space="preserve">Terminated / Discontinued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Drug</w:t>
            </w:r>
          </w:p>
        </w:tc>
        <w:tc>
          <w:tcPr/>
          <w:p>
            <w:pPr>
              <w:pStyle w:val="Compact"/>
            </w:pPr>
            <w:r>
              <w:t xml:space="preserve">Company</w:t>
            </w:r>
          </w:p>
        </w:tc>
        <w:tc>
          <w:tcPr/>
          <w:p>
            <w:pPr>
              <w:pStyle w:val="Compact"/>
            </w:pPr>
            <w:r>
              <w:t xml:space="preserve">Modality</w:t>
            </w:r>
          </w:p>
        </w:tc>
        <w:tc>
          <w:tcPr/>
          <w:p>
            <w:pPr>
              <w:pStyle w:val="Compact"/>
            </w:pPr>
            <w:r>
              <w:t xml:space="preserve">Indication</w:t>
            </w:r>
          </w:p>
        </w:tc>
        <w:tc>
          <w:tcPr/>
          <w:p>
            <w:pPr>
              <w:pStyle w:val="Compact"/>
            </w:pPr>
            <w:r>
              <w:t xml:space="preserve">Peak Phase</w:t>
            </w:r>
          </w:p>
        </w:tc>
        <w:tc>
          <w:tcPr/>
          <w:p>
            <w:pPr>
              <w:pStyle w:val="Compact"/>
            </w:pPr>
            <w:r>
              <w:t xml:space="preserve">Outcome</w:t>
            </w:r>
          </w:p>
        </w:tc>
      </w:tr>
      <w:tr>
        <w:tc>
          <w:tcPr/>
          <w:p>
            <w:pPr>
              <w:pStyle w:val="Compact"/>
            </w:pPr>
            <w:r>
              <w:t xml:space="preserve">MLN0264</w:t>
            </w:r>
          </w:p>
        </w:tc>
        <w:tc>
          <w:tcPr/>
          <w:p>
            <w:pPr>
              <w:pStyle w:val="Compact"/>
            </w:pPr>
            <w:r>
              <w:t xml:space="preserve">Takeda / Millennium</w:t>
            </w:r>
          </w:p>
        </w:tc>
        <w:tc>
          <w:tcPr/>
          <w:p>
            <w:pPr>
              <w:pStyle w:val="Compact"/>
            </w:pPr>
            <w:r>
              <w:t xml:space="preserve">ADC (MMAE)</w:t>
            </w:r>
          </w:p>
        </w:tc>
        <w:tc>
          <w:tcPr/>
          <w:p>
            <w:pPr>
              <w:pStyle w:val="Compact"/>
            </w:pPr>
            <w:r>
              <w:t xml:space="preserve">GI carcinoma, gastric/GEJ</w:t>
            </w:r>
          </w:p>
        </w:tc>
        <w:tc>
          <w:tcPr/>
          <w:p>
            <w:pPr>
              <w:pStyle w:val="Compact"/>
            </w:pPr>
            <w:r>
              <w:t xml:space="preserve">Phase 1/2</w:t>
            </w:r>
          </w:p>
        </w:tc>
        <w:tc>
          <w:tcPr/>
          <w:p>
            <w:pPr>
              <w:pStyle w:val="Compact"/>
            </w:pPr>
            <w:r>
              <w:rPr>
                <w:b/>
                <w:bCs/>
              </w:rPr>
              <w:t xml:space="preserve">Terminated</w:t>
            </w:r>
            <w:r>
              <w:t xml:space="preserve"> </w:t>
            </w:r>
            <w:r>
              <w:t xml:space="preserve">— PK similarity data; Phase 2 not initiated (NCT02391038)</w:t>
            </w:r>
          </w:p>
        </w:tc>
      </w:tr>
      <w:tr>
        <w:tc>
          <w:tcPr/>
          <w:p>
            <w:pPr>
              <w:pStyle w:val="Compact"/>
            </w:pPr>
            <w:r>
              <w:t xml:space="preserve">TAK-164</w:t>
            </w:r>
          </w:p>
        </w:tc>
        <w:tc>
          <w:tcPr/>
          <w:p>
            <w:pPr>
              <w:pStyle w:val="Compact"/>
            </w:pPr>
            <w:r>
              <w:t xml:space="preserve">Takeda / ImmunoGen</w:t>
            </w:r>
          </w:p>
        </w:tc>
        <w:tc>
          <w:tcPr/>
          <w:p>
            <w:pPr>
              <w:pStyle w:val="Compact"/>
            </w:pPr>
            <w:r>
              <w:t xml:space="preserve">ADC (DGN549 DNA alkylator)</w:t>
            </w:r>
          </w:p>
        </w:tc>
        <w:tc>
          <w:tcPr/>
          <w:p>
            <w:pPr>
              <w:pStyle w:val="Compact"/>
            </w:pPr>
            <w:r>
              <w:t xml:space="preserve">Advanced GI cancers (GCC+)</w:t>
            </w:r>
          </w:p>
        </w:tc>
        <w:tc>
          <w:tcPr/>
          <w:p>
            <w:pPr>
              <w:pStyle w:val="Compact"/>
            </w:pPr>
            <w:r>
              <w:t xml:space="preserve">Phase 1</w:t>
            </w:r>
          </w:p>
        </w:tc>
        <w:tc>
          <w:tcPr/>
          <w:p>
            <w:pPr>
              <w:pStyle w:val="Compact"/>
            </w:pPr>
            <w:r>
              <w:rPr>
                <w:b/>
                <w:bCs/>
              </w:rPr>
              <w:t xml:space="preserve">Terminated</w:t>
            </w:r>
            <w:r>
              <w:t xml:space="preserve"> </w:t>
            </w:r>
            <w:r>
              <w:t xml:space="preserve">— "insufficient clinical benefit at RP2D" (NCT03449030)</w:t>
            </w:r>
          </w:p>
        </w:tc>
      </w:tr>
      <w:tr>
        <w:tc>
          <w:tcPr/>
          <w:p>
            <w:pPr>
              <w:pStyle w:val="Compact"/>
            </w:pPr>
            <w:r>
              <w:t xml:space="preserve">PF-07062119</w:t>
            </w:r>
          </w:p>
        </w:tc>
        <w:tc>
          <w:tcPr/>
          <w:p>
            <w:pPr>
              <w:pStyle w:val="Compact"/>
            </w:pPr>
            <w:r>
              <w:t xml:space="preserve">Pfizer</w:t>
            </w:r>
          </w:p>
        </w:tc>
        <w:tc>
          <w:tcPr/>
          <w:p>
            <w:pPr>
              <w:pStyle w:val="Compact"/>
            </w:pPr>
            <w:r>
              <w:t xml:space="preserve">Bispecific T-cell engager (GUCY2C × CD3)</w:t>
            </w:r>
          </w:p>
        </w:tc>
        <w:tc>
          <w:tcPr/>
          <w:p>
            <w:pPr>
              <w:pStyle w:val="Compact"/>
            </w:pPr>
            <w:r>
              <w:t xml:space="preserve">GI cancers</w:t>
            </w:r>
          </w:p>
        </w:tc>
        <w:tc>
          <w:tcPr/>
          <w:p>
            <w:pPr>
              <w:pStyle w:val="Compact"/>
            </w:pPr>
            <w:r>
              <w:t xml:space="preserve">Phase 1</w:t>
            </w:r>
          </w:p>
        </w:tc>
        <w:tc>
          <w:tcPr/>
          <w:p>
            <w:pPr>
              <w:pStyle w:val="Compact"/>
            </w:pPr>
            <w:r>
              <w:rPr>
                <w:b/>
                <w:bCs/>
              </w:rPr>
              <w:t xml:space="preserve">Discontinued</w:t>
            </w:r>
            <w:r>
              <w:t xml:space="preserve"> </w:t>
            </w:r>
            <w:r>
              <w:t xml:space="preserve">(2024) — limited efficacy; Pfizer exited</w:t>
            </w:r>
          </w:p>
        </w:tc>
      </w:tr>
    </w:tbl>
    <w:bookmarkEnd w:id="11"/>
    <w:bookmarkStart w:id="12" w:name="active-clinical-stage"/>
    <w:p>
      <w:pPr>
        <w:pStyle w:val="Heading3"/>
      </w:pPr>
      <w:r>
        <w:t xml:space="preserve">Active — Clinical Stage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Drug</w:t>
            </w:r>
          </w:p>
        </w:tc>
        <w:tc>
          <w:tcPr/>
          <w:p>
            <w:pPr>
              <w:pStyle w:val="Compact"/>
            </w:pPr>
            <w:r>
              <w:t xml:space="preserve">Company</w:t>
            </w:r>
          </w:p>
        </w:tc>
        <w:tc>
          <w:tcPr/>
          <w:p>
            <w:pPr>
              <w:pStyle w:val="Compact"/>
            </w:pPr>
            <w:r>
              <w:t xml:space="preserve">Modality</w:t>
            </w:r>
          </w:p>
        </w:tc>
        <w:tc>
          <w:tcPr/>
          <w:p>
            <w:pPr>
              <w:pStyle w:val="Compact"/>
            </w:pPr>
            <w:r>
              <w:t xml:space="preserve">Phase</w:t>
            </w:r>
          </w:p>
        </w:tc>
        <w:tc>
          <w:tcPr/>
          <w:p>
            <w:pPr>
              <w:pStyle w:val="Compact"/>
            </w:pPr>
            <w:r>
              <w:t xml:space="preserve">Indication</w:t>
            </w:r>
          </w:p>
        </w:tc>
        <w:tc>
          <w:tcPr/>
          <w:p>
            <w:pPr>
              <w:pStyle w:val="Compact"/>
            </w:pPr>
            <w:r>
              <w:t xml:space="preserve">Key Data</w:t>
            </w:r>
          </w:p>
        </w:tc>
        <w:tc>
          <w:tcPr/>
          <w:p>
            <w:pPr>
              <w:pStyle w:val="Compact"/>
            </w:pPr>
            <w:r>
              <w:t xml:space="preserve">Notes</w:t>
            </w:r>
          </w:p>
        </w:tc>
      </w:tr>
      <w:tr>
        <w:tc>
          <w:tcPr/>
          <w:p>
            <w:pPr>
              <w:pStyle w:val="Compact"/>
            </w:pPr>
            <w:r>
              <w:t xml:space="preserve">IM96 (GCC19CART)</w:t>
            </w:r>
          </w:p>
        </w:tc>
        <w:tc>
          <w:tcPr/>
          <w:p>
            <w:pPr>
              <w:pStyle w:val="Compact"/>
            </w:pPr>
            <w:r>
              <w:t xml:space="preserve">ImmunoChina (Beijing Immunochina Medicals)</w:t>
            </w:r>
          </w:p>
        </w:tc>
        <w:tc>
          <w:tcPr/>
          <w:p>
            <w:pPr>
              <w:pStyle w:val="Compact"/>
            </w:pPr>
            <w:r>
              <w:t xml:space="preserve">CAR-T (autologous)</w:t>
            </w:r>
          </w:p>
        </w:tc>
        <w:tc>
          <w:tcPr/>
          <w:p>
            <w:pPr>
              <w:pStyle w:val="Compact"/>
            </w:pPr>
            <w:r>
              <w:t xml:space="preserve">Phase 1</w:t>
            </w:r>
          </w:p>
        </w:tc>
        <w:tc>
          <w:tcPr/>
          <w:p>
            <w:pPr>
              <w:pStyle w:val="Compact"/>
            </w:pPr>
            <w:r>
              <w:t xml:space="preserve">mCRC (≥3L)</w:t>
            </w:r>
          </w:p>
        </w:tc>
        <w:tc>
          <w:tcPr/>
          <w:p>
            <w:pPr>
              <w:pStyle w:val="Compact"/>
            </w:pPr>
            <w:r>
              <w:t xml:space="preserve">ORR 26.3% overall; 40% ORR and ~7 mo PFS at DL3 (ASCO 2024)</w:t>
            </w:r>
          </w:p>
        </w:tc>
        <w:tc>
          <w:tcPr/>
          <w:p>
            <w:pPr>
              <w:pStyle w:val="Compact"/>
            </w:pPr>
            <w:r>
              <w:t xml:space="preserve">Phase 2 expected 2025; 20 patients enrolled through Dec 2023</w:t>
            </w:r>
          </w:p>
        </w:tc>
      </w:tr>
      <w:tr>
        <w:tc>
          <w:tcPr/>
          <w:p>
            <w:pPr>
              <w:pStyle w:val="Compact"/>
            </w:pPr>
            <w:r>
              <w:t xml:space="preserve">GCC-CART</w:t>
            </w:r>
          </w:p>
        </w:tc>
        <w:tc>
          <w:tcPr/>
          <w:p>
            <w:pPr>
              <w:pStyle w:val="Compact"/>
            </w:pPr>
            <w:r>
              <w:t xml:space="preserve">Protheragen</w:t>
            </w:r>
          </w:p>
        </w:tc>
        <w:tc>
          <w:tcPr/>
          <w:p>
            <w:pPr>
              <w:pStyle w:val="Compact"/>
            </w:pPr>
            <w:r>
              <w:t xml:space="preserve">CAR-T</w:t>
            </w:r>
          </w:p>
        </w:tc>
        <w:tc>
          <w:tcPr/>
          <w:p>
            <w:pPr>
              <w:pStyle w:val="Compact"/>
            </w:pPr>
            <w:r>
              <w:t xml:space="preserve">Phase 1 (US)</w:t>
            </w:r>
          </w:p>
        </w:tc>
        <w:tc>
          <w:tcPr/>
          <w:p>
            <w:pPr>
              <w:pStyle w:val="Compact"/>
            </w:pPr>
            <w:r>
              <w:t xml:space="preserve">relapsed/refractory mCRC</w:t>
            </w:r>
          </w:p>
        </w:tc>
        <w:tc>
          <w:tcPr/>
          <w:p>
            <w:pPr>
              <w:pStyle w:val="Compact"/>
            </w:pPr>
            <w:r>
              <w:t xml:space="preserve">No public data yet</w:t>
            </w:r>
          </w:p>
        </w:tc>
        <w:tc>
          <w:tcPr/>
          <w:p>
            <w:pPr>
              <w:pStyle w:val="Compact"/>
            </w:pPr>
            <w:r>
              <w:t xml:space="preserve">Phase 2 expected 2025</w:t>
            </w:r>
          </w:p>
        </w:tc>
      </w:tr>
    </w:tbl>
    <w:bookmarkEnd w:id="12"/>
    <w:bookmarkStart w:id="13" w:name="active-preclinical-early-research"/>
    <w:p>
      <w:pPr>
        <w:pStyle w:val="Heading3"/>
      </w:pPr>
      <w:r>
        <w:t xml:space="preserve">Active — Preclinical / Early Research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Program</w:t>
            </w:r>
          </w:p>
        </w:tc>
        <w:tc>
          <w:tcPr/>
          <w:p>
            <w:pPr>
              <w:pStyle w:val="Compact"/>
            </w:pPr>
            <w:r>
              <w:t xml:space="preserve">Company/Group</w:t>
            </w:r>
          </w:p>
        </w:tc>
        <w:tc>
          <w:tcPr/>
          <w:p>
            <w:pPr>
              <w:pStyle w:val="Compact"/>
            </w:pPr>
            <w:r>
              <w:t xml:space="preserve">Modality</w:t>
            </w:r>
          </w:p>
        </w:tc>
        <w:tc>
          <w:tcPr/>
          <w:p>
            <w:pPr>
              <w:pStyle w:val="Compact"/>
            </w:pPr>
            <w:r>
              <w:t xml:space="preserve">Notes</w:t>
            </w:r>
          </w:p>
        </w:tc>
      </w:tr>
      <w:tr>
        <w:tc>
          <w:tcPr/>
          <w:p>
            <w:pPr>
              <w:pStyle w:val="Compact"/>
            </w:pPr>
            <w:r>
              <w:t xml:space="preserve">PR15-7 theranostic platform</w:t>
            </w:r>
          </w:p>
        </w:tc>
        <w:tc>
          <w:tcPr/>
          <w:p>
            <w:pPr>
              <w:pStyle w:val="Compact"/>
            </w:pPr>
            <w:r>
              <w:t xml:space="preserve">Academic (China)</w:t>
            </w:r>
          </w:p>
        </w:tc>
        <w:tc>
          <w:tcPr/>
          <w:p>
            <w:pPr>
              <w:pStyle w:val="Compact"/>
            </w:pPr>
            <w:r>
              <w:t xml:space="preserve">Theranostic (89Zr PET, 177Lu RLT, NIR imaging)</w:t>
            </w:r>
          </w:p>
        </w:tc>
        <w:tc>
          <w:tcPr/>
          <w:p>
            <w:pPr>
              <w:pStyle w:val="Compact"/>
            </w:pPr>
            <w:r>
              <w:t xml:space="preserve">GUCY2C antibody PR15-7 conjugated to multiple imaging + therapy payloads; J Nucl Med pub 2025/2026</w:t>
            </w:r>
          </w:p>
        </w:tc>
      </w:tr>
      <w:tr>
        <w:tc>
          <w:tcPr/>
          <w:p>
            <w:pPr>
              <w:pStyle w:val="Compact"/>
            </w:pPr>
            <w:r>
              <w:t xml:space="preserve">CDH17 × GUCY2C BsADC</w:t>
            </w:r>
          </w:p>
        </w:tc>
        <w:tc>
          <w:tcPr/>
          <w:p>
            <w:pPr>
              <w:pStyle w:val="Compact"/>
            </w:pPr>
            <w:r>
              <w:t xml:space="preserve">Academic</w:t>
            </w:r>
          </w:p>
        </w:tc>
        <w:tc>
          <w:tcPr/>
          <w:p>
            <w:pPr>
              <w:pStyle w:val="Compact"/>
            </w:pPr>
            <w:r>
              <w:t xml:space="preserve">Bispecific ADC (ferroptosis: RSL3 payload)</w:t>
            </w:r>
          </w:p>
        </w:tc>
        <w:tc>
          <w:tcPr/>
          <w:p>
            <w:pPr>
              <w:pStyle w:val="Compact"/>
            </w:pPr>
            <w:r>
              <w:t xml:space="preserve">Preclinical; Cell Death Discovery 2025</w:t>
            </w:r>
          </w:p>
        </w:tc>
      </w:tr>
      <w:tr>
        <w:tc>
          <w:tcPr/>
          <w:p>
            <w:pPr>
              <w:pStyle w:val="Compact"/>
            </w:pPr>
            <w:r>
              <w:t xml:space="preserve">Anti-GUCY2C single domain Ab</w:t>
            </w:r>
          </w:p>
        </w:tc>
        <w:tc>
          <w:tcPr/>
          <w:p>
            <w:pPr>
              <w:pStyle w:val="Compact"/>
            </w:pPr>
            <w:r>
              <w:t xml:space="preserve">Legend Biotech</w:t>
            </w:r>
          </w:p>
        </w:tc>
        <w:tc>
          <w:tcPr/>
          <w:p>
            <w:pPr>
              <w:pStyle w:val="Compact"/>
            </w:pPr>
            <w:r>
              <w:t xml:space="preserve">Antibody platform</w:t>
            </w:r>
          </w:p>
        </w:tc>
        <w:tc>
          <w:tcPr/>
          <w:p>
            <w:pPr>
              <w:pStyle w:val="Compact"/>
            </w:pPr>
            <w:r>
              <w:t xml:space="preserve">Limited disclosure; in development</w:t>
            </w:r>
          </w:p>
        </w:tc>
      </w:tr>
      <w:tr>
        <w:tc>
          <w:tcPr/>
          <w:p>
            <w:pPr>
              <w:pStyle w:val="Compact"/>
            </w:pPr>
            <w:r>
              <w:t xml:space="preserve">AI-guided GUCY2C TCEs</w:t>
            </w:r>
          </w:p>
        </w:tc>
        <w:tc>
          <w:tcPr/>
          <w:p>
            <w:pPr>
              <w:pStyle w:val="Compact"/>
            </w:pPr>
            <w:r>
              <w:t xml:space="preserve">Undisclosed</w:t>
            </w:r>
          </w:p>
        </w:tc>
        <w:tc>
          <w:tcPr/>
          <w:p>
            <w:pPr>
              <w:pStyle w:val="Compact"/>
            </w:pPr>
            <w:r>
              <w:t xml:space="preserve">T-cell engager (multispecific)</w:t>
            </w:r>
          </w:p>
        </w:tc>
        <w:tc>
          <w:tcPr/>
          <w:p>
            <w:pPr>
              <w:pStyle w:val="Compact"/>
            </w:pPr>
            <w:r>
              <w:t xml:space="preserve">AACR 2024 abstract 6721; multiple binding epitopes; preclinical</w:t>
            </w:r>
          </w:p>
        </w:tc>
      </w:tr>
    </w:tbl>
    <w:bookmarkEnd w:id="13"/>
    <w:bookmarkStart w:id="14" w:name="X93c86df25c169eacaca7da1a5570b01b0aa7871"/>
    <w:p>
      <w:pPr>
        <w:pStyle w:val="Heading3"/>
      </w:pPr>
      <w:r>
        <w:t xml:space="preserve">Historical — Completed Trials (Non-Therapeutic)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Sponsor</w:t>
            </w:r>
          </w:p>
        </w:tc>
        <w:tc>
          <w:tcPr/>
          <w:p>
            <w:pPr>
              <w:pStyle w:val="Compact"/>
            </w:pPr>
            <w:r>
              <w:t xml:space="preserve">Type</w:t>
            </w:r>
          </w:p>
        </w:tc>
        <w:tc>
          <w:tcPr/>
          <w:p>
            <w:pPr>
              <w:pStyle w:val="Compact"/>
            </w:pPr>
            <w:r>
              <w:t xml:space="preserve">Status</w:t>
            </w:r>
          </w:p>
        </w:tc>
      </w:tr>
      <w:tr>
        <w:tc>
          <w:tcPr/>
          <w:p>
            <w:pPr>
              <w:pStyle w:val="Compact"/>
            </w:pPr>
            <w:r>
              <w:t xml:space="preserve">[68Ga]MLN6907 PET (NCT02056015)</w:t>
            </w:r>
          </w:p>
        </w:tc>
        <w:tc>
          <w:tcPr/>
          <w:p>
            <w:pPr>
              <w:pStyle w:val="Compact"/>
            </w:pPr>
            <w:r>
              <w:t xml:space="preserve">Takeda</w:t>
            </w:r>
          </w:p>
        </w:tc>
        <w:tc>
          <w:tcPr/>
          <w:p>
            <w:pPr>
              <w:pStyle w:val="Compact"/>
            </w:pPr>
            <w:r>
              <w:t xml:space="preserve">Diagnostic / PET imaging agent</w:t>
            </w:r>
          </w:p>
        </w:tc>
        <w:tc>
          <w:tcPr/>
          <w:p>
            <w:pPr>
              <w:pStyle w:val="Compact"/>
            </w:pPr>
            <w:r>
              <w:t xml:space="preserve">Completed</w:t>
            </w:r>
          </w:p>
        </w:tc>
      </w:tr>
      <w:tr>
        <w:tc>
          <w:tcPr/>
          <w:p>
            <w:pPr>
              <w:pStyle w:val="Compact"/>
            </w:pPr>
            <w:r>
              <w:t xml:space="preserve">Ad5-hGCC-PADRE vaccine (NCT01972737)</w:t>
            </w:r>
          </w:p>
        </w:tc>
        <w:tc>
          <w:tcPr/>
          <w:p>
            <w:pPr>
              <w:pStyle w:val="Compact"/>
            </w:pPr>
            <w:r>
              <w:t xml:space="preserve">Thomas Jefferson University</w:t>
            </w:r>
          </w:p>
        </w:tc>
        <w:tc>
          <w:tcPr/>
          <w:p>
            <w:pPr>
              <w:pStyle w:val="Compact"/>
            </w:pPr>
            <w:r>
              <w:t xml:space="preserve">GI-cancer prevention vaccine (Stage I/II CRC)</w:t>
            </w:r>
          </w:p>
        </w:tc>
        <w:tc>
          <w:tcPr/>
          <w:p>
            <w:pPr>
              <w:pStyle w:val="Compact"/>
            </w:pPr>
            <w:r>
              <w:t xml:space="preserve">Completed</w:t>
            </w:r>
          </w:p>
        </w:tc>
      </w:tr>
      <w:tr>
        <w:tc>
          <w:tcPr/>
          <w:p>
            <w:pPr>
              <w:pStyle w:val="Compact"/>
            </w:pPr>
            <w:r>
              <w:t xml:space="preserve">GUCY2C agonist trials (linaclotide / plecanatide)</w:t>
            </w:r>
          </w:p>
        </w:tc>
        <w:tc>
          <w:tcPr/>
          <w:p>
            <w:pPr>
              <w:pStyle w:val="Compact"/>
            </w:pPr>
            <w:r>
              <w:t xml:space="preserve">Academic / Bausch</w:t>
            </w:r>
          </w:p>
        </w:tc>
        <w:tc>
          <w:tcPr/>
          <w:p>
            <w:pPr>
              <w:pStyle w:val="Compact"/>
            </w:pPr>
            <w:r>
              <w:t xml:space="preserve">Prevention via GUCY2C agonism</w:t>
            </w:r>
          </w:p>
        </w:tc>
        <w:tc>
          <w:tcPr/>
          <w:p>
            <w:pPr>
              <w:pStyle w:val="Compact"/>
            </w:pPr>
            <w:r>
              <w:t xml:space="preserve">Ongoing prevention trials; PK barrier to colorectal delivery</w:t>
            </w:r>
          </w:p>
        </w:tc>
      </w:tr>
    </w:tbl>
    <w:p>
      <w:r>
        <w:pict>
          <v:rect style="width:0;height:1.5pt" o:hralign="center" o:hrstd="t" o:hr="t"/>
        </w:pict>
      </w:r>
    </w:p>
    <w:bookmarkEnd w:id="14"/>
    <w:bookmarkEnd w:id="15"/>
    <w:bookmarkStart w:id="16" w:name="clinical-trials"/>
    <w:p>
      <w:pPr>
        <w:pStyle w:val="Heading2"/>
      </w:pPr>
      <w:r>
        <w:t xml:space="preserve">Clinical Trials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Trial ID</w:t>
            </w:r>
          </w:p>
        </w:tc>
        <w:tc>
          <w:tcPr/>
          <w:p>
            <w:pPr>
              <w:pStyle w:val="Compact"/>
            </w:pPr>
            <w:r>
              <w:t xml:space="preserve">Drug</w:t>
            </w:r>
          </w:p>
        </w:tc>
        <w:tc>
          <w:tcPr/>
          <w:p>
            <w:pPr>
              <w:pStyle w:val="Compact"/>
            </w:pPr>
            <w:r>
              <w:t xml:space="preserve">Sponsor</w:t>
            </w:r>
          </w:p>
        </w:tc>
        <w:tc>
          <w:tcPr/>
          <w:p>
            <w:pPr>
              <w:pStyle w:val="Compact"/>
            </w:pPr>
            <w:r>
              <w:t xml:space="preserve">Phase</w:t>
            </w:r>
          </w:p>
        </w:tc>
        <w:tc>
          <w:tcPr/>
          <w:p>
            <w:pPr>
              <w:pStyle w:val="Compact"/>
            </w:pPr>
            <w:r>
              <w:t xml:space="preserve">Indication</w:t>
            </w:r>
          </w:p>
        </w:tc>
        <w:tc>
          <w:tcPr/>
          <w:p>
            <w:pPr>
              <w:pStyle w:val="Compact"/>
            </w:pPr>
            <w:r>
              <w:t xml:space="preserve">Status</w:t>
            </w:r>
          </w:p>
        </w:tc>
      </w:tr>
      <w:tr>
        <w:tc>
          <w:tcPr/>
          <w:p>
            <w:pPr>
              <w:pStyle w:val="Compact"/>
            </w:pPr>
            <w:r>
              <w:t xml:space="preserve">NCT03449030</w:t>
            </w:r>
          </w:p>
        </w:tc>
        <w:tc>
          <w:tcPr/>
          <w:p>
            <w:pPr>
              <w:pStyle w:val="Compact"/>
            </w:pPr>
            <w:r>
              <w:t xml:space="preserve">TAK-164</w:t>
            </w:r>
          </w:p>
        </w:tc>
        <w:tc>
          <w:tcPr/>
          <w:p>
            <w:pPr>
              <w:pStyle w:val="Compact"/>
            </w:pPr>
            <w:r>
              <w:t xml:space="preserve">Takeda</w:t>
            </w:r>
          </w:p>
        </w:tc>
        <w:tc>
          <w:tcPr/>
          <w:p>
            <w:pPr>
              <w:pStyle w:val="Compact"/>
            </w:pPr>
            <w:r>
              <w:t xml:space="preserve">Phase 1</w:t>
            </w:r>
          </w:p>
        </w:tc>
        <w:tc>
          <w:tcPr/>
          <w:p>
            <w:pPr>
              <w:pStyle w:val="Compact"/>
            </w:pPr>
            <w:r>
              <w:t xml:space="preserve">Advanced GI cancers (GCC+)</w:t>
            </w:r>
          </w:p>
        </w:tc>
        <w:tc>
          <w:tcPr/>
          <w:p>
            <w:pPr>
              <w:pStyle w:val="Compact"/>
            </w:pPr>
            <w:r>
              <w:t xml:space="preserve">Terminated</w:t>
            </w:r>
          </w:p>
        </w:tc>
      </w:tr>
      <w:tr>
        <w:tc>
          <w:tcPr/>
          <w:p>
            <w:pPr>
              <w:pStyle w:val="Compact"/>
            </w:pPr>
            <w:r>
              <w:t xml:space="preserve">NCT02391038</w:t>
            </w:r>
          </w:p>
        </w:tc>
        <w:tc>
          <w:tcPr/>
          <w:p>
            <w:pPr>
              <w:pStyle w:val="Compact"/>
            </w:pPr>
            <w:r>
              <w:t xml:space="preserve">MLN0264</w:t>
            </w:r>
          </w:p>
        </w:tc>
        <w:tc>
          <w:tcPr/>
          <w:p>
            <w:pPr>
              <w:pStyle w:val="Compact"/>
            </w:pPr>
            <w:r>
              <w:t xml:space="preserve">Takeda</w:t>
            </w:r>
          </w:p>
        </w:tc>
        <w:tc>
          <w:tcPr/>
          <w:p>
            <w:pPr>
              <w:pStyle w:val="Compact"/>
            </w:pPr>
            <w:r>
              <w:t xml:space="preserve">Phase 1/2</w:t>
            </w:r>
          </w:p>
        </w:tc>
        <w:tc>
          <w:tcPr/>
          <w:p>
            <w:pPr>
              <w:pStyle w:val="Compact"/>
            </w:pPr>
            <w:r>
              <w:t xml:space="preserve">Advanced GI / gastric/GEJ</w:t>
            </w:r>
          </w:p>
        </w:tc>
        <w:tc>
          <w:tcPr/>
          <w:p>
            <w:pPr>
              <w:pStyle w:val="Compact"/>
            </w:pPr>
            <w:r>
              <w:t xml:space="preserve">Terminated</w:t>
            </w:r>
          </w:p>
        </w:tc>
      </w:tr>
      <w:tr>
        <w:tc>
          <w:tcPr/>
          <w:p>
            <w:pPr>
              <w:pStyle w:val="Compact"/>
            </w:pPr>
            <w:r>
              <w:t xml:space="preserve">NCT02056015</w:t>
            </w:r>
          </w:p>
        </w:tc>
        <w:tc>
          <w:tcPr/>
          <w:p>
            <w:pPr>
              <w:pStyle w:val="Compact"/>
            </w:pPr>
            <w:r>
              <w:t xml:space="preserve">[68Ga]MLN6907</w:t>
            </w:r>
          </w:p>
        </w:tc>
        <w:tc>
          <w:tcPr/>
          <w:p>
            <w:pPr>
              <w:pStyle w:val="Compact"/>
            </w:pPr>
            <w:r>
              <w:t xml:space="preserve">Takeda</w:t>
            </w:r>
          </w:p>
        </w:tc>
        <w:tc>
          <w:tcPr/>
          <w:p>
            <w:pPr>
              <w:pStyle w:val="Compact"/>
            </w:pPr>
            <w:r>
              <w:t xml:space="preserve">Phase 1</w:t>
            </w:r>
          </w:p>
        </w:tc>
        <w:tc>
          <w:tcPr/>
          <w:p>
            <w:pPr>
              <w:pStyle w:val="Compact"/>
            </w:pPr>
            <w:r>
              <w:t xml:space="preserve">Metastatic CRC</w:t>
            </w:r>
          </w:p>
        </w:tc>
        <w:tc>
          <w:tcPr/>
          <w:p>
            <w:pPr>
              <w:pStyle w:val="Compact"/>
            </w:pPr>
            <w:r>
              <w:t xml:space="preserve">Completed</w:t>
            </w:r>
          </w:p>
        </w:tc>
      </w:tr>
      <w:tr>
        <w:tc>
          <w:tcPr/>
          <w:p>
            <w:pPr>
              <w:pStyle w:val="Compact"/>
            </w:pPr>
            <w:r>
              <w:t xml:space="preserve">NCT01972737</w:t>
            </w:r>
          </w:p>
        </w:tc>
        <w:tc>
          <w:tcPr/>
          <w:p>
            <w:pPr>
              <w:pStyle w:val="Compact"/>
            </w:pPr>
            <w:r>
              <w:t xml:space="preserve">Ad5-hGCC-PADRE</w:t>
            </w:r>
          </w:p>
        </w:tc>
        <w:tc>
          <w:tcPr/>
          <w:p>
            <w:pPr>
              <w:pStyle w:val="Compact"/>
            </w:pPr>
            <w:r>
              <w:t xml:space="preserve">Thomas Jefferson U</w:t>
            </w:r>
          </w:p>
        </w:tc>
        <w:tc>
          <w:tcPr/>
          <w:p>
            <w:pPr>
              <w:pStyle w:val="Compact"/>
            </w:pPr>
            <w:r>
              <w:t xml:space="preserve">Phase 1</w:t>
            </w:r>
          </w:p>
        </w:tc>
        <w:tc>
          <w:tcPr/>
          <w:p>
            <w:pPr>
              <w:pStyle w:val="Compact"/>
            </w:pPr>
            <w:r>
              <w:t xml:space="preserve">Stage I/II CRC</w:t>
            </w:r>
          </w:p>
        </w:tc>
        <w:tc>
          <w:tcPr/>
          <w:p>
            <w:pPr>
              <w:pStyle w:val="Compact"/>
            </w:pPr>
            <w:r>
              <w:t xml:space="preserve">Completed</w:t>
            </w:r>
          </w:p>
        </w:tc>
      </w:tr>
      <w:tr>
        <w:tc>
          <w:tcPr/>
          <w:p>
            <w:pPr>
              <w:pStyle w:val="Compact"/>
            </w:pPr>
            <w:r>
              <w:t xml:space="preserve">IM96 / GCC19CART</w:t>
            </w:r>
          </w:p>
        </w:tc>
        <w:tc>
          <w:tcPr/>
          <w:p>
            <w:pPr>
              <w:pStyle w:val="Compact"/>
            </w:pPr>
            <w:r>
              <w:t xml:space="preserve">IM96</w:t>
            </w:r>
          </w:p>
        </w:tc>
        <w:tc>
          <w:tcPr/>
          <w:p>
            <w:pPr>
              <w:pStyle w:val="Compact"/>
            </w:pPr>
            <w:r>
              <w:t xml:space="preserve">ImmunoChina</w:t>
            </w:r>
          </w:p>
        </w:tc>
        <w:tc>
          <w:tcPr/>
          <w:p>
            <w:pPr>
              <w:pStyle w:val="Compact"/>
            </w:pPr>
            <w:r>
              <w:t xml:space="preserve">Phase 1</w:t>
            </w:r>
          </w:p>
        </w:tc>
        <w:tc>
          <w:tcPr/>
          <w:p>
            <w:pPr>
              <w:pStyle w:val="Compact"/>
            </w:pPr>
            <w:r>
              <w:t xml:space="preserve">mCRC (≥3L)</w:t>
            </w:r>
          </w:p>
        </w:tc>
        <w:tc>
          <w:tcPr/>
          <w:p>
            <w:pPr>
              <w:pStyle w:val="Compact"/>
            </w:pPr>
            <w:r>
              <w:t xml:space="preserve">Active (China)</w:t>
            </w:r>
          </w:p>
        </w:tc>
      </w:tr>
      <w:tr>
        <w:tc>
          <w:tcPr/>
          <w:p>
            <w:pPr>
              <w:pStyle w:val="Compact"/>
            </w:pPr>
            <w:r>
              <w:t xml:space="preserve">GCC-CART</w:t>
            </w:r>
          </w:p>
        </w:tc>
        <w:tc>
          <w:tcPr/>
          <w:p>
            <w:pPr>
              <w:pStyle w:val="Compact"/>
            </w:pPr>
            <w:r>
              <w:t xml:space="preserve">GCC-CART</w:t>
            </w:r>
          </w:p>
        </w:tc>
        <w:tc>
          <w:tcPr/>
          <w:p>
            <w:pPr>
              <w:pStyle w:val="Compact"/>
            </w:pPr>
            <w:r>
              <w:t xml:space="preserve">Protheragen</w:t>
            </w:r>
          </w:p>
        </w:tc>
        <w:tc>
          <w:tcPr/>
          <w:p>
            <w:pPr>
              <w:pStyle w:val="Compact"/>
            </w:pPr>
            <w:r>
              <w:t xml:space="preserve">Phase 1</w:t>
            </w:r>
          </w:p>
        </w:tc>
        <w:tc>
          <w:tcPr/>
          <w:p>
            <w:pPr>
              <w:pStyle w:val="Compact"/>
            </w:pPr>
            <w:r>
              <w:t xml:space="preserve">r/r mCRC</w:t>
            </w:r>
          </w:p>
        </w:tc>
        <w:tc>
          <w:tcPr/>
          <w:p>
            <w:pPr>
              <w:pStyle w:val="Compact"/>
            </w:pPr>
            <w:r>
              <w:t xml:space="preserve">Active (US)</w:t>
            </w:r>
          </w:p>
        </w:tc>
      </w:tr>
    </w:tbl>
    <w:p>
      <w:r>
        <w:pict>
          <v:rect style="width:0;height:1.5pt" o:hralign="center" o:hrstd="t" o:hr="t"/>
        </w:pict>
      </w:r>
    </w:p>
    <w:bookmarkEnd w:id="16"/>
    <w:bookmarkStart w:id="22" w:name="patent-landscape"/>
    <w:p>
      <w:pPr>
        <w:pStyle w:val="Heading2"/>
      </w:pPr>
      <w:r>
        <w:t xml:space="preserve">Patent Landscape</w:t>
      </w:r>
    </w:p>
    <w:p>
      <w:pPr>
        <w:pStyle w:val="FirstParagraph"/>
      </w:pPr>
      <w:r>
        <w:t xml:space="preserve">Searched via Justia Patents and firecrawl. Results are notable: the RLT space has</w:t>
      </w:r>
      <w:r>
        <w:t xml:space="preserve"> </w:t>
      </w:r>
      <w:r>
        <w:rPr>
          <w:b/>
          <w:bCs/>
        </w:rPr>
        <w:t xml:space="preserve">four separate patent filers</w:t>
      </w:r>
      <w:r>
        <w:t xml:space="preserve"> </w:t>
      </w:r>
      <w:r>
        <w:t xml:space="preserve">including two major pharma companies (AstraZeneca/Fusion, Bayer), one Chinese biotech, and Thomas Jefferson University.</w:t>
      </w:r>
    </w:p>
    <w:bookmarkStart w:id="17" w:name="radiopharmaceutical-rlt-patents"/>
    <w:p>
      <w:pPr>
        <w:pStyle w:val="Heading3"/>
      </w:pPr>
      <w:r>
        <w:t xml:space="preserve">Radiopharmaceutical / RLT Patents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Patent</w:t>
            </w:r>
          </w:p>
        </w:tc>
        <w:tc>
          <w:tcPr/>
          <w:p>
            <w:pPr>
              <w:pStyle w:val="Compact"/>
            </w:pPr>
            <w:r>
              <w:t xml:space="preserve">Title</w:t>
            </w:r>
          </w:p>
        </w:tc>
        <w:tc>
          <w:tcPr/>
          <w:p>
            <w:pPr>
              <w:pStyle w:val="Compact"/>
            </w:pPr>
            <w:r>
              <w:t xml:space="preserve">Assignee</w:t>
            </w:r>
          </w:p>
        </w:tc>
        <w:tc>
          <w:tcPr/>
          <w:p>
            <w:pPr>
              <w:pStyle w:val="Compact"/>
            </w:pPr>
            <w:r>
              <w:t xml:space="preserve">Priority Date</w:t>
            </w:r>
          </w:p>
        </w:tc>
        <w:tc>
          <w:tcPr/>
          <w:p>
            <w:pPr>
              <w:pStyle w:val="Compact"/>
            </w:pPr>
            <w:r>
              <w:t xml:space="preserve">Modality</w:t>
            </w:r>
          </w:p>
        </w:tc>
        <w:tc>
          <w:tcPr/>
          <w:p>
            <w:pPr>
              <w:pStyle w:val="Compact"/>
            </w:pPr>
            <w:r>
              <w:t xml:space="preserve">Status</w:t>
            </w:r>
          </w:p>
        </w:tc>
      </w:tr>
      <w:tr>
        <w:tc>
          <w:tcPr/>
          <w:p>
            <w:pPr>
              <w:pStyle w:val="Compact"/>
            </w:pPr>
            <w:r>
              <w:t xml:space="preserve">WO2023164777A1</w:t>
            </w:r>
          </w:p>
        </w:tc>
        <w:tc>
          <w:tcPr/>
          <w:p>
            <w:pPr>
              <w:pStyle w:val="Compact"/>
            </w:pPr>
            <w:r>
              <w:t xml:space="preserve">GUCY2C-targeted radiopharmaceuticals and use thereof</w:t>
            </w:r>
          </w:p>
        </w:tc>
        <w:tc>
          <w:tcPr/>
          <w:p>
            <w:pPr>
              <w:pStyle w:val="Compact"/>
            </w:pPr>
            <w:r>
              <w:rPr>
                <w:b/>
                <w:bCs/>
              </w:rPr>
              <w:t xml:space="preserve">Fusion Pharmaceuticals Inc</w:t>
            </w:r>
            <w:r>
              <w:t xml:space="preserve"> </w:t>
            </w:r>
            <w:r>
              <w:t xml:space="preserve">(now AstraZeneca)</w:t>
            </w:r>
          </w:p>
        </w:tc>
        <w:tc>
          <w:tcPr/>
          <w:p>
            <w:pPr>
              <w:pStyle w:val="Compact"/>
            </w:pPr>
            <w:r>
              <w:t xml:space="preserve">2023-03-03</w:t>
            </w:r>
          </w:p>
        </w:tc>
        <w:tc>
          <w:tcPr/>
          <w:p>
            <w:pPr>
              <w:pStyle w:val="Compact"/>
            </w:pPr>
            <w:r>
              <w:t xml:space="preserve">Monocyclic peptide-chelator conjugate (RLT)</w:t>
            </w:r>
          </w:p>
        </w:tc>
        <w:tc>
          <w:tcPr/>
          <w:p>
            <w:pPr>
              <w:pStyle w:val="Compact"/>
            </w:pPr>
            <w:r>
              <w:t xml:space="preserve">WO Ceased; national phases under AstraZeneca</w:t>
            </w:r>
          </w:p>
        </w:tc>
      </w:tr>
      <w:tr>
        <w:tc>
          <w:tcPr/>
          <w:p>
            <w:pPr>
              <w:pStyle w:val="Compact"/>
            </w:pPr>
            <w:r>
              <w:t xml:space="preserve">WO2023196821A2</w:t>
            </w:r>
          </w:p>
        </w:tc>
        <w:tc>
          <w:tcPr/>
          <w:p>
            <w:pPr>
              <w:pStyle w:val="Compact"/>
            </w:pPr>
            <w:r>
              <w:t xml:space="preserve">Radiopharmaceutical conjugates targeting guanylyl cyclase C</w:t>
            </w:r>
          </w:p>
        </w:tc>
        <w:tc>
          <w:tcPr/>
          <w:p>
            <w:pPr>
              <w:pStyle w:val="Compact"/>
            </w:pPr>
            <w:r>
              <w:rPr>
                <w:b/>
                <w:bCs/>
              </w:rPr>
              <w:t xml:space="preserve">Thomas Jefferson University</w:t>
            </w:r>
          </w:p>
        </w:tc>
        <w:tc>
          <w:tcPr/>
          <w:p>
            <w:pPr>
              <w:pStyle w:val="Compact"/>
            </w:pPr>
            <w:r>
              <w:t xml:space="preserve">2022-04-04</w:t>
            </w:r>
          </w:p>
        </w:tc>
        <w:tc>
          <w:tcPr/>
          <w:p>
            <w:pPr>
              <w:pStyle w:val="Compact"/>
            </w:pPr>
            <w:r>
              <w:t xml:space="preserve">RLT conjugates</w:t>
            </w:r>
          </w:p>
        </w:tc>
        <w:tc>
          <w:tcPr/>
          <w:p>
            <w:pPr>
              <w:pStyle w:val="Compact"/>
            </w:pPr>
            <w:r>
              <w:t xml:space="preserve">Pending</w:t>
            </w:r>
          </w:p>
        </w:tc>
      </w:tr>
      <w:tr>
        <w:tc>
          <w:tcPr/>
          <w:p>
            <w:pPr>
              <w:pStyle w:val="Compact"/>
            </w:pPr>
            <w:r>
              <w:t xml:space="preserve">EP4552657A1 / PCT/EP2024/081175</w:t>
            </w:r>
          </w:p>
        </w:tc>
        <w:tc>
          <w:tcPr/>
          <w:p>
            <w:pPr>
              <w:pStyle w:val="Compact"/>
            </w:pPr>
            <w:r>
              <w:t xml:space="preserve">Radiopharmaceutical complexes and combinations (incl. GUCY2C + cMet)</w:t>
            </w:r>
          </w:p>
        </w:tc>
        <w:tc>
          <w:tcPr/>
          <w:p>
            <w:pPr>
              <w:pStyle w:val="Compact"/>
            </w:pPr>
            <w:r>
              <w:rPr>
                <w:b/>
                <w:bCs/>
              </w:rPr>
              <w:t xml:space="preserve">Bayer AG</w:t>
            </w:r>
          </w:p>
        </w:tc>
        <w:tc>
          <w:tcPr/>
          <w:p>
            <w:pPr>
              <w:pStyle w:val="Compact"/>
            </w:pPr>
            <w:r>
              <w:t xml:space="preserve">2023-11-07</w:t>
            </w:r>
          </w:p>
        </w:tc>
        <w:tc>
          <w:tcPr/>
          <w:p>
            <w:pPr>
              <w:pStyle w:val="Compact"/>
            </w:pPr>
            <w:r>
              <w:t xml:space="preserve">Multi-target RLT</w:t>
            </w:r>
          </w:p>
        </w:tc>
        <w:tc>
          <w:tcPr/>
          <w:p>
            <w:pPr>
              <w:pStyle w:val="Compact"/>
            </w:pPr>
            <w:r>
              <w:t xml:space="preserve">EP Ceased; PCT Pending</w:t>
            </w:r>
          </w:p>
        </w:tc>
      </w:tr>
      <w:tr>
        <w:tc>
          <w:tcPr/>
          <w:p>
            <w:pPr>
              <w:pStyle w:val="Compact"/>
            </w:pPr>
            <w:r>
              <w:t xml:space="preserve">WO2022115799A1 / CN116888138A</w:t>
            </w:r>
          </w:p>
        </w:tc>
        <w:tc>
          <w:tcPr/>
          <w:p>
            <w:pPr>
              <w:pStyle w:val="Compact"/>
            </w:pPr>
            <w:r>
              <w:t xml:space="preserve">Radiopharmaceutical conjugates targeting guanylyl cyclase C</w:t>
            </w:r>
          </w:p>
        </w:tc>
        <w:tc>
          <w:tcPr/>
          <w:p>
            <w:pPr>
              <w:pStyle w:val="Compact"/>
            </w:pPr>
            <w:r>
              <w:rPr>
                <w:b/>
                <w:bCs/>
              </w:rPr>
              <w:t xml:space="preserve">RayzeBio, Inc.</w:t>
            </w:r>
            <w:r>
              <w:t xml:space="preserve"> </w:t>
            </w:r>
            <w:r>
              <w:t xml:space="preserve">(now BMS)</w:t>
            </w:r>
          </w:p>
        </w:tc>
        <w:tc>
          <w:tcPr/>
          <w:p>
            <w:pPr>
              <w:pStyle w:val="Compact"/>
            </w:pPr>
            <w:r>
              <w:t xml:space="preserve">2021-11-30</w:t>
            </w:r>
          </w:p>
        </w:tc>
        <w:tc>
          <w:tcPr/>
          <w:p>
            <w:pPr>
              <w:pStyle w:val="Compact"/>
            </w:pPr>
            <w:r>
              <w:t xml:space="preserve">GCC-binding peptide + metal chelator conjugate (RLT)</w:t>
            </w:r>
          </w:p>
        </w:tc>
        <w:tc>
          <w:tcPr/>
          <w:p>
            <w:pPr>
              <w:pStyle w:val="Compact"/>
            </w:pPr>
            <w:r>
              <w:t xml:space="preserve">CN + EP Pending; US national phase Abandoned</w:t>
            </w:r>
          </w:p>
        </w:tc>
      </w:tr>
      <w:tr>
        <w:tc>
          <w:tcPr/>
          <w:p>
            <w:pPr>
              <w:pStyle w:val="Compact"/>
            </w:pPr>
            <w:r>
              <w:t xml:space="preserve">US20160303258A1</w:t>
            </w:r>
          </w:p>
        </w:tc>
        <w:tc>
          <w:tcPr/>
          <w:p>
            <w:pPr>
              <w:pStyle w:val="Compact"/>
            </w:pPr>
            <w:r>
              <w:t xml:space="preserve">Compounds and compositions for imaging GCC-expressing cells</w:t>
            </w:r>
          </w:p>
        </w:tc>
        <w:tc>
          <w:tcPr/>
          <w:p>
            <w:pPr>
              <w:pStyle w:val="Compact"/>
            </w:pPr>
            <w:r>
              <w:t xml:space="preserve">Univ. Iowa / UNM / Millennium / Invicro</w:t>
            </w:r>
          </w:p>
        </w:tc>
        <w:tc>
          <w:tcPr/>
          <w:p>
            <w:pPr>
              <w:pStyle w:val="Compact"/>
            </w:pPr>
            <w:r>
              <w:t xml:space="preserve">2014-12-03</w:t>
            </w:r>
          </w:p>
        </w:tc>
        <w:tc>
          <w:tcPr/>
          <w:p>
            <w:pPr>
              <w:pStyle w:val="Compact"/>
            </w:pPr>
            <w:r>
              <w:t xml:space="preserve">Radiopharmaceutical imaging</w:t>
            </w:r>
          </w:p>
        </w:tc>
        <w:tc>
          <w:tcPr/>
          <w:p>
            <w:pPr>
              <w:pStyle w:val="Compact"/>
            </w:pPr>
            <w:r>
              <w:t xml:space="preserve">Abandoned (US + EP)</w:t>
            </w:r>
          </w:p>
        </w:tc>
      </w:tr>
    </w:tbl>
    <w:p>
      <w:pPr>
        <w:pStyle w:val="BlockText"/>
      </w:pPr>
      <w:r>
        <w:rPr>
          <w:b/>
          <w:bCs/>
        </w:rPr>
        <w:t xml:space="preserve">RayzeBio note:</w:t>
      </w:r>
      <w:r>
        <w:t xml:space="preserve"> </w:t>
      </w:r>
      <w:r>
        <w:t xml:space="preserve">WO2022115799A1 does not appear on RayzeBio's Justia assignee page (only their SSTR2 portfolio is indexed there), but the patent document itself names RayzeBio Inc as assignee. The US national phase (US17/989,479) was abandoned; CN and EP national phases remain pending under BMS post-acquisition. This is a distinct program from their clinical pipeline (which focuses on SSTR2 and GPC3) — likely an early-stage or deprioritized asset.</w:t>
      </w:r>
    </w:p>
    <w:bookmarkEnd w:id="17"/>
    <w:bookmarkStart w:id="18" w:name="antibody-bispecific-tce-patents"/>
    <w:p>
      <w:pPr>
        <w:pStyle w:val="Heading3"/>
      </w:pPr>
      <w:r>
        <w:t xml:space="preserve">Antibody / Bispecific / TCE Patents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Patent</w:t>
            </w:r>
          </w:p>
        </w:tc>
        <w:tc>
          <w:tcPr/>
          <w:p>
            <w:pPr>
              <w:pStyle w:val="Compact"/>
            </w:pPr>
            <w:r>
              <w:t xml:space="preserve">Title</w:t>
            </w:r>
          </w:p>
        </w:tc>
        <w:tc>
          <w:tcPr/>
          <w:p>
            <w:pPr>
              <w:pStyle w:val="Compact"/>
            </w:pPr>
            <w:r>
              <w:t xml:space="preserve">Assignee</w:t>
            </w:r>
          </w:p>
        </w:tc>
        <w:tc>
          <w:tcPr/>
          <w:p>
            <w:pPr>
              <w:pStyle w:val="Compact"/>
            </w:pPr>
            <w:r>
              <w:t xml:space="preserve">Priority Date</w:t>
            </w:r>
          </w:p>
        </w:tc>
        <w:tc>
          <w:tcPr/>
          <w:p>
            <w:pPr>
              <w:pStyle w:val="Compact"/>
            </w:pPr>
            <w:r>
              <w:t xml:space="preserve">Modality</w:t>
            </w:r>
          </w:p>
        </w:tc>
        <w:tc>
          <w:tcPr/>
          <w:p>
            <w:pPr>
              <w:pStyle w:val="Compact"/>
            </w:pPr>
            <w:r>
              <w:t xml:space="preserve">Status</w:t>
            </w:r>
          </w:p>
        </w:tc>
      </w:tr>
      <w:tr>
        <w:tc>
          <w:tcPr/>
          <w:p>
            <w:pPr>
              <w:pStyle w:val="Compact"/>
            </w:pPr>
            <w:r>
              <w:t xml:space="preserve">US11525010B2</w:t>
            </w:r>
          </w:p>
        </w:tc>
        <w:tc>
          <w:tcPr/>
          <w:p>
            <w:pPr>
              <w:pStyle w:val="Compact"/>
            </w:pPr>
            <w:r>
              <w:t xml:space="preserve">Antibodies specific for GUCY2c and uses thereof</w:t>
            </w:r>
          </w:p>
        </w:tc>
        <w:tc>
          <w:tcPr/>
          <w:p>
            <w:pPr>
              <w:pStyle w:val="Compact"/>
            </w:pPr>
            <w:r>
              <w:rPr>
                <w:b/>
                <w:bCs/>
              </w:rPr>
              <w:t xml:space="preserve">Pfizer Inc</w:t>
            </w:r>
          </w:p>
        </w:tc>
        <w:tc>
          <w:tcPr/>
          <w:p>
            <w:pPr>
              <w:pStyle w:val="Compact"/>
            </w:pPr>
            <w:r>
              <w:t xml:space="preserve">~May 2018</w:t>
            </w:r>
          </w:p>
        </w:tc>
        <w:tc>
          <w:tcPr/>
          <w:p>
            <w:pPr>
              <w:pStyle w:val="Compact"/>
            </w:pPr>
            <w:r>
              <w:t xml:space="preserve">Anti-GUCY2C Ab + GUCY2C×CD3 bispecific TCE</w:t>
            </w:r>
          </w:p>
        </w:tc>
        <w:tc>
          <w:tcPr/>
          <w:p>
            <w:pPr>
              <w:pStyle w:val="Compact"/>
            </w:pPr>
            <w:r>
              <w:rPr>
                <w:b/>
                <w:bCs/>
              </w:rPr>
              <w:t xml:space="preserve">Granted</w:t>
            </w:r>
            <w:r>
              <w:t xml:space="preserve">; expires 2039</w:t>
            </w:r>
          </w:p>
        </w:tc>
      </w:tr>
      <w:tr>
        <w:tc>
          <w:tcPr/>
          <w:p>
            <w:pPr>
              <w:pStyle w:val="Compact"/>
            </w:pPr>
            <w:r>
              <w:t xml:space="preserve">US20250066510A1</w:t>
            </w:r>
          </w:p>
        </w:tc>
        <w:tc>
          <w:tcPr/>
          <w:p>
            <w:pPr>
              <w:pStyle w:val="Compact"/>
            </w:pPr>
            <w:r>
              <w:t xml:space="preserve">GUCY2c antibodies and uses thereof</w:t>
            </w:r>
          </w:p>
        </w:tc>
        <w:tc>
          <w:tcPr/>
          <w:p>
            <w:pPr>
              <w:pStyle w:val="Compact"/>
            </w:pPr>
            <w:r>
              <w:rPr>
                <w:b/>
                <w:bCs/>
              </w:rPr>
              <w:t xml:space="preserve">Janssen Biotech / J&amp;J</w:t>
            </w:r>
          </w:p>
        </w:tc>
        <w:tc>
          <w:tcPr/>
          <w:p>
            <w:pPr>
              <w:pStyle w:val="Compact"/>
            </w:pPr>
            <w:r>
              <w:t xml:space="preserve">2023-08-07</w:t>
            </w:r>
          </w:p>
        </w:tc>
        <w:tc>
          <w:tcPr/>
          <w:p>
            <w:pPr>
              <w:pStyle w:val="Compact"/>
            </w:pPr>
            <w:r>
              <w:t xml:space="preserve">Anti-GUCY2C Ab + GUCY2C×CD3 bispecific</w:t>
            </w:r>
          </w:p>
        </w:tc>
        <w:tc>
          <w:tcPr/>
          <w:p>
            <w:pPr>
              <w:pStyle w:val="Compact"/>
            </w:pPr>
            <w:r>
              <w:t xml:space="preserve">Pending</w:t>
            </w:r>
          </w:p>
        </w:tc>
      </w:tr>
      <w:tr>
        <w:tc>
          <w:tcPr/>
          <w:p>
            <w:pPr>
              <w:pStyle w:val="Compact"/>
            </w:pPr>
            <w:r>
              <w:t xml:space="preserve">US20240165257</w:t>
            </w:r>
          </w:p>
        </w:tc>
        <w:tc>
          <w:tcPr/>
          <w:p>
            <w:pPr>
              <w:pStyle w:val="Compact"/>
            </w:pPr>
            <w:r>
              <w:t xml:space="preserve">Anti-GUCY2C antibody and uses thereof</w:t>
            </w:r>
          </w:p>
        </w:tc>
        <w:tc>
          <w:tcPr/>
          <w:p>
            <w:pPr>
              <w:pStyle w:val="Compact"/>
            </w:pPr>
            <w:r>
              <w:rPr>
                <w:b/>
                <w:bCs/>
              </w:rPr>
              <w:t xml:space="preserve">Heidelberg Pharma</w:t>
            </w:r>
            <w:r>
              <w:t xml:space="preserve"> </w:t>
            </w:r>
            <w:r>
              <w:t xml:space="preserve">(Torsten Hechler)</w:t>
            </w:r>
          </w:p>
        </w:tc>
        <w:tc>
          <w:tcPr/>
          <w:p>
            <w:pPr>
              <w:pStyle w:val="Compact"/>
            </w:pPr>
            <w:r>
              <w:t xml:space="preserve">~2023</w:t>
            </w:r>
          </w:p>
        </w:tc>
        <w:tc>
          <w:tcPr/>
          <w:p>
            <w:pPr>
              <w:pStyle w:val="Compact"/>
            </w:pPr>
            <w:r>
              <w:t xml:space="preserve">Anti-GUCY2C antibody (likely ATAC/amanitin-based ADC)</w:t>
            </w:r>
          </w:p>
        </w:tc>
        <w:tc>
          <w:tcPr/>
          <w:p>
            <w:pPr>
              <w:pStyle w:val="Compact"/>
            </w:pPr>
            <w:r>
              <w:t xml:space="preserve">Pending</w:t>
            </w:r>
          </w:p>
        </w:tc>
      </w:tr>
    </w:tbl>
    <w:p>
      <w:pPr>
        <w:pStyle w:val="BlockText"/>
      </w:pPr>
      <w:r>
        <w:rPr>
          <w:b/>
          <w:bCs/>
        </w:rPr>
        <w:t xml:space="preserve">Heidelberg Pharma flag:</w:t>
      </w:r>
      <w:r>
        <w:t xml:space="preserve"> </w:t>
      </w:r>
      <w:r>
        <w:t xml:space="preserve">Torsten Hechler is Heidelberg Pharma's head of chemistry; they use amanitin-based ADC payloads (ATAC technology). A GUCY2C patent from them likely signals an ATAC-ADC program — a non-MMAE, non-DNA-alkylator approach not yet tried clinically.</w:t>
      </w:r>
    </w:p>
    <w:bookmarkEnd w:id="18"/>
    <w:bookmarkStart w:id="19" w:name="antibody-car-nk-patents"/>
    <w:p>
      <w:pPr>
        <w:pStyle w:val="Heading3"/>
      </w:pPr>
      <w:r>
        <w:t xml:space="preserve">Antibody / CAR-NK Patents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Patent</w:t>
            </w:r>
          </w:p>
        </w:tc>
        <w:tc>
          <w:tcPr/>
          <w:p>
            <w:pPr>
              <w:pStyle w:val="Compact"/>
            </w:pPr>
            <w:r>
              <w:t xml:space="preserve">Title</w:t>
            </w:r>
          </w:p>
        </w:tc>
        <w:tc>
          <w:tcPr/>
          <w:p>
            <w:pPr>
              <w:pStyle w:val="Compact"/>
            </w:pPr>
            <w:r>
              <w:t xml:space="preserve">Assignee</w:t>
            </w:r>
          </w:p>
        </w:tc>
        <w:tc>
          <w:tcPr/>
          <w:p>
            <w:pPr>
              <w:pStyle w:val="Compact"/>
            </w:pPr>
            <w:r>
              <w:t xml:space="preserve">Priority Date</w:t>
            </w:r>
          </w:p>
        </w:tc>
        <w:tc>
          <w:tcPr/>
          <w:p>
            <w:pPr>
              <w:pStyle w:val="Compact"/>
            </w:pPr>
            <w:r>
              <w:t xml:space="preserve">Modality</w:t>
            </w:r>
          </w:p>
        </w:tc>
        <w:tc>
          <w:tcPr/>
          <w:p>
            <w:pPr>
              <w:pStyle w:val="Compact"/>
            </w:pPr>
            <w:r>
              <w:t xml:space="preserve">Status</w:t>
            </w:r>
          </w:p>
        </w:tc>
      </w:tr>
      <w:tr>
        <w:tc>
          <w:tcPr/>
          <w:p>
            <w:pPr>
              <w:pStyle w:val="Compact"/>
            </w:pPr>
            <w:r>
              <w:t xml:space="preserve">US20240115706A1</w:t>
            </w:r>
          </w:p>
        </w:tc>
        <w:tc>
          <w:tcPr/>
          <w:p>
            <w:pPr>
              <w:pStyle w:val="Compact"/>
            </w:pPr>
            <w:r>
              <w:t xml:space="preserve">GUCY2C binding polypeptide and uses thereof</w:t>
            </w:r>
          </w:p>
        </w:tc>
        <w:tc>
          <w:tcPr/>
          <w:p>
            <w:pPr>
              <w:pStyle w:val="Compact"/>
            </w:pPr>
            <w:r>
              <w:rPr>
                <w:b/>
                <w:bCs/>
              </w:rPr>
              <w:t xml:space="preserve">LG Chem Ltd</w:t>
            </w:r>
          </w:p>
        </w:tc>
        <w:tc>
          <w:tcPr/>
          <w:p>
            <w:pPr>
              <w:pStyle w:val="Compact"/>
            </w:pPr>
            <w:r>
              <w:t xml:space="preserve">2021-04-07</w:t>
            </w:r>
          </w:p>
        </w:tc>
        <w:tc>
          <w:tcPr/>
          <w:p>
            <w:pPr>
              <w:pStyle w:val="Compact"/>
            </w:pPr>
            <w:r>
              <w:t xml:space="preserve">scFv / antibody / CAR-NK cells</w:t>
            </w:r>
          </w:p>
        </w:tc>
        <w:tc>
          <w:tcPr/>
          <w:p>
            <w:pPr>
              <w:pStyle w:val="Compact"/>
            </w:pPr>
            <w:r>
              <w:t xml:space="preserve">Pending (pub April 2024)</w:t>
            </w:r>
          </w:p>
        </w:tc>
      </w:tr>
    </w:tbl>
    <w:p>
      <w:pPr>
        <w:pStyle w:val="BlockText"/>
      </w:pPr>
      <w:r>
        <w:rPr>
          <w:b/>
          <w:bCs/>
        </w:rPr>
        <w:t xml:space="preserve">LG Chem flag:</w:t>
      </w:r>
      <w:r>
        <w:t xml:space="preserve"> </w:t>
      </w:r>
      <w:r>
        <w:t xml:space="preserve">Unexpected entrant. LG Chem's patent covers scFv, full-length antibodies, Fc fusions, and CAR-NK cells targeting GUCY2C — 18 distinct scFv sequences binding human, monkey, and mouse GUCY2C. This is a CAR-NK approach, distinct from all current CAR-T programs. LG Chem has been quietly building an oncology pipeline through their life sciences division.</w:t>
      </w:r>
    </w:p>
    <w:bookmarkEnd w:id="19"/>
    <w:bookmarkStart w:id="20" w:name="car-t-patents"/>
    <w:p>
      <w:pPr>
        <w:pStyle w:val="Heading3"/>
      </w:pPr>
      <w:r>
        <w:t xml:space="preserve">CAR-T Patents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Patent</w:t>
            </w:r>
          </w:p>
        </w:tc>
        <w:tc>
          <w:tcPr/>
          <w:p>
            <w:pPr>
              <w:pStyle w:val="Compact"/>
            </w:pPr>
            <w:r>
              <w:t xml:space="preserve">Title</w:t>
            </w:r>
          </w:p>
        </w:tc>
        <w:tc>
          <w:tcPr/>
          <w:p>
            <w:pPr>
              <w:pStyle w:val="Compact"/>
            </w:pPr>
            <w:r>
              <w:t xml:space="preserve">Assignee</w:t>
            </w:r>
          </w:p>
        </w:tc>
        <w:tc>
          <w:tcPr/>
          <w:p>
            <w:pPr>
              <w:pStyle w:val="Compact"/>
            </w:pPr>
            <w:r>
              <w:t xml:space="preserve">Priority Date</w:t>
            </w:r>
          </w:p>
        </w:tc>
        <w:tc>
          <w:tcPr/>
          <w:p>
            <w:pPr>
              <w:pStyle w:val="Compact"/>
            </w:pPr>
            <w:r>
              <w:t xml:space="preserve">Status</w:t>
            </w:r>
          </w:p>
        </w:tc>
      </w:tr>
      <w:tr>
        <w:tc>
          <w:tcPr/>
          <w:p>
            <w:pPr>
              <w:pStyle w:val="Compact"/>
            </w:pPr>
            <w:r>
              <w:t xml:space="preserve">US20210038648</w:t>
            </w:r>
          </w:p>
        </w:tc>
        <w:tc>
          <w:tcPr/>
          <w:p>
            <w:pPr>
              <w:pStyle w:val="Compact"/>
            </w:pPr>
            <w:r>
              <w:t xml:space="preserve">Anti-GUCY2C chimeric antigen receptor compositions</w:t>
            </w:r>
          </w:p>
        </w:tc>
        <w:tc>
          <w:tcPr/>
          <w:p>
            <w:pPr>
              <w:pStyle w:val="Compact"/>
            </w:pPr>
            <w:r>
              <w:t xml:space="preserve">Thomas Jefferson University (Waldman lab)</w:t>
            </w:r>
          </w:p>
        </w:tc>
        <w:tc>
          <w:tcPr/>
          <w:p>
            <w:pPr>
              <w:pStyle w:val="Compact"/>
            </w:pPr>
            <w:r>
              <w:t xml:space="preserve">~2020</w:t>
            </w:r>
          </w:p>
        </w:tc>
        <w:tc>
          <w:tcPr/>
          <w:p>
            <w:pPr>
              <w:pStyle w:val="Compact"/>
            </w:pPr>
            <w:r>
              <w:t xml:space="preserve">Pending</w:t>
            </w:r>
          </w:p>
        </w:tc>
      </w:tr>
      <w:tr>
        <w:tc>
          <w:tcPr/>
          <w:p>
            <w:pPr>
              <w:pStyle w:val="Compact"/>
            </w:pPr>
            <w:r>
              <w:t xml:space="preserve">US11970548B2</w:t>
            </w:r>
          </w:p>
        </w:tc>
        <w:tc>
          <w:tcPr/>
          <w:p>
            <w:pPr>
              <w:pStyle w:val="Compact"/>
            </w:pPr>
            <w:r>
              <w:t xml:space="preserve">Nanobody target GCC and uses in CAR-T</w:t>
            </w:r>
          </w:p>
        </w:tc>
        <w:tc>
          <w:tcPr/>
          <w:p>
            <w:pPr>
              <w:pStyle w:val="Compact"/>
            </w:pPr>
            <w:r>
              <w:rPr>
                <w:b/>
                <w:bCs/>
              </w:rPr>
              <w:t xml:space="preserve">Innovative Cellular Therapeutics (ICT)</w:t>
            </w:r>
          </w:p>
        </w:tc>
        <w:tc>
          <w:tcPr/>
          <w:p>
            <w:pPr>
              <w:pStyle w:val="Compact"/>
            </w:pPr>
            <w:r>
              <w:t xml:space="preserve">2022-08-23</w:t>
            </w:r>
          </w:p>
        </w:tc>
        <w:tc>
          <w:tcPr/>
          <w:p>
            <w:pPr>
              <w:pStyle w:val="Compact"/>
            </w:pPr>
            <w:r>
              <w:rPr>
                <w:b/>
                <w:bCs/>
              </w:rPr>
              <w:t xml:space="preserve">Granted</w:t>
            </w:r>
            <w:r>
              <w:t xml:space="preserve"> </w:t>
            </w:r>
            <w:r>
              <w:t xml:space="preserve">April 2024</w:t>
            </w:r>
          </w:p>
        </w:tc>
      </w:tr>
      <w:tr>
        <w:tc>
          <w:tcPr/>
          <w:p>
            <w:pPr>
              <w:pStyle w:val="Compact"/>
            </w:pPr>
            <w:r>
              <w:t xml:space="preserve">US12043654B2</w:t>
            </w:r>
          </w:p>
        </w:tc>
        <w:tc>
          <w:tcPr/>
          <w:p>
            <w:pPr>
              <w:pStyle w:val="Compact"/>
            </w:pPr>
            <w:r>
              <w:t xml:space="preserve">Anti-GCC antibody and CAR for digestive system cancer</w:t>
            </w:r>
          </w:p>
        </w:tc>
        <w:tc>
          <w:tcPr/>
          <w:p>
            <w:pPr>
              <w:pStyle w:val="Compact"/>
            </w:pPr>
            <w:r>
              <w:rPr>
                <w:b/>
                <w:bCs/>
              </w:rPr>
              <w:t xml:space="preserve">Innovative Cellular Therapeutics (ICT)</w:t>
            </w:r>
          </w:p>
        </w:tc>
        <w:tc>
          <w:tcPr/>
          <w:p>
            <w:pPr>
              <w:pStyle w:val="Compact"/>
            </w:pPr>
            <w:r>
              <w:t xml:space="preserve">2021-05-26</w:t>
            </w:r>
          </w:p>
        </w:tc>
        <w:tc>
          <w:tcPr/>
          <w:p>
            <w:pPr>
              <w:pStyle w:val="Compact"/>
            </w:pPr>
            <w:r>
              <w:rPr>
                <w:b/>
                <w:bCs/>
              </w:rPr>
              <w:t xml:space="preserve">Granted</w:t>
            </w:r>
            <w:r>
              <w:t xml:space="preserve"> </w:t>
            </w:r>
            <w:r>
              <w:t xml:space="preserve">July 2024</w:t>
            </w:r>
          </w:p>
        </w:tc>
      </w:tr>
      <w:tr>
        <w:tc>
          <w:tcPr/>
          <w:p>
            <w:pPr>
              <w:pStyle w:val="Compact"/>
            </w:pPr>
            <w:r>
              <w:t xml:space="preserve">US20260055209</w:t>
            </w:r>
          </w:p>
        </w:tc>
        <w:tc>
          <w:tcPr/>
          <w:p>
            <w:pPr>
              <w:pStyle w:val="Compact"/>
            </w:pPr>
            <w:r>
              <w:t xml:space="preserve">Nanobody target GCC for CAR-T (next-gen)</w:t>
            </w:r>
          </w:p>
        </w:tc>
        <w:tc>
          <w:tcPr/>
          <w:p>
            <w:pPr>
              <w:pStyle w:val="Compact"/>
            </w:pPr>
            <w:r>
              <w:rPr>
                <w:b/>
                <w:bCs/>
              </w:rPr>
              <w:t xml:space="preserve">Innovative Cellular Therapeutics (ICT)</w:t>
            </w:r>
          </w:p>
        </w:tc>
        <w:tc>
          <w:tcPr/>
          <w:p>
            <w:pPr>
              <w:pStyle w:val="Compact"/>
            </w:pPr>
            <w:r>
              <w:t xml:space="preserve">2023-08-22</w:t>
            </w:r>
          </w:p>
        </w:tc>
        <w:tc>
          <w:tcPr/>
          <w:p>
            <w:pPr>
              <w:pStyle w:val="Compact"/>
            </w:pPr>
            <w:r>
              <w:t xml:space="preserve">Pending (pub Feb 2026)</w:t>
            </w:r>
          </w:p>
        </w:tc>
      </w:tr>
      <w:tr>
        <w:tc>
          <w:tcPr/>
          <w:p>
            <w:pPr>
              <w:pStyle w:val="Compact"/>
            </w:pPr>
            <w:r>
              <w:t xml:space="preserve">WO2024131905A1</w:t>
            </w:r>
          </w:p>
        </w:tc>
        <w:tc>
          <w:tcPr/>
          <w:p>
            <w:pPr>
              <w:pStyle w:val="Compact"/>
            </w:pPr>
            <w:r>
              <w:t xml:space="preserve">Immune effector cells targeting GUCY2C and CD19</w:t>
            </w:r>
          </w:p>
        </w:tc>
        <w:tc>
          <w:tcPr/>
          <w:p>
            <w:pPr>
              <w:pStyle w:val="Compact"/>
            </w:pPr>
            <w:r>
              <w:t xml:space="preserve">Fapon Biotherapy Inc (China)</w:t>
            </w:r>
          </w:p>
        </w:tc>
        <w:tc>
          <w:tcPr/>
          <w:p>
            <w:pPr>
              <w:pStyle w:val="Compact"/>
            </w:pPr>
            <w:r>
              <w:t xml:space="preserve">2023-12-21</w:t>
            </w:r>
          </w:p>
        </w:tc>
        <w:tc>
          <w:tcPr/>
          <w:p>
            <w:pPr>
              <w:pStyle w:val="Compact"/>
            </w:pPr>
            <w:r>
              <w:t xml:space="preserve">Pending</w:t>
            </w:r>
          </w:p>
        </w:tc>
      </w:tr>
    </w:tbl>
    <w:p>
      <w:pPr>
        <w:pStyle w:val="BlockText"/>
      </w:pPr>
      <w:r>
        <w:rPr>
          <w:b/>
          <w:bCs/>
        </w:rPr>
        <w:t xml:space="preserve">ICT flag:</w:t>
      </w:r>
      <w:r>
        <w:t xml:space="preserve"> </w:t>
      </w:r>
      <w:r>
        <w:t xml:space="preserve">Innovative Cellular Therapeutics has two</w:t>
      </w:r>
      <w:r>
        <w:t xml:space="preserve"> </w:t>
      </w:r>
      <w:r>
        <w:rPr>
          <w:b/>
          <w:bCs/>
        </w:rPr>
        <w:t xml:space="preserve">granted</w:t>
      </w:r>
      <w:r>
        <w:t xml:space="preserve"> </w:t>
      </w:r>
      <w:r>
        <w:t xml:space="preserve">GCC CAR-T patents and a new application — the most active CAR-T patent filer in the GUCY2C space. Likely the platform behind one of the active Chinese CAR-T clinical programs.</w:t>
      </w:r>
    </w:p>
    <w:bookmarkEnd w:id="20"/>
    <w:bookmarkStart w:id="21" w:name="ip-summary-for-sego"/>
    <w:p>
      <w:pPr>
        <w:pStyle w:val="Heading3"/>
      </w:pPr>
      <w:r>
        <w:t xml:space="preserve">IP Summary for Sego</w:t>
      </w:r>
    </w:p>
    <w:p>
      <w:pPr>
        <w:pStyle w:val="Compact"/>
        <w:numPr>
          <w:ilvl w:val="0"/>
          <w:numId w:val="1001"/>
        </w:numPr>
      </w:pPr>
      <w:r>
        <w:rPr>
          <w:b/>
          <w:bCs/>
        </w:rPr>
        <w:t xml:space="preserve">RLT space is patent-crowded but clinically empty:</w:t>
      </w:r>
      <w:r>
        <w:t xml:space="preserve"> </w:t>
      </w:r>
      <w:r>
        <w:t xml:space="preserve">Five filers (AZ/Fusion, Bayer, TJU, RayzeBio/BMS, and the academic imaging group) hold RLT or radiopharmaceutical patents, but none have an active IND for GUCY2C RLT. Freedom to operate analysis warranted before entering this modality.</w:t>
      </w:r>
    </w:p>
    <w:p>
      <w:pPr>
        <w:pStyle w:val="Compact"/>
        <w:numPr>
          <w:ilvl w:val="0"/>
          <w:numId w:val="1001"/>
        </w:numPr>
      </w:pPr>
      <w:r>
        <w:rPr>
          <w:b/>
          <w:bCs/>
        </w:rPr>
        <w:t xml:space="preserve">ADC space is open:</w:t>
      </w:r>
      <w:r>
        <w:t xml:space="preserve"> </w:t>
      </w:r>
      <w:r>
        <w:t xml:space="preserve">No active ADC patents from major players post-Takeda exit. Heidelberg Pharma (amanitin/ATAC) is the only new ADC filer — and not yet in clinic.</w:t>
      </w:r>
    </w:p>
    <w:p>
      <w:pPr>
        <w:pStyle w:val="Compact"/>
        <w:numPr>
          <w:ilvl w:val="0"/>
          <w:numId w:val="1001"/>
        </w:numPr>
      </w:pPr>
      <w:r>
        <w:rPr>
          <w:b/>
          <w:bCs/>
        </w:rPr>
        <w:t xml:space="preserve">CAR-T IP is increasingly crowded:</w:t>
      </w:r>
      <w:r>
        <w:t xml:space="preserve"> </w:t>
      </w:r>
      <w:r>
        <w:t xml:space="preserve">ICT has granted patents covering nanobody-based GCC CAR-T; any new CAR-T program should assess freedom to operate against US11970548 and US12043654.</w:t>
      </w:r>
    </w:p>
    <w:p>
      <w:pPr>
        <w:pStyle w:val="Compact"/>
        <w:numPr>
          <w:ilvl w:val="0"/>
          <w:numId w:val="1001"/>
        </w:numPr>
      </w:pPr>
      <w:r>
        <w:rPr>
          <w:b/>
          <w:bCs/>
        </w:rPr>
        <w:t xml:space="preserve">Pfizer's bispecific patent (US11525010) is granted and active through 2039</w:t>
      </w:r>
      <w:r>
        <w:t xml:space="preserve"> </w:t>
      </w:r>
      <w:r>
        <w:t xml:space="preserve">— covers the GUCY2C×CD3 format broadly.</w:t>
      </w:r>
    </w:p>
    <w:p>
      <w:r>
        <w:pict>
          <v:rect style="width:0;height:1.5pt" o:hralign="center" o:hrstd="t" o:hr="t"/>
        </w:pict>
      </w:r>
    </w:p>
    <w:bookmarkEnd w:id="21"/>
    <w:bookmarkEnd w:id="22"/>
    <w:bookmarkStart w:id="23" w:name="recent-developments-20252026"/>
    <w:p>
      <w:pPr>
        <w:pStyle w:val="Heading2"/>
      </w:pPr>
      <w:r>
        <w:t xml:space="preserve">Recent Developments (2025–2026)</w:t>
      </w:r>
    </w:p>
    <w:p>
      <w:pPr>
        <w:pStyle w:val="Compact"/>
        <w:numPr>
          <w:ilvl w:val="0"/>
          <w:numId w:val="1002"/>
        </w:numPr>
      </w:pPr>
      <w:r>
        <w:rPr>
          <w:b/>
          <w:bCs/>
        </w:rPr>
        <w:t xml:space="preserve">2026 (J Nucl Med)</w:t>
      </w:r>
      <w:r>
        <w:t xml:space="preserve"> </w:t>
      </w:r>
      <w:r>
        <w:t xml:space="preserve">— PR15-7 GUCY2C antibody conjugated to 89Zr, 177Lu, Cy5, ICG published as a multi-modal theranostic platform for CRC diagnosis and radiopharmaceutical therapy — preclinical.</w:t>
      </w:r>
    </w:p>
    <w:p>
      <w:pPr>
        <w:pStyle w:val="Compact"/>
        <w:numPr>
          <w:ilvl w:val="0"/>
          <w:numId w:val="1002"/>
        </w:numPr>
      </w:pPr>
      <w:r>
        <w:rPr>
          <w:b/>
          <w:bCs/>
        </w:rPr>
        <w:t xml:space="preserve">2025 (Cell Death Discovery)</w:t>
      </w:r>
      <w:r>
        <w:t xml:space="preserve"> </w:t>
      </w:r>
      <w:r>
        <w:t xml:space="preserve">— Bispecific ADC targeting CDH17 and GUCY2C with ferroptosis-inducing payload RSL3 published as preclinical proof-of-concept for dual-antigen targeting in CRC.</w:t>
      </w:r>
    </w:p>
    <w:p>
      <w:pPr>
        <w:pStyle w:val="Compact"/>
        <w:numPr>
          <w:ilvl w:val="0"/>
          <w:numId w:val="1002"/>
        </w:numPr>
      </w:pPr>
      <w:r>
        <w:rPr>
          <w:b/>
          <w:bCs/>
        </w:rPr>
        <w:t xml:space="preserve">AACR 2024</w:t>
      </w:r>
      <w:r>
        <w:t xml:space="preserve"> </w:t>
      </w:r>
      <w:r>
        <w:t xml:space="preserve">— AI-guided generation of novel GUCY2C-targeting TCEs presented (Abstract 6721); multiple epitope profiles and multispecific formats explored.</w:t>
      </w:r>
    </w:p>
    <w:p>
      <w:pPr>
        <w:pStyle w:val="Compact"/>
        <w:numPr>
          <w:ilvl w:val="0"/>
          <w:numId w:val="1002"/>
        </w:numPr>
      </w:pPr>
      <w:r>
        <w:rPr>
          <w:b/>
          <w:bCs/>
        </w:rPr>
        <w:t xml:space="preserve">ASCO 2024</w:t>
      </w:r>
      <w:r>
        <w:t xml:space="preserve"> </w:t>
      </w:r>
      <w:r>
        <w:t xml:space="preserve">— IM96 Phase 1 data: 40% ORR at highest dose level in heavily pre-treated mCRC patients, median PFS ~7 months.</w:t>
      </w:r>
    </w:p>
    <w:p>
      <w:pPr>
        <w:pStyle w:val="Compact"/>
        <w:numPr>
          <w:ilvl w:val="0"/>
          <w:numId w:val="1002"/>
        </w:numPr>
      </w:pPr>
      <w:r>
        <w:rPr>
          <w:b/>
          <w:bCs/>
        </w:rPr>
        <w:t xml:space="preserve">2024</w:t>
      </w:r>
      <w:r>
        <w:t xml:space="preserve"> </w:t>
      </w:r>
      <w:r>
        <w:t xml:space="preserve">— Pfizer officially discontinued PF-07062119 (GUCY2C × CD3 TCE) after Phase 1 failure; exits GUCY2C field.</w:t>
      </w:r>
    </w:p>
    <w:p>
      <w:r>
        <w:pict>
          <v:rect style="width:0;height:1.5pt" o:hralign="center" o:hrstd="t" o:hr="t"/>
        </w:pict>
      </w:r>
    </w:p>
    <w:bookmarkEnd w:id="23"/>
    <w:bookmarkStart w:id="24" w:name="X8cca846f4353b468e787126197097266ebf5757"/>
    <w:p>
      <w:pPr>
        <w:pStyle w:val="Heading2"/>
      </w:pPr>
      <w:r>
        <w:t xml:space="preserve">Scientific Publications (Selected, Last 12–18 Months)</w:t>
      </w:r>
    </w:p>
    <w:p>
      <w:pPr>
        <w:pStyle w:val="Compact"/>
        <w:numPr>
          <w:ilvl w:val="0"/>
          <w:numId w:val="1003"/>
        </w:numPr>
      </w:pPr>
      <w:r>
        <w:rPr>
          <w:b/>
          <w:bCs/>
        </w:rPr>
        <w:t xml:space="preserve">Rong Z et al. (2026)</w:t>
      </w:r>
      <w:r>
        <w:t xml:space="preserve"> </w:t>
      </w:r>
      <w:r>
        <w:t xml:space="preserve">— "Construction and Evaluation of Guanylyl Cyclase C-Specific Antibody for Noninvasive Diagnosis and Targeted Therapy of Colorectal Cancer" —</w:t>
      </w:r>
      <w:r>
        <w:t xml:space="preserve"> </w:t>
      </w:r>
      <w:r>
        <w:rPr>
          <w:i/>
          <w:iCs/>
        </w:rPr>
        <w:t xml:space="preserve">J Nucl Med</w:t>
      </w:r>
      <w:r>
        <w:t xml:space="preserve"> </w:t>
      </w:r>
      <w:r>
        <w:t xml:space="preserve">— Develops PR15-7 antibody platform for multi-modal theranostic applications including 177Lu RLT.</w:t>
      </w:r>
    </w:p>
    <w:p>
      <w:pPr>
        <w:pStyle w:val="Compact"/>
        <w:numPr>
          <w:ilvl w:val="0"/>
          <w:numId w:val="1003"/>
        </w:numPr>
      </w:pPr>
      <w:r>
        <w:rPr>
          <w:b/>
          <w:bCs/>
        </w:rPr>
        <w:t xml:space="preserve">Ramananda Y et al. (2025)</w:t>
      </w:r>
      <w:r>
        <w:t xml:space="preserve"> </w:t>
      </w:r>
      <w:r>
        <w:t xml:space="preserve">— "Catalytic region mimetics in Na+/H+ exchanger regulatory factor 4 suppress guanylate cyclase 2C activity" —</w:t>
      </w:r>
      <w:r>
        <w:t xml:space="preserve"> </w:t>
      </w:r>
      <w:r>
        <w:rPr>
          <w:i/>
          <w:iCs/>
        </w:rPr>
        <w:t xml:space="preserve">J Biol Chem</w:t>
      </w:r>
      <w:r>
        <w:t xml:space="preserve"> </w:t>
      </w:r>
      <w:r>
        <w:t xml:space="preserve">— Mechanistic study on GUCY2C regulation; not directly therapeutic.</w:t>
      </w:r>
    </w:p>
    <w:p>
      <w:pPr>
        <w:pStyle w:val="Compact"/>
        <w:numPr>
          <w:ilvl w:val="0"/>
          <w:numId w:val="1003"/>
        </w:numPr>
      </w:pPr>
      <w:r>
        <w:rPr>
          <w:b/>
          <w:bCs/>
        </w:rPr>
        <w:t xml:space="preserve">CDH17-GUCY2C BsADC (2025)</w:t>
      </w:r>
      <w:r>
        <w:t xml:space="preserve"> </w:t>
      </w:r>
      <w:r>
        <w:t xml:space="preserve">—</w:t>
      </w:r>
      <w:r>
        <w:t xml:space="preserve"> </w:t>
      </w:r>
      <w:r>
        <w:rPr>
          <w:i/>
          <w:iCs/>
        </w:rPr>
        <w:t xml:space="preserve">Cell Death Discovery</w:t>
      </w:r>
      <w:r>
        <w:t xml:space="preserve"> </w:t>
      </w:r>
      <w:r>
        <w:t xml:space="preserve">— Bispecific ADC with ferroptosis payload showing preclinical anti-CRC activity.</w:t>
      </w:r>
    </w:p>
    <w:p>
      <w:pPr>
        <w:pStyle w:val="Compact"/>
        <w:numPr>
          <w:ilvl w:val="0"/>
          <w:numId w:val="1003"/>
        </w:numPr>
      </w:pPr>
      <w:r>
        <w:rPr>
          <w:b/>
          <w:bCs/>
        </w:rPr>
        <w:t xml:space="preserve">GUCY2C-directed CAR-T (PMC5087292)</w:t>
      </w:r>
      <w:r>
        <w:t xml:space="preserve"> </w:t>
      </w:r>
      <w:r>
        <w:t xml:space="preserve">— Seminal study showing GUCY2C CAR-T opposes CRC metastases without autoimmunity due to luminal-only normal tissue expression.</w:t>
      </w:r>
    </w:p>
    <w:p>
      <w:r>
        <w:pict>
          <v:rect style="width:0;height:1.5pt" o:hralign="center" o:hrstd="t" o:hr="t"/>
        </w:pict>
      </w:r>
    </w:p>
    <w:bookmarkEnd w:id="24"/>
    <w:bookmarkStart w:id="29" w:name="competitive-implications-for-sego"/>
    <w:p>
      <w:pPr>
        <w:pStyle w:val="Heading2"/>
      </w:pPr>
      <w:r>
        <w:t xml:space="preserve">Competitive Implications for Sego</w:t>
      </w:r>
    </w:p>
    <w:bookmarkStart w:id="25" w:name="why-gucy2c-is-a-compelling-target"/>
    <w:p>
      <w:pPr>
        <w:pStyle w:val="Heading3"/>
      </w:pPr>
      <w:r>
        <w:t xml:space="preserve">Why GUCY2C is a compelling target</w:t>
      </w:r>
    </w:p>
    <w:p>
      <w:pPr>
        <w:pStyle w:val="Compact"/>
        <w:numPr>
          <w:ilvl w:val="0"/>
          <w:numId w:val="1004"/>
        </w:numPr>
      </w:pPr>
      <w:r>
        <w:t xml:space="preserve">Near-universal expression in CRC (the #2 GI cancer globally, ~150,000 US cases/yr)</w:t>
      </w:r>
    </w:p>
    <w:p>
      <w:pPr>
        <w:pStyle w:val="Compact"/>
        <w:numPr>
          <w:ilvl w:val="0"/>
          <w:numId w:val="1004"/>
        </w:numPr>
      </w:pPr>
      <w:r>
        <w:t xml:space="preserve">"Tumor-on" selectivity: luminal restriction in normal tissue means low systemic toxicity risk for targeted therapies</w:t>
      </w:r>
    </w:p>
    <w:p>
      <w:pPr>
        <w:pStyle w:val="Compact"/>
        <w:numPr>
          <w:ilvl w:val="0"/>
          <w:numId w:val="1004"/>
        </w:numPr>
      </w:pPr>
      <w:r>
        <w:t xml:space="preserve">Preserved in metastatic disease (~81%), including liver mets</w:t>
      </w:r>
    </w:p>
    <w:p>
      <w:pPr>
        <w:pStyle w:val="Compact"/>
        <w:numPr>
          <w:ilvl w:val="0"/>
          <w:numId w:val="1004"/>
        </w:numPr>
      </w:pPr>
      <w:r>
        <w:t xml:space="preserve">Ectopic expression expands to gastric, esophageal, pancreatic cancers</w:t>
      </w:r>
    </w:p>
    <w:p>
      <w:pPr>
        <w:pStyle w:val="Compact"/>
        <w:numPr>
          <w:ilvl w:val="0"/>
          <w:numId w:val="1004"/>
        </w:numPr>
      </w:pPr>
      <w:r>
        <w:t xml:space="preserve">Well-validated: 30+ years of biology; multiple clinical programs prove the hypothesis is sound</w:t>
      </w:r>
    </w:p>
    <w:bookmarkEnd w:id="25"/>
    <w:bookmarkStart w:id="26" w:name="why-its-been-hard-and-what-that-means"/>
    <w:p>
      <w:pPr>
        <w:pStyle w:val="Heading3"/>
      </w:pPr>
      <w:r>
        <w:t xml:space="preserve">Why it's been hard — and what that means</w:t>
      </w:r>
    </w:p>
    <w:p>
      <w:pPr>
        <w:pStyle w:val="Compact"/>
        <w:numPr>
          <w:ilvl w:val="0"/>
          <w:numId w:val="1005"/>
        </w:numPr>
      </w:pPr>
      <w:r>
        <w:rPr>
          <w:b/>
          <w:bCs/>
        </w:rPr>
        <w:t xml:space="preserve">ADC internalization failure:</w:t>
      </w:r>
      <w:r>
        <w:t xml:space="preserve"> </w:t>
      </w:r>
      <w:r>
        <w:t xml:space="preserve">MLN0264 (MMAE) and TAK-164 (DGN549) both failed. The root cause is GUCY2C's poor internalization kinetics — classical ADC strategies requiring intracellular payload release are fundamentally challenged here.</w:t>
      </w:r>
    </w:p>
    <w:p>
      <w:pPr>
        <w:pStyle w:val="Compact"/>
        <w:numPr>
          <w:ilvl w:val="0"/>
          <w:numId w:val="1005"/>
        </w:numPr>
      </w:pPr>
      <w:r>
        <w:rPr>
          <w:b/>
          <w:bCs/>
        </w:rPr>
        <w:t xml:space="preserve">T-cell engager failure:</w:t>
      </w:r>
      <w:r>
        <w:t xml:space="preserve"> </w:t>
      </w:r>
      <w:r>
        <w:t xml:space="preserve">PF-07062119 failed in Phase 1. Possible reasons: tumor microenvironment immunosuppression in CRC, insufficient T-cell infiltration, or efficacy/safety window issues.</w:t>
      </w:r>
    </w:p>
    <w:p>
      <w:pPr>
        <w:pStyle w:val="Compact"/>
        <w:numPr>
          <w:ilvl w:val="0"/>
          <w:numId w:val="1005"/>
        </w:numPr>
      </w:pPr>
      <w:r>
        <w:rPr>
          <w:b/>
          <w:bCs/>
        </w:rPr>
        <w:t xml:space="preserve">CAR-T signal is real but nascent:</w:t>
      </w:r>
      <w:r>
        <w:t xml:space="preserve"> </w:t>
      </w:r>
      <w:r>
        <w:t xml:space="preserve">40% ORR in 3L+ mCRC is meaningful, but autologous CAR-T faces manufacturing and access hurdles; allogeneic approaches not yet reported for GUCY2C.</w:t>
      </w:r>
    </w:p>
    <w:bookmarkEnd w:id="26"/>
    <w:bookmarkStart w:id="27" w:name="white-space-opportunities"/>
    <w:p>
      <w:pPr>
        <w:pStyle w:val="Heading3"/>
      </w:pPr>
      <w:r>
        <w:t xml:space="preserve">White Space / Opportunities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Rationale</w:t>
            </w:r>
          </w:p>
        </w:tc>
      </w:tr>
      <w:tr>
        <w:tc>
          <w:tcPr/>
          <w:p>
            <w:pPr>
              <w:pStyle w:val="Compact"/>
            </w:pPr>
            <w:r>
              <w:t xml:space="preserve">Non-internalizing ADC formats</w:t>
            </w:r>
          </w:p>
        </w:tc>
        <w:tc>
          <w:tcPr/>
          <w:p>
            <w:pPr>
              <w:pStyle w:val="Compact"/>
            </w:pPr>
            <w:r>
              <w:t xml:space="preserve">Bystander-effect payloads, cell-surface cleavable linkers, or extracellular-release mechanisms could bypass the internalization problem</w:t>
            </w:r>
          </w:p>
        </w:tc>
      </w:tr>
      <w:tr>
        <w:tc>
          <w:tcPr/>
          <w:p>
            <w:pPr>
              <w:pStyle w:val="Compact"/>
            </w:pPr>
            <w:r>
              <w:t xml:space="preserve">Allogeneic / off-the-shelf CAR-T</w:t>
            </w:r>
          </w:p>
        </w:tc>
        <w:tc>
          <w:tcPr/>
          <w:p>
            <w:pPr>
              <w:pStyle w:val="Compact"/>
            </w:pPr>
            <w:r>
              <w:t xml:space="preserve">IM96 is autologous; allogeneic GUCY2C CAR-T would differentiate on access and manufacturing</w:t>
            </w:r>
          </w:p>
        </w:tc>
      </w:tr>
      <w:tr>
        <w:tc>
          <w:tcPr/>
          <w:p>
            <w:pPr>
              <w:pStyle w:val="Compact"/>
            </w:pPr>
            <w:r>
              <w:t xml:space="preserve">Radiopharmaceutical therapy (RLT)</w:t>
            </w:r>
          </w:p>
        </w:tc>
        <w:tc>
          <w:tcPr/>
          <w:p>
            <w:pPr>
              <w:pStyle w:val="Compact"/>
            </w:pPr>
            <w:r>
              <w:t xml:space="preserve">Theranostic platform is emerging (PR15-7); GUCY2C expression + luminal biology could enable locoregional RLT approaches</w:t>
            </w:r>
          </w:p>
        </w:tc>
      </w:tr>
      <w:tr>
        <w:tc>
          <w:tcPr/>
          <w:p>
            <w:pPr>
              <w:pStyle w:val="Compact"/>
            </w:pPr>
            <w:r>
              <w:t xml:space="preserve">Earlier lines of CRC</w:t>
            </w:r>
          </w:p>
        </w:tc>
        <w:tc>
          <w:tcPr/>
          <w:p>
            <w:pPr>
              <w:pStyle w:val="Compact"/>
            </w:pPr>
            <w:r>
              <w:t xml:space="preserve">All current CAR-T trials are 3L+; earlier line deployment with combination partners (IO, anti-VEGF) is unexplored</w:t>
            </w:r>
          </w:p>
        </w:tc>
      </w:tr>
      <w:tr>
        <w:tc>
          <w:tcPr/>
          <w:p>
            <w:pPr>
              <w:pStyle w:val="Compact"/>
            </w:pPr>
            <w:r>
              <w:t xml:space="preserve">Non-CRC GI indications</w:t>
            </w:r>
          </w:p>
        </w:tc>
        <w:tc>
          <w:tcPr/>
          <w:p>
            <w:pPr>
              <w:pStyle w:val="Compact"/>
            </w:pPr>
            <w:r>
              <w:t xml:space="preserve">Gastric/esophageal/pancreatic expression is under-prosecuted in current programs</w:t>
            </w:r>
          </w:p>
        </w:tc>
      </w:tr>
      <w:tr>
        <w:tc>
          <w:tcPr/>
          <w:p>
            <w:pPr>
              <w:pStyle w:val="Compact"/>
            </w:pPr>
            <w:r>
              <w:t xml:space="preserve">Combination with immune priming</w:t>
            </w:r>
          </w:p>
        </w:tc>
        <w:tc>
          <w:tcPr/>
          <w:p>
            <w:pPr>
              <w:pStyle w:val="Compact"/>
            </w:pPr>
            <w:r>
              <w:t xml:space="preserve">GUCY2C agonism (via linaclotide/plecanatide analogs with colorectal bioavailability) activates tumor-suppressive signaling — combination with immune therapy is scientifically rationale but unexplored clinically</w:t>
            </w:r>
          </w:p>
        </w:tc>
      </w:tr>
    </w:tbl>
    <w:bookmarkEnd w:id="27"/>
    <w:bookmarkStart w:id="28" w:name="watch-list"/>
    <w:p>
      <w:pPr>
        <w:pStyle w:val="Heading3"/>
      </w:pPr>
      <w:r>
        <w:t xml:space="preserve">Watch List</w:t>
      </w:r>
    </w:p>
    <w:p>
      <w:pPr>
        <w:pStyle w:val="Compact"/>
        <w:numPr>
          <w:ilvl w:val="0"/>
          <w:numId w:val="1006"/>
        </w:numPr>
      </w:pPr>
      <w:r>
        <w:rPr>
          <w:b/>
          <w:bCs/>
        </w:rPr>
        <w:t xml:space="preserve">ImmunoChina IM96 Phase 2</w:t>
      </w:r>
      <w:r>
        <w:t xml:space="preserve"> </w:t>
      </w:r>
      <w:r>
        <w:t xml:space="preserve">— Will be the key data readout to watch; if ORR holds in Phase 2 it validates CAR-T as a real modality here</w:t>
      </w:r>
    </w:p>
    <w:p>
      <w:pPr>
        <w:pStyle w:val="Compact"/>
        <w:numPr>
          <w:ilvl w:val="0"/>
          <w:numId w:val="1006"/>
        </w:numPr>
      </w:pPr>
      <w:r>
        <w:rPr>
          <w:b/>
          <w:bCs/>
        </w:rPr>
        <w:t xml:space="preserve">Protheragen GCC-CART Phase 1 US</w:t>
      </w:r>
      <w:r>
        <w:t xml:space="preserve"> </w:t>
      </w:r>
      <w:r>
        <w:t xml:space="preserve">— First US trial; regulatory and safety data will be informative</w:t>
      </w:r>
    </w:p>
    <w:p>
      <w:pPr>
        <w:pStyle w:val="Compact"/>
        <w:numPr>
          <w:ilvl w:val="0"/>
          <w:numId w:val="1006"/>
        </w:numPr>
      </w:pPr>
      <w:r>
        <w:rPr>
          <w:b/>
          <w:bCs/>
        </w:rPr>
        <w:t xml:space="preserve">Legend Biotech GUCY2C program</w:t>
      </w:r>
      <w:r>
        <w:t xml:space="preserve"> </w:t>
      </w:r>
      <w:r>
        <w:t xml:space="preserve">— Company has CAR-T manufacturing expertise (Carvykti); disclosure of GUCY2C program timeline worth tracking</w:t>
      </w:r>
    </w:p>
    <w:p>
      <w:pPr>
        <w:pStyle w:val="Compact"/>
        <w:numPr>
          <w:ilvl w:val="0"/>
          <w:numId w:val="1006"/>
        </w:numPr>
      </w:pPr>
      <w:r>
        <w:rPr>
          <w:b/>
          <w:bCs/>
        </w:rPr>
        <w:t xml:space="preserve">AI-guided TCE programs</w:t>
      </w:r>
      <w:r>
        <w:t xml:space="preserve"> </w:t>
      </w:r>
      <w:r>
        <w:t xml:space="preserve">— AACR 2024 abstract suggests active undisclosed companies; watch for IND filings</w:t>
      </w:r>
    </w:p>
    <w:p>
      <w:r>
        <w:pict>
          <v:rect style="width:0;height:1.5pt" o:hralign="center" o:hrstd="t" o:hr="t"/>
        </w:pict>
      </w:r>
    </w:p>
    <w:bookmarkEnd w:id="28"/>
    <w:bookmarkEnd w:id="29"/>
    <w:bookmarkStart w:id="51" w:name="sources"/>
    <w:p>
      <w:pPr>
        <w:pStyle w:val="Heading2"/>
      </w:pPr>
      <w:r>
        <w:t xml:space="preserve">Sources</w:t>
      </w:r>
    </w:p>
    <w:p>
      <w:pPr>
        <w:pStyle w:val="Compact"/>
        <w:numPr>
          <w:ilvl w:val="0"/>
          <w:numId w:val="1007"/>
        </w:numPr>
      </w:pPr>
      <w:hyperlink r:id="rId30">
        <w:r>
          <w:rPr>
            <w:rStyle w:val="Hyperlink"/>
          </w:rPr>
          <w:t xml:space="preserve">TAK-164 ADC Review</w:t>
        </w:r>
      </w:hyperlink>
    </w:p>
    <w:p>
      <w:pPr>
        <w:pStyle w:val="Compact"/>
        <w:numPr>
          <w:ilvl w:val="0"/>
          <w:numId w:val="1007"/>
        </w:numPr>
      </w:pPr>
      <w:hyperlink r:id="rId31">
        <w:r>
          <w:rPr>
            <w:rStyle w:val="Hyperlink"/>
          </w:rPr>
          <w:t xml:space="preserve">PF-07062119 discontinuation (Jacob Plieth / X)</w:t>
        </w:r>
      </w:hyperlink>
    </w:p>
    <w:p>
      <w:pPr>
        <w:pStyle w:val="Compact"/>
        <w:numPr>
          <w:ilvl w:val="0"/>
          <w:numId w:val="1007"/>
        </w:numPr>
      </w:pPr>
      <w:hyperlink r:id="rId32">
        <w:r>
          <w:rPr>
            <w:rStyle w:val="Hyperlink"/>
          </w:rPr>
          <w:t xml:space="preserve">PF-07062119 preclinical data — CCR</w:t>
        </w:r>
      </w:hyperlink>
    </w:p>
    <w:p>
      <w:pPr>
        <w:pStyle w:val="Compact"/>
        <w:numPr>
          <w:ilvl w:val="0"/>
          <w:numId w:val="1007"/>
        </w:numPr>
      </w:pPr>
      <w:hyperlink r:id="rId33">
        <w:r>
          <w:rPr>
            <w:rStyle w:val="Hyperlink"/>
          </w:rPr>
          <w:t xml:space="preserve">IM96 Phase I — ASCO 2024 abstract</w:t>
        </w:r>
      </w:hyperlink>
    </w:p>
    <w:p>
      <w:pPr>
        <w:pStyle w:val="Compact"/>
        <w:numPr>
          <w:ilvl w:val="0"/>
          <w:numId w:val="1007"/>
        </w:numPr>
      </w:pPr>
      <w:hyperlink r:id="rId34">
        <w:r>
          <w:rPr>
            <w:rStyle w:val="Hyperlink"/>
          </w:rPr>
          <w:t xml:space="preserve">Novel GUCY2C CAR-T efficacy — ASCO 2023 abstract</w:t>
        </w:r>
      </w:hyperlink>
    </w:p>
    <w:p>
      <w:pPr>
        <w:pStyle w:val="Compact"/>
        <w:numPr>
          <w:ilvl w:val="0"/>
          <w:numId w:val="1007"/>
        </w:numPr>
      </w:pPr>
      <w:hyperlink r:id="rId35">
        <w:r>
          <w:rPr>
            <w:rStyle w:val="Hyperlink"/>
          </w:rPr>
          <w:t xml:space="preserve">PR15-7 theranostic platform — J Nucl Med (2025)</w:t>
        </w:r>
      </w:hyperlink>
    </w:p>
    <w:p>
      <w:pPr>
        <w:pStyle w:val="Compact"/>
        <w:numPr>
          <w:ilvl w:val="0"/>
          <w:numId w:val="1007"/>
        </w:numPr>
      </w:pPr>
      <w:hyperlink r:id="rId36">
        <w:r>
          <w:rPr>
            <w:rStyle w:val="Hyperlink"/>
          </w:rPr>
          <w:t xml:space="preserve">CDH17-GUCY2C BsADC — Cell Death Discovery (2025)</w:t>
        </w:r>
      </w:hyperlink>
    </w:p>
    <w:p>
      <w:pPr>
        <w:pStyle w:val="Compact"/>
        <w:numPr>
          <w:ilvl w:val="0"/>
          <w:numId w:val="1007"/>
        </w:numPr>
      </w:pPr>
      <w:hyperlink r:id="rId37">
        <w:r>
          <w:rPr>
            <w:rStyle w:val="Hyperlink"/>
          </w:rPr>
          <w:t xml:space="preserve">AI-guided GUCY2C TCEs — AACR 2024 Abstract 6721</w:t>
        </w:r>
      </w:hyperlink>
    </w:p>
    <w:p>
      <w:pPr>
        <w:pStyle w:val="Compact"/>
        <w:numPr>
          <w:ilvl w:val="0"/>
          <w:numId w:val="1007"/>
        </w:numPr>
      </w:pPr>
      <w:hyperlink r:id="rId38">
        <w:r>
          <w:rPr>
            <w:rStyle w:val="Hyperlink"/>
          </w:rPr>
          <w:t xml:space="preserve">GCC expression in GI tumors — PLOS One</w:t>
        </w:r>
      </w:hyperlink>
    </w:p>
    <w:p>
      <w:pPr>
        <w:pStyle w:val="Compact"/>
        <w:numPr>
          <w:ilvl w:val="0"/>
          <w:numId w:val="1007"/>
        </w:numPr>
      </w:pPr>
      <w:hyperlink r:id="rId39">
        <w:r>
          <w:rPr>
            <w:rStyle w:val="Hyperlink"/>
          </w:rPr>
          <w:t xml:space="preserve">GUCY2C as biomarker/target review — PMC</w:t>
        </w:r>
      </w:hyperlink>
    </w:p>
    <w:p>
      <w:pPr>
        <w:pStyle w:val="Compact"/>
        <w:numPr>
          <w:ilvl w:val="0"/>
          <w:numId w:val="1007"/>
        </w:numPr>
      </w:pPr>
      <w:hyperlink r:id="rId40">
        <w:r>
          <w:rPr>
            <w:rStyle w:val="Hyperlink"/>
          </w:rPr>
          <w:t xml:space="preserve">GUCY2C-directed CAR-T without autoimmunity — PMC</w:t>
        </w:r>
      </w:hyperlink>
    </w:p>
    <w:p>
      <w:pPr>
        <w:pStyle w:val="Compact"/>
        <w:numPr>
          <w:ilvl w:val="0"/>
          <w:numId w:val="1007"/>
        </w:numPr>
      </w:pPr>
      <w:hyperlink r:id="rId41">
        <w:r>
          <w:rPr>
            <w:rStyle w:val="Hyperlink"/>
          </w:rPr>
          <w:t xml:space="preserve">ClinicalTrials.gov — NCT03449030 (TAK-164)</w:t>
        </w:r>
      </w:hyperlink>
    </w:p>
    <w:p>
      <w:pPr>
        <w:pStyle w:val="Compact"/>
        <w:numPr>
          <w:ilvl w:val="0"/>
          <w:numId w:val="1007"/>
        </w:numPr>
      </w:pPr>
      <w:hyperlink r:id="rId42">
        <w:r>
          <w:rPr>
            <w:rStyle w:val="Hyperlink"/>
          </w:rPr>
          <w:t xml:space="preserve">ClinicalTrials.gov — NCT02391038 (MLN0264)</w:t>
        </w:r>
      </w:hyperlink>
    </w:p>
    <w:p>
      <w:pPr>
        <w:pStyle w:val="Compact"/>
        <w:numPr>
          <w:ilvl w:val="0"/>
          <w:numId w:val="1007"/>
        </w:numPr>
      </w:pPr>
      <w:hyperlink r:id="rId43">
        <w:r>
          <w:rPr>
            <w:rStyle w:val="Hyperlink"/>
          </w:rPr>
          <w:t xml:space="preserve">ClinicalTrials.gov — NCT01972737 (GCC vaccine)</w:t>
        </w:r>
      </w:hyperlink>
    </w:p>
    <w:p>
      <w:pPr>
        <w:pStyle w:val="Compact"/>
        <w:numPr>
          <w:ilvl w:val="0"/>
          <w:numId w:val="1007"/>
        </w:numPr>
      </w:pPr>
      <w:hyperlink r:id="rId44">
        <w:r>
          <w:rPr>
            <w:rStyle w:val="Hyperlink"/>
          </w:rPr>
          <w:t xml:space="preserve">Protheragen GCC-CART program</w:t>
        </w:r>
      </w:hyperlink>
    </w:p>
    <w:p>
      <w:pPr>
        <w:pStyle w:val="Compact"/>
        <w:numPr>
          <w:ilvl w:val="0"/>
          <w:numId w:val="1007"/>
        </w:numPr>
      </w:pPr>
      <w:hyperlink r:id="rId45">
        <w:r>
          <w:rPr>
            <w:rStyle w:val="Hyperlink"/>
          </w:rPr>
          <w:t xml:space="preserve">WO2023164777A1 — Fusion Pharmaceuticals GUCY2C RLT patent (Justia)</w:t>
        </w:r>
      </w:hyperlink>
    </w:p>
    <w:p>
      <w:pPr>
        <w:pStyle w:val="Compact"/>
        <w:numPr>
          <w:ilvl w:val="0"/>
          <w:numId w:val="1007"/>
        </w:numPr>
      </w:pPr>
      <w:hyperlink r:id="rId46">
        <w:r>
          <w:rPr>
            <w:rStyle w:val="Hyperlink"/>
          </w:rPr>
          <w:t xml:space="preserve">US11525010B2 — Pfizer GUCY2C×CD3 bispecific (Justia)</w:t>
        </w:r>
      </w:hyperlink>
    </w:p>
    <w:p>
      <w:pPr>
        <w:pStyle w:val="Compact"/>
        <w:numPr>
          <w:ilvl w:val="0"/>
          <w:numId w:val="1007"/>
        </w:numPr>
      </w:pPr>
      <w:hyperlink r:id="rId47">
        <w:r>
          <w:rPr>
            <w:rStyle w:val="Hyperlink"/>
          </w:rPr>
          <w:t xml:space="preserve">US20250066510A1 — Janssen GUCY2C antibodies (Google Patents)</w:t>
        </w:r>
      </w:hyperlink>
    </w:p>
    <w:p>
      <w:pPr>
        <w:pStyle w:val="Compact"/>
        <w:numPr>
          <w:ilvl w:val="0"/>
          <w:numId w:val="1007"/>
        </w:numPr>
      </w:pPr>
      <w:hyperlink r:id="rId48">
        <w:r>
          <w:rPr>
            <w:rStyle w:val="Hyperlink"/>
          </w:rPr>
          <w:t xml:space="preserve">US11970548B2 — ICT GCC nanobody CAR-T (Justia)</w:t>
        </w:r>
      </w:hyperlink>
    </w:p>
    <w:p>
      <w:pPr>
        <w:pStyle w:val="Compact"/>
        <w:numPr>
          <w:ilvl w:val="0"/>
          <w:numId w:val="1007"/>
        </w:numPr>
      </w:pPr>
      <w:hyperlink r:id="rId49">
        <w:r>
          <w:rPr>
            <w:rStyle w:val="Hyperlink"/>
          </w:rPr>
          <w:t xml:space="preserve">US12043654B2 — ICT anti-GCC CAR for digestive cancer (Justia)</w:t>
        </w:r>
      </w:hyperlink>
    </w:p>
    <w:p>
      <w:pPr>
        <w:pStyle w:val="Compact"/>
        <w:numPr>
          <w:ilvl w:val="0"/>
          <w:numId w:val="1007"/>
        </w:numPr>
      </w:pPr>
      <w:hyperlink r:id="rId50">
        <w:r>
          <w:rPr>
            <w:rStyle w:val="Hyperlink"/>
          </w:rPr>
          <w:t xml:space="preserve">US20240165257 — Heidelberg Pharma anti-GUCY2C antibody (Justia)</w:t>
        </w:r>
      </w:hyperlink>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aacrjournals.org/cancerres/article/84/6_Supplement/6721/741217/" TargetMode="External" /><Relationship Type="http://schemas.openxmlformats.org/officeDocument/2006/relationships/hyperlink" Id="rId32" Target="https://aacrjournals.org/clincancerres/article/26/9/2188/83190/" TargetMode="External" /><Relationship Type="http://schemas.openxmlformats.org/officeDocument/2006/relationships/hyperlink" Id="rId34" Target="https://ascopubs.org/doi/10.1200/JCO.2023.41.16_suppl.3559" TargetMode="External" /><Relationship Type="http://schemas.openxmlformats.org/officeDocument/2006/relationships/hyperlink" Id="rId33" Target="https://ascopubs.org/doi/10.1200/JCO.2024.42.16_suppl.2518" TargetMode="External" /><Relationship Type="http://schemas.openxmlformats.org/officeDocument/2006/relationships/hyperlink" Id="rId43" Target="https://clinicaltrials.gov/study/NCT01972737" TargetMode="External" /><Relationship Type="http://schemas.openxmlformats.org/officeDocument/2006/relationships/hyperlink" Id="rId42" Target="https://clinicaltrials.gov/study/NCT02391038" TargetMode="External" /><Relationship Type="http://schemas.openxmlformats.org/officeDocument/2006/relationships/hyperlink" Id="rId41" Target="https://clinicaltrials.gov/study/NCT03449030" TargetMode="External" /><Relationship Type="http://schemas.openxmlformats.org/officeDocument/2006/relationships/hyperlink" Id="rId35" Target="https://jnm.snmjournals.org/content/early/2025/12/30/jnumed.125.270400" TargetMode="External" /><Relationship Type="http://schemas.openxmlformats.org/officeDocument/2006/relationships/hyperlink" Id="rId38" Target="https://journals.plos.org/plosone/article?id=10.1371/journal.pone.0189953" TargetMode="External" /><Relationship Type="http://schemas.openxmlformats.org/officeDocument/2006/relationships/hyperlink" Id="rId47" Target="https://patents.google.com/patent/US20250066510A1/en" TargetMode="External" /><Relationship Type="http://schemas.openxmlformats.org/officeDocument/2006/relationships/hyperlink" Id="rId46" Target="https://patents.justia.com/patent/11525010" TargetMode="External" /><Relationship Type="http://schemas.openxmlformats.org/officeDocument/2006/relationships/hyperlink" Id="rId48" Target="https://patents.justia.com/patent/11970548" TargetMode="External" /><Relationship Type="http://schemas.openxmlformats.org/officeDocument/2006/relationships/hyperlink" Id="rId49" Target="https://patents.justia.com/patent/12043654" TargetMode="External" /><Relationship Type="http://schemas.openxmlformats.org/officeDocument/2006/relationships/hyperlink" Id="rId50" Target="https://patents.justia.com/patent/20240165257" TargetMode="External" /><Relationship Type="http://schemas.openxmlformats.org/officeDocument/2006/relationships/hyperlink" Id="rId45" Target="https://patents.justia.com/patent/WO2023164777A1" TargetMode="External" /><Relationship Type="http://schemas.openxmlformats.org/officeDocument/2006/relationships/hyperlink" Id="rId40" Target="https://pmc.ncbi.nlm.nih.gov/articles/PMC5087292/" TargetMode="External" /><Relationship Type="http://schemas.openxmlformats.org/officeDocument/2006/relationships/hyperlink" Id="rId39" Target="https://pmc.ncbi.nlm.nih.gov/articles/PMC8293028/" TargetMode="External" /><Relationship Type="http://schemas.openxmlformats.org/officeDocument/2006/relationships/hyperlink" Id="rId30" Target="https://www.adcreview.com/drugmap/tak-164/" TargetMode="External" /><Relationship Type="http://schemas.openxmlformats.org/officeDocument/2006/relationships/hyperlink" Id="rId36" Target="https://www.nature.com/articles/s41420-025-02652-0" TargetMode="External" /><Relationship Type="http://schemas.openxmlformats.org/officeDocument/2006/relationships/hyperlink" Id="rId44" Target="https://www.protheragen.com/available-projects/car-t-cells-targeting-gucy2c2-for-the-treatment-of-mcrc/" TargetMode="External" /><Relationship Type="http://schemas.openxmlformats.org/officeDocument/2006/relationships/hyperlink" Id="rId31" Target="https://x.com/JacobPlieth/status/1752361101512110226" TargetMode="External" /></Relationships>
</file>

<file path=word/_rels/footnotes.xml.rels><?xml version="1.0" encoding="UTF-8"?><Relationships xmlns="http://schemas.openxmlformats.org/package/2006/relationships"><Relationship Type="http://schemas.openxmlformats.org/officeDocument/2006/relationships/hyperlink" Id="rId37" Target="https://aacrjournals.org/cancerres/article/84/6_Supplement/6721/741217/" TargetMode="External" /><Relationship Type="http://schemas.openxmlformats.org/officeDocument/2006/relationships/hyperlink" Id="rId32" Target="https://aacrjournals.org/clincancerres/article/26/9/2188/83190/" TargetMode="External" /><Relationship Type="http://schemas.openxmlformats.org/officeDocument/2006/relationships/hyperlink" Id="rId34" Target="https://ascopubs.org/doi/10.1200/JCO.2023.41.16_suppl.3559" TargetMode="External" /><Relationship Type="http://schemas.openxmlformats.org/officeDocument/2006/relationships/hyperlink" Id="rId33" Target="https://ascopubs.org/doi/10.1200/JCO.2024.42.16_suppl.2518" TargetMode="External" /><Relationship Type="http://schemas.openxmlformats.org/officeDocument/2006/relationships/hyperlink" Id="rId43" Target="https://clinicaltrials.gov/study/NCT01972737" TargetMode="External" /><Relationship Type="http://schemas.openxmlformats.org/officeDocument/2006/relationships/hyperlink" Id="rId42" Target="https://clinicaltrials.gov/study/NCT02391038" TargetMode="External" /><Relationship Type="http://schemas.openxmlformats.org/officeDocument/2006/relationships/hyperlink" Id="rId41" Target="https://clinicaltrials.gov/study/NCT03449030" TargetMode="External" /><Relationship Type="http://schemas.openxmlformats.org/officeDocument/2006/relationships/hyperlink" Id="rId35" Target="https://jnm.snmjournals.org/content/early/2025/12/30/jnumed.125.270400" TargetMode="External" /><Relationship Type="http://schemas.openxmlformats.org/officeDocument/2006/relationships/hyperlink" Id="rId38" Target="https://journals.plos.org/plosone/article?id=10.1371/journal.pone.0189953" TargetMode="External" /><Relationship Type="http://schemas.openxmlformats.org/officeDocument/2006/relationships/hyperlink" Id="rId47" Target="https://patents.google.com/patent/US20250066510A1/en" TargetMode="External" /><Relationship Type="http://schemas.openxmlformats.org/officeDocument/2006/relationships/hyperlink" Id="rId46" Target="https://patents.justia.com/patent/11525010" TargetMode="External" /><Relationship Type="http://schemas.openxmlformats.org/officeDocument/2006/relationships/hyperlink" Id="rId48" Target="https://patents.justia.com/patent/11970548" TargetMode="External" /><Relationship Type="http://schemas.openxmlformats.org/officeDocument/2006/relationships/hyperlink" Id="rId49" Target="https://patents.justia.com/patent/12043654" TargetMode="External" /><Relationship Type="http://schemas.openxmlformats.org/officeDocument/2006/relationships/hyperlink" Id="rId50" Target="https://patents.justia.com/patent/20240165257" TargetMode="External" /><Relationship Type="http://schemas.openxmlformats.org/officeDocument/2006/relationships/hyperlink" Id="rId45" Target="https://patents.justia.com/patent/WO2023164777A1" TargetMode="External" /><Relationship Type="http://schemas.openxmlformats.org/officeDocument/2006/relationships/hyperlink" Id="rId40" Target="https://pmc.ncbi.nlm.nih.gov/articles/PMC5087292/" TargetMode="External" /><Relationship Type="http://schemas.openxmlformats.org/officeDocument/2006/relationships/hyperlink" Id="rId39" Target="https://pmc.ncbi.nlm.nih.gov/articles/PMC8293028/" TargetMode="External" /><Relationship Type="http://schemas.openxmlformats.org/officeDocument/2006/relationships/hyperlink" Id="rId30" Target="https://www.adcreview.com/drugmap/tak-164/" TargetMode="External" /><Relationship Type="http://schemas.openxmlformats.org/officeDocument/2006/relationships/hyperlink" Id="rId36" Target="https://www.nature.com/articles/s41420-025-02652-0" TargetMode="External" /><Relationship Type="http://schemas.openxmlformats.org/officeDocument/2006/relationships/hyperlink" Id="rId44" Target="https://www.protheragen.com/available-projects/car-t-cells-targeting-gucy2c2-for-the-treatment-of-mcrc/" TargetMode="External" /><Relationship Type="http://schemas.openxmlformats.org/officeDocument/2006/relationships/hyperlink" Id="rId31" Target="https://x.com/JacobPlieth/status/17523611015121102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target-GUCY2C-2026-04-23</dc:title>
  <dc:creator/>
  <cp:keywords/>
  <dcterms:created xsi:type="dcterms:W3CDTF">2026-04-24T16:27:37Z</dcterms:created>
  <dcterms:modified xsi:type="dcterms:W3CDTF">2026-04-24T16:27:37Z</dcterms:modified>
</cp:coreProperties>
</file>

<file path=docProps/custom.xml><?xml version="1.0" encoding="utf-8"?>
<Properties xmlns="http://schemas.openxmlformats.org/officeDocument/2006/custom-properties" xmlns:vt="http://schemas.openxmlformats.org/officeDocument/2006/docPropsVTypes"/>
</file>