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2E4057"/>
          <w:sz w:val="36"/>
          <w:szCs w:val="36"/>
        </w:rPr>
        <w:t xml:space="preserve">EDTIF Application</w:t>
      </w:r>
    </w:p>
    <w:p>
      <w:pPr>
        <w:spacing w:after="120"/>
        <w:jc w:val="center"/>
      </w:pPr>
      <w:r>
        <w:rPr>
          <w:rFonts w:ascii="Arial" w:cs="Arial" w:eastAsia="Arial" w:hAnsi="Arial"/>
          <w:color w:val="2E4057"/>
          <w:sz w:val="30"/>
          <w:szCs w:val="30"/>
        </w:rPr>
        <w:t xml:space="preserve">Draft Responses</w:t>
      </w:r>
    </w:p>
    <w:p>
      <w:pPr>
        <w:spacing w:after="120"/>
        <w:jc w:val="center"/>
      </w:pPr>
      <w:r>
        <w:rPr>
          <w:rFonts w:ascii="Arial" w:cs="Arial" w:eastAsia="Arial" w:hAnsi="Arial"/>
          <w:color w:val="666666"/>
          <w:sz w:val="24"/>
          <w:szCs w:val="24"/>
        </w:rPr>
        <w:t xml:space="preserve">Sego Therapeutics, Inc.</w:t>
      </w:r>
    </w:p>
    <w:p>
      <w:pPr>
        <w:spacing w:after="400"/>
        <w:jc w:val="center"/>
      </w:pPr>
      <w:r>
        <w:rPr>
          <w:rFonts w:ascii="Arial" w:cs="Arial" w:eastAsia="Arial" w:hAnsi="Arial"/>
          <w:color w:val="999999"/>
          <w:sz w:val="20"/>
          <w:szCs w:val="20"/>
        </w:rPr>
        <w:t xml:space="preserve">June 16, 2026 | Status: DRAFT</w:t>
      </w:r>
    </w:p>
    <w:p>
      <w:pPr>
        <w:pBdr>
          <w:bottom w:val="single" w:color="2E4057" w:sz="6" w:space="1"/>
        </w:pBdr>
        <w:spacing w:after="400"/>
      </w:pPr>
    </w:p>
    <w:p>
      <w:pPr>
        <w:pStyle w:val="Heading1"/>
        <w:spacing w:after="200" w:before="360"/>
      </w:pPr>
      <w:r>
        <w:rPr>
          <w:rFonts w:ascii="Arial" w:cs="Arial" w:eastAsia="Arial" w:hAnsi="Arial"/>
          <w:b/>
          <w:bCs/>
          <w:color w:val="2E4057"/>
          <w:sz w:val="28"/>
          <w:szCs w:val="28"/>
        </w:rPr>
        <w:t xml:space="preserve">Q18. Overview of market dynamics</w:t>
      </w:r>
    </w:p>
    <w:p>
      <w:pPr>
        <w:spacing w:after="200"/>
      </w:pPr>
      <w:r>
        <w:rPr>
          <w:rFonts w:ascii="Arial" w:cs="Arial" w:eastAsia="Arial" w:hAnsi="Arial"/>
          <w:sz w:val="22"/>
          <w:szCs w:val="22"/>
        </w:rPr>
        <w:t xml:space="preserve">Sego operates in the radioligand therapy (RLT) market, a category of targeted cancer treatment that delivers radiation directly to tumors using a precision-guided molecule. The global RLT market generated ~$2.6 billion in 2025 and is projected to reach $4.8–10.7 billion by 2030, growing at 10–13% annually. Only two RLT drugs have received U.S. Food and Drug Administration (FDA) approval, both sold by Novartis, and the lead product alone generated $1.4 billion in revenue in the first nine months of 2025 (up 33% year-over-year). Four companies in this space sold for a combined $8.9 billion since 2023, with acquirers including Bristol Myers Squibb, AstraZeneca, Eli Lilly, and Novartis.</w:t>
      </w:r>
    </w:p>
    <w:p>
      <w:pPr>
        <w:pStyle w:val="Heading1"/>
        <w:spacing w:after="200" w:before="360"/>
      </w:pPr>
      <w:r>
        <w:rPr>
          <w:rFonts w:ascii="Arial" w:cs="Arial" w:eastAsia="Arial" w:hAnsi="Arial"/>
          <w:b/>
          <w:bCs/>
          <w:color w:val="2E4057"/>
          <w:sz w:val="28"/>
          <w:szCs w:val="28"/>
        </w:rPr>
        <w:t xml:space="preserve">Q19. Primary competitors and relative market share</w:t>
      </w:r>
    </w:p>
    <w:p>
      <w:pPr>
        <w:spacing w:after="200"/>
      </w:pPr>
      <w:r>
        <w:rPr>
          <w:rFonts w:ascii="Arial" w:cs="Arial" w:eastAsia="Arial" w:hAnsi="Arial"/>
          <w:sz w:val="22"/>
          <w:szCs w:val="22"/>
        </w:rPr>
        <w:t xml:space="preserve">Novartis holds over 90% of the commercial RLT market through its two approved products, which treat prostate cancer and rare hormone-secreting tumors. No other company has an approved RLT drug. Several large pharmaceutical companies are building RLT capabilities through acquisitions: Bristol Myers Squibb (acquired RayzeBio for $4.1B), AstraZeneca (acquired Fusion Pharmaceuticals for $2.4B), and Eli Lilly (acquired Point Biopharma for $1.4B). Several venture-backed startups are also testing RLT drugs in human studies, including Aktis Oncology and Alpha-9 Oncology. Sego competes on different ground: the company targets cancers where no RLT product exists today, using a proprietary molecule design and radioactive isotope pairing that no competitor has replicated.</w:t>
      </w:r>
    </w:p>
    <w:p>
      <w:pPr>
        <w:pStyle w:val="Heading1"/>
        <w:spacing w:after="200" w:before="360"/>
      </w:pPr>
      <w:r>
        <w:rPr>
          <w:rFonts w:ascii="Arial" w:cs="Arial" w:eastAsia="Arial" w:hAnsi="Arial"/>
          <w:b/>
          <w:bCs/>
          <w:color w:val="2E4057"/>
          <w:sz w:val="28"/>
          <w:szCs w:val="28"/>
        </w:rPr>
        <w:t xml:space="preserve">Q20. Major customers and strategic partners</w:t>
      </w:r>
    </w:p>
    <w:p>
      <w:pPr>
        <w:spacing w:after="200"/>
      </w:pPr>
      <w:r>
        <w:rPr>
          <w:rFonts w:ascii="Arial" w:cs="Arial" w:eastAsia="Arial" w:hAnsi="Arial"/>
          <w:sz w:val="22"/>
          <w:szCs w:val="22"/>
        </w:rPr>
        <w:t xml:space="preserve">Sego is pre-revenue; the company will generate its first clinical revenue when drugs enter human studies (targeted early 2028). Strategic partners include: Wasatch Group (founding investor, $20M equity plus facility build support), Nusano (radioactive isotope production facility co-located with Sego in Salt Lake City, opening 2027), Huntsman Cancer Institute (site for human studies), University of Utah (research collaboration and isotope supply), and WuXi AppTec (outsourced laboratory partner for preclinical testing). Sego also sources radioactive raw materials from four international manufacturers (Eckert &amp; Ziegler, ITM Munich, TerThera, Isotopia).</w:t>
      </w:r>
    </w:p>
    <w:p>
      <w:pPr>
        <w:pStyle w:val="Heading1"/>
        <w:spacing w:after="200" w:before="360"/>
      </w:pPr>
      <w:r>
        <w:rPr>
          <w:rFonts w:ascii="Arial" w:cs="Arial" w:eastAsia="Arial" w:hAnsi="Arial"/>
          <w:b/>
          <w:bCs/>
          <w:color w:val="2E4057"/>
          <w:sz w:val="28"/>
          <w:szCs w:val="28"/>
        </w:rPr>
        <w:t xml:space="preserve">Q21. Largest impediment to growth</w:t>
      </w:r>
    </w:p>
    <w:p>
      <w:pPr>
        <w:shd w:fill="FFF3CD" w:val="clear"/>
        <w:spacing w:after="200"/>
      </w:pPr>
      <w:r>
        <w:rPr>
          <w:rFonts w:ascii="Arial" w:cs="Arial" w:eastAsia="Arial" w:hAnsi="Arial"/>
          <w:i/>
          <w:iCs/>
          <w:color w:val="856404"/>
          <w:sz w:val="22"/>
          <w:szCs w:val="22"/>
        </w:rPr>
        <w:t xml:space="preserve">[BECCA: Pick Option A, Option B, or combine.]</w:t>
      </w:r>
    </w:p>
    <w:p>
      <w:pPr>
        <w:pStyle w:val="Heading2"/>
        <w:spacing w:after="120" w:before="240"/>
      </w:pPr>
      <w:r>
        <w:rPr>
          <w:rFonts w:ascii="Arial" w:cs="Arial" w:eastAsia="Arial" w:hAnsi="Arial"/>
          <w:b/>
          <w:bCs/>
          <w:color w:val="2E4057"/>
          <w:sz w:val="24"/>
          <w:szCs w:val="24"/>
        </w:rPr>
        <w:t xml:space="preserve">Option A (Supply Chain)</w:t>
      </w:r>
    </w:p>
    <w:p>
      <w:pPr>
        <w:spacing w:after="200"/>
      </w:pPr>
      <w:r>
        <w:rPr>
          <w:rFonts w:ascii="Arial" w:cs="Arial" w:eastAsia="Arial" w:hAnsi="Arial"/>
          <w:sz w:val="22"/>
          <w:szCs w:val="22"/>
        </w:rPr>
        <w:t xml:space="preserve">Sego’s largest growth constraint is the maturity of the radioactive isotope supply chain. The specialized isotopes Sego uses in its drugs are produced at only a few facilities worldwide, and production capacity has not yet reached commercial scale. Russian suppliers have dominated key raw material production, creating geopolitical risk. Sego mitigates this by sharing a building with Nusano, a domestic isotope producer in Salt Lake City, and by maintaining contracts with multiple Western suppliers.</w:t>
      </w:r>
    </w:p>
    <w:p>
      <w:pPr>
        <w:pStyle w:val="Heading2"/>
        <w:spacing w:after="120" w:before="240"/>
      </w:pPr>
      <w:r>
        <w:rPr>
          <w:rFonts w:ascii="Arial" w:cs="Arial" w:eastAsia="Arial" w:hAnsi="Arial"/>
          <w:b/>
          <w:bCs/>
          <w:color w:val="2E4057"/>
          <w:sz w:val="24"/>
          <w:szCs w:val="24"/>
        </w:rPr>
        <w:t xml:space="preserve">Option B (Capital)</w:t>
      </w:r>
    </w:p>
    <w:p>
      <w:pPr>
        <w:spacing w:after="200"/>
      </w:pPr>
      <w:r>
        <w:rPr>
          <w:rFonts w:ascii="Arial" w:cs="Arial" w:eastAsia="Arial" w:hAnsi="Arial"/>
          <w:sz w:val="22"/>
          <w:szCs w:val="22"/>
        </w:rPr>
        <w:t xml:space="preserve">Sego’s primary constraint is the capital required to build manufacturing infrastructure and run human studies at the same time. Most drug companies outsource manufacturing, but Sego’s products involve radioactive materials that decay in transit, making proximity to the production source a requirement, not a preference. Sego addresses this through in-house manufacturing (which saves ~57% vs outsourcing), Wasatch Group’s $6.5M facility build commitment, and an equipment lease structure that avoids large upfront purchases.</w:t>
      </w:r>
    </w:p>
    <w:p>
      <w:pPr>
        <w:pStyle w:val="Heading1"/>
        <w:spacing w:after="200" w:before="360"/>
      </w:pPr>
      <w:r>
        <w:rPr>
          <w:rFonts w:ascii="Arial" w:cs="Arial" w:eastAsia="Arial" w:hAnsi="Arial"/>
          <w:b/>
          <w:bCs/>
          <w:color w:val="2E4057"/>
          <w:sz w:val="28"/>
          <w:szCs w:val="28"/>
        </w:rPr>
        <w:t xml:space="preserve">Q22. Detailed project description</w:t>
      </w:r>
    </w:p>
    <w:p>
      <w:pPr>
        <w:spacing w:after="200"/>
      </w:pPr>
      <w:r>
        <w:rPr>
          <w:rFonts w:ascii="Arial" w:cs="Arial" w:eastAsia="Arial" w:hAnsi="Arial"/>
          <w:sz w:val="22"/>
          <w:szCs w:val="22"/>
        </w:rPr>
        <w:t xml:space="preserve">Sego Therapeutics is building a drug discovery and manufacturing operation in Salt Lake City focused on radioligand therapy (RLT), a class of targeted cancer treatments that deliver radiation directly to tumor cells while sparing healthy tissue. The project includes three components: (i) a pharmaceutical-grade manufacturing facility (completing December 2026) to produce Sego’s drugs for clinical trials, (ii) specialized radiation laboratories for drug development and testing, and (iii) research laboratories for chemistry and biology. Sego is developing treatments for six types of cancer, with the first two programs (targeting prostate cancer) entering human clinical studies in early 2028. The Salt Lake City facility will house all of the company’s research, development, and clinical manufacturing under one roof.</w:t>
      </w:r>
    </w:p>
    <w:p>
      <w:pPr>
        <w:pStyle w:val="Heading1"/>
        <w:spacing w:after="200" w:before="360"/>
      </w:pPr>
      <w:r>
        <w:rPr>
          <w:rFonts w:ascii="Arial" w:cs="Arial" w:eastAsia="Arial" w:hAnsi="Arial"/>
          <w:b/>
          <w:bCs/>
          <w:color w:val="2E4057"/>
          <w:sz w:val="28"/>
          <w:szCs w:val="28"/>
        </w:rPr>
        <w:t xml:space="preserve">Q23. Timeline for project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Manufacturing facility construction complete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Q4 2026</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 drug candidate selection (two prostate cancer programs)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Q2–Q3 2027</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Manufacturing facility operational / first clinical production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Q4 2027</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human clinical study begins (Program 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2028</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human clinical study begins (Program 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2028</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Series A financing ($150M target)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Mid-2028</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Facility expansion decision (Phase 2 build)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H2 2028</w:t>
            </w:r>
          </w:p>
        </w:tc>
      </w:tr>
    </w:tbl>
    <w:p>
      <w:pPr>
        <w:spacing w:after="200"/>
      </w:pPr>
    </w:p>
    <w:p>
      <w:pPr>
        <w:pStyle w:val="Heading1"/>
        <w:spacing w:after="200" w:before="360"/>
      </w:pPr>
      <w:r>
        <w:rPr>
          <w:rFonts w:ascii="Arial" w:cs="Arial" w:eastAsia="Arial" w:hAnsi="Arial"/>
          <w:b/>
          <w:bCs/>
          <w:color w:val="2E4057"/>
          <w:sz w:val="28"/>
          <w:szCs w:val="28"/>
        </w:rPr>
        <w:t xml:space="preserve">Q24. Decision criteria for this project</w:t>
      </w:r>
    </w:p>
    <w:p>
      <w:pPr>
        <w:spacing w:after="200"/>
      </w:pPr>
      <w:r>
        <w:rPr>
          <w:rFonts w:ascii="Arial" w:cs="Arial" w:eastAsia="Arial" w:hAnsi="Arial"/>
          <w:sz w:val="22"/>
          <w:szCs w:val="22"/>
        </w:rPr>
        <w:t xml:space="preserve">Three criteria drive the decision to build in Utah. First, speed: manufacturing in-house cuts ~12 months of outsourcing delays (contracting, technology transfer, scheduling), putting Sego’s first drug into human studies in early 2028. Second, cost: Sego’s internal manufacturing runs $6.4M over two years vs $15M outsourced, a 57% savings across five programs. Third, isotope logistics: Sego’s drugs use radioactive materials that lose potency during shipping (they decay to half strength in 7–10 days), so sharing a building with Nusano’s isotope production facility eliminates transit losses. No other US location offers this combination.</w:t>
      </w:r>
    </w:p>
    <w:p>
      <w:r>
        <w:br w:type="page"/>
      </w:r>
    </w:p>
    <w:p>
      <w:pPr>
        <w:pStyle w:val="Heading1"/>
        <w:spacing w:after="200" w:before="360"/>
      </w:pPr>
      <w:r>
        <w:rPr>
          <w:rFonts w:ascii="Arial" w:cs="Arial" w:eastAsia="Arial" w:hAnsi="Arial"/>
          <w:b/>
          <w:bCs/>
          <w:color w:val="2E4057"/>
          <w:sz w:val="28"/>
          <w:szCs w:val="28"/>
        </w:rPr>
        <w:t xml:space="preserve">Q40. Sources of funding for this expansion</w:t>
      </w:r>
    </w:p>
    <w:p>
      <w:pPr>
        <w:spacing w:after="200"/>
      </w:pPr>
      <w:r>
        <w:rPr>
          <w:rFonts w:ascii="Arial" w:cs="Arial" w:eastAsia="Arial" w:hAnsi="Arial"/>
          <w:sz w:val="22"/>
          <w:szCs w:val="22"/>
        </w:rPr>
        <w:t xml:space="preserve">Sego’s current funding includes $20M in equity from Wasatch Group (founding investor), $6.5M in facility build-out costs covered by the building lease, and $2.6M in manufacturing equipment structured as an equipment lease.</w:t>
      </w:r>
    </w:p>
    <w:p>
      <w:pPr>
        <w:shd w:fill="FFF3CD" w:val="clear"/>
        <w:spacing w:after="200"/>
      </w:pPr>
      <w:r>
        <w:rPr>
          <w:rFonts w:ascii="Arial" w:cs="Arial" w:eastAsia="Arial" w:hAnsi="Arial"/>
          <w:i/>
          <w:iCs/>
          <w:color w:val="856404"/>
          <w:sz w:val="22"/>
          <w:szCs w:val="22"/>
        </w:rPr>
        <w:t xml:space="preserve">[BECCA: Add any other seed investors here if disclosed.]</w:t>
      </w:r>
    </w:p>
    <w:p>
      <w:pPr>
        <w:spacing w:after="200"/>
      </w:pPr>
      <w:r>
        <w:rPr>
          <w:rFonts w:ascii="Arial" w:cs="Arial" w:eastAsia="Arial" w:hAnsi="Arial"/>
          <w:sz w:val="22"/>
          <w:szCs w:val="22"/>
        </w:rPr>
        <w:t xml:space="preserve">Sego is targeting a $150M Series A round in mid-2028, supported by clinical data from two programs. Sego is also pursuing federal grants (NIH, Department of Energy) and state incentives including this EDTIF application.</w:t>
      </w:r>
    </w:p>
    <w:p>
      <w:pPr>
        <w:pStyle w:val="Heading1"/>
        <w:spacing w:after="200" w:before="360"/>
      </w:pPr>
      <w:r>
        <w:rPr>
          <w:rFonts w:ascii="Arial" w:cs="Arial" w:eastAsia="Arial" w:hAnsi="Arial"/>
          <w:b/>
          <w:bCs/>
          <w:color w:val="2E4057"/>
          <w:sz w:val="28"/>
          <w:szCs w:val="28"/>
        </w:rPr>
        <w:t xml:space="preserve">Q41. Why Utah is a strategic advantage</w:t>
      </w:r>
    </w:p>
    <w:p>
      <w:pPr>
        <w:spacing w:after="200"/>
      </w:pPr>
      <w:r>
        <w:rPr>
          <w:rFonts w:ascii="Arial" w:cs="Arial" w:eastAsia="Arial" w:hAnsi="Arial"/>
          <w:sz w:val="22"/>
          <w:szCs w:val="22"/>
        </w:rPr>
        <w:t xml:space="preserve">Utah gives Sego three advantages that no other US location can replicate. First, Nusano’s isotope production facility shares Sego’s building in Salt Lake City. Sego’s drugs use radioactive materials that lose potency during shipping, so eliminating transit time preserves more of the active ingredient and cuts waste. Nusano also provides a domestic supply source independent of foreign producers. Second, Huntsman Cancer Institute and the University of Utah are within 30 minutes and offer human study infrastructure and research collaboration that would take years to replicate elsewhere. Third, Wasatch Group invested $20M in equity plus funded the facility build, creating a committed local capital partner with long-term alignment that allows Sego to build on Utah timelines rather than depending on out-of-state venture fundraising cycles.</w:t>
      </w:r>
    </w:p>
    <w:p>
      <w:pPr>
        <w:pStyle w:val="Heading1"/>
        <w:spacing w:after="200" w:before="360"/>
      </w:pPr>
      <w:r>
        <w:rPr>
          <w:rFonts w:ascii="Arial" w:cs="Arial" w:eastAsia="Arial" w:hAnsi="Arial"/>
          <w:b/>
          <w:bCs/>
          <w:color w:val="2E4057"/>
          <w:sz w:val="28"/>
          <w:szCs w:val="28"/>
        </w:rPr>
        <w:t xml:space="preserve">Q44. Why this incentive is critical</w:t>
      </w:r>
    </w:p>
    <w:p>
      <w:pPr>
        <w:spacing w:after="200"/>
      </w:pPr>
      <w:r>
        <w:rPr>
          <w:rFonts w:ascii="Arial" w:cs="Arial" w:eastAsia="Arial" w:hAnsi="Arial"/>
          <w:sz w:val="22"/>
          <w:szCs w:val="22"/>
        </w:rPr>
        <w:t xml:space="preserve">Sego faces a critical 18–24 month funding gap between manufacturing facility completion (December 2026) and its next major fundraise (mid-2028). During this period, the company is spending on manufacturing and human studies before institutional venture capital arrives. This incentive preserves capital during that window, letting Sego hire faster and complete the milestones that determine the next fundraise valuation.</w:t>
      </w:r>
    </w:p>
    <w:p>
      <w:pPr>
        <w:shd w:fill="FFF3CD" w:val="clear"/>
        <w:spacing w:after="200"/>
      </w:pPr>
      <w:r>
        <w:rPr>
          <w:rFonts w:ascii="Arial" w:cs="Arial" w:eastAsia="Arial" w:hAnsi="Arial"/>
          <w:i/>
          <w:iCs/>
          <w:color w:val="856404"/>
          <w:sz w:val="22"/>
          <w:szCs w:val="22"/>
        </w:rPr>
        <w:t xml:space="preserve">[BECCA: Insert FTE hiring target number.]</w:t>
      </w:r>
    </w:p>
    <w:p>
      <w:pPr>
        <w:spacing w:after="200"/>
      </w:pPr>
      <w:r>
        <w:rPr>
          <w:rFonts w:ascii="Arial" w:cs="Arial" w:eastAsia="Arial" w:hAnsi="Arial"/>
          <w:sz w:val="22"/>
          <w:szCs w:val="22"/>
        </w:rPr>
        <w:t xml:space="preserve">Without it, Sego would need to delay hiring or reduce the number of programs entering human studies, weakening its fundraising position and slowing Utah job creation.</w:t>
      </w:r>
    </w:p>
    <w:p>
      <w:pPr>
        <w:pStyle w:val="Heading1"/>
        <w:spacing w:after="200" w:before="360"/>
      </w:pPr>
      <w:r>
        <w:rPr>
          <w:rFonts w:ascii="Arial" w:cs="Arial" w:eastAsia="Arial" w:hAnsi="Arial"/>
          <w:b/>
          <w:bCs/>
          <w:color w:val="2E4057"/>
          <w:sz w:val="28"/>
          <w:szCs w:val="28"/>
        </w:rPr>
        <w:t xml:space="preserve">Q45. Material issues</w:t>
      </w:r>
    </w:p>
    <w:p>
      <w:pPr>
        <w:spacing w:after="200"/>
      </w:pPr>
      <w:r>
        <w:rPr>
          <w:rFonts w:ascii="Arial" w:cs="Arial" w:eastAsia="Arial" w:hAnsi="Arial"/>
          <w:sz w:val="22"/>
          <w:szCs w:val="22"/>
        </w:rPr>
        <w:t xml:space="preserve">Sego has no bankruptcy filings, no pending litigation, and no regulatory enforcement actions. The company is in good standing with the State of Utah.</w:t>
      </w:r>
    </w:p>
    <w:p>
      <w:pPr>
        <w:shd w:fill="FFF3CD" w:val="clear"/>
        <w:spacing w:after="200"/>
      </w:pPr>
      <w:r>
        <w:rPr>
          <w:rFonts w:ascii="Arial" w:cs="Arial" w:eastAsia="Arial" w:hAnsi="Arial"/>
          <w:i/>
          <w:iCs/>
          <w:color w:val="856404"/>
          <w:sz w:val="22"/>
          <w:szCs w:val="22"/>
        </w:rPr>
        <w:t xml:space="preserve">[BECCA: Confirm with Greg/legal if there are any IP disputes, employment claims, or other matters to disclose.]</w:t>
      </w:r>
    </w:p>
    <w:p>
      <w:pPr>
        <w:pStyle w:val="Heading1"/>
        <w:spacing w:after="200" w:before="360"/>
      </w:pPr>
      <w:r>
        <w:rPr>
          <w:rFonts w:ascii="Arial" w:cs="Arial" w:eastAsia="Arial" w:hAnsi="Arial"/>
          <w:b/>
          <w:bCs/>
          <w:color w:val="2E4057"/>
          <w:sz w:val="28"/>
          <w:szCs w:val="28"/>
        </w:rPr>
        <w:t xml:space="preserve">Q46. Negative impacts and how they will be addressed</w:t>
      </w:r>
    </w:p>
    <w:p>
      <w:pPr>
        <w:spacing w:after="200"/>
      </w:pPr>
      <w:r>
        <w:rPr>
          <w:rFonts w:ascii="Arial" w:cs="Arial" w:eastAsia="Arial" w:hAnsi="Arial"/>
          <w:sz w:val="22"/>
          <w:szCs w:val="22"/>
        </w:rPr>
        <w:t xml:space="preserve">Sego handles radioactive materials, which requires Nuclear Regulatory Commission (NRC) and state radiation safety licenses. The team includes multiple individuals who have built and operated licensed pharmaceutical radiation facilities. Sego conducts all radioactive work in shielded containment equipment designed to keep radiation exposure to the lowest levels achievable, with no measurable environmental release. The company disposes of waste through federal and state protocols designed for medical and research radioactive materials.</w:t>
      </w:r>
    </w:p>
    <w:p>
      <w:pPr>
        <w:pStyle w:val="Heading1"/>
        <w:spacing w:after="200" w:before="360"/>
      </w:pPr>
      <w:r>
        <w:rPr>
          <w:rFonts w:ascii="Arial" w:cs="Arial" w:eastAsia="Arial" w:hAnsi="Arial"/>
          <w:b/>
          <w:bCs/>
          <w:color w:val="2E4057"/>
          <w:sz w:val="28"/>
          <w:szCs w:val="28"/>
        </w:rPr>
        <w:t xml:space="preserve">Q55. Year company was established</w:t>
      </w:r>
    </w:p>
    <w:p>
      <w:pPr>
        <w:shd w:fill="FFF3CD" w:val="clear"/>
        <w:spacing w:after="200"/>
      </w:pPr>
      <w:r>
        <w:rPr>
          <w:rFonts w:ascii="Arial" w:cs="Arial" w:eastAsia="Arial" w:hAnsi="Arial"/>
          <w:i/>
          <w:iCs/>
          <w:color w:val="856404"/>
          <w:sz w:val="22"/>
          <w:szCs w:val="22"/>
        </w:rPr>
        <w:t xml:space="preserve">[BECCA: Insert exact year of incorporation/registration. Confirm with Greg.]</w:t>
      </w:r>
    </w:p>
    <w:p>
      <w:r>
        <w:br w:type="page"/>
      </w:r>
    </w:p>
    <w:p>
      <w:pPr>
        <w:pStyle w:val="Heading1"/>
        <w:spacing w:after="200" w:before="360"/>
      </w:pPr>
      <w:r>
        <w:rPr>
          <w:rFonts w:ascii="Arial" w:cs="Arial" w:eastAsia="Arial" w:hAnsi="Arial"/>
          <w:b/>
          <w:bCs/>
          <w:color w:val="2E4057"/>
          <w:sz w:val="28"/>
          <w:szCs w:val="28"/>
        </w:rPr>
        <w:t xml:space="preserve">Q61. Sources and amounts of investment</w:t>
      </w:r>
    </w:p>
    <w:p>
      <w:pPr>
        <w:shd w:fill="FFF3CD" w:val="clear"/>
        <w:spacing w:after="200"/>
      </w:pPr>
      <w:r>
        <w:rPr>
          <w:rFonts w:ascii="Arial" w:cs="Arial" w:eastAsia="Arial" w:hAnsi="Arial"/>
          <w:i/>
          <w:iCs/>
          <w:color w:val="856404"/>
          <w:sz w:val="22"/>
          <w:szCs w:val="22"/>
        </w:rPr>
        <w:t xml:space="preserve">[UPLOAD REQUIRED: Format the table below as a standalone document for 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800"/>
        <w:gridCol w:w="2560"/>
      </w:tblGrid>
      <w:t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Amount</w:t>
            </w:r>
          </w:p>
        </w:tc>
        <w:tc>
          <w:tcPr>
            <w:tcW w:type="dxa" w:w="2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Wasatch Group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Equity (Seed)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Committed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Wasatch Group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Facility Build-Out (Lease)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$6.5M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progress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Equipment Lease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Manufacturing Equipment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2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i/>
                <w:iCs/>
                <w:sz w:val="20"/>
                <w:szCs w:val="20"/>
              </w:rPr>
              <w:t xml:space="preserve">[Other seed investors]</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i/>
                <w:iCs/>
                <w:sz w:val="20"/>
                <w:szCs w:val="20"/>
              </w:rPr>
              <w:t xml:space="preserve">[Equity]</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i/>
                <w:iCs/>
                <w:sz w:val="20"/>
                <w:szCs w:val="20"/>
              </w:rPr>
              <w:t xml:space="preserve">[TBD]</w:t>
            </w:r>
          </w:p>
        </w:tc>
        <w:tc>
          <w:tcPr>
            <w:tcW w:type="dxa" w:w="2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i/>
                <w:iCs/>
                <w:sz w:val="20"/>
                <w:szCs w:val="20"/>
              </w:rPr>
              <w:t xml:space="preserve">[TBD]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Series A (target)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Equity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Anticipated mid-2028</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Federal grants (NIH, DOE)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Non-dilutive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TBD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Pursuing</w:t>
            </w:r>
          </w:p>
        </w:tc>
      </w:tr>
    </w:tbl>
    <w:p>
      <w:pPr>
        <w:spacing w:after="200"/>
      </w:pPr>
    </w:p>
    <w:p>
      <w:pPr>
        <w:shd w:fill="FFF3CD" w:val="clear"/>
        <w:spacing w:after="200"/>
      </w:pPr>
      <w:r>
        <w:rPr>
          <w:rFonts w:ascii="Arial" w:cs="Arial" w:eastAsia="Arial" w:hAnsi="Arial"/>
          <w:i/>
          <w:iCs/>
          <w:color w:val="856404"/>
          <w:sz w:val="22"/>
          <w:szCs w:val="22"/>
        </w:rPr>
        <w:t xml:space="preserve">[BECCA: Should we format this as a standalone one-pager for upload?]</w:t>
      </w:r>
    </w:p>
    <w:p>
      <w:pPr>
        <w:pStyle w:val="Heading1"/>
        <w:spacing w:after="200" w:before="360"/>
      </w:pPr>
      <w:r>
        <w:rPr>
          <w:rFonts w:ascii="Arial" w:cs="Arial" w:eastAsia="Arial" w:hAnsi="Arial"/>
          <w:b/>
          <w:bCs/>
          <w:color w:val="2E4057"/>
          <w:sz w:val="28"/>
          <w:szCs w:val="28"/>
        </w:rPr>
        <w:t xml:space="preserve">Q63. Upload pitch deck / investor presentation</w:t>
      </w:r>
    </w:p>
    <w:p>
      <w:pPr>
        <w:spacing w:after="200"/>
      </w:pPr>
      <w:r>
        <w:rPr>
          <w:rFonts w:ascii="Arial" w:cs="Arial" w:eastAsia="Arial" w:hAnsi="Arial"/>
          <w:sz w:val="22"/>
          <w:szCs w:val="22"/>
        </w:rPr>
        <w:t xml:space="preserve">Upload from pitch-materials/. The non-confidential version (Sego Non-Confidential Deck_Revised.pptx) is likely more appropriate for a state application than the master deck.</w:t>
      </w:r>
    </w:p>
    <w:p>
      <w:pPr>
        <w:shd w:fill="FFF3CD" w:val="clear"/>
        <w:spacing w:after="200"/>
      </w:pPr>
      <w:r>
        <w:rPr>
          <w:rFonts w:ascii="Arial" w:cs="Arial" w:eastAsia="Arial" w:hAnsi="Arial"/>
          <w:i/>
          <w:iCs/>
          <w:color w:val="856404"/>
          <w:sz w:val="22"/>
          <w:szCs w:val="22"/>
        </w:rPr>
        <w:t xml:space="preserve">[BECCA: Confirm which deck version to submit.]</w:t>
      </w:r>
    </w:p>
    <w:p>
      <w:r>
        <w:br w:type="page"/>
      </w:r>
    </w:p>
    <w:p>
      <w:pPr>
        <w:pBdr>
          <w:bottom w:val="single" w:color="2E4057" w:sz="6" w:space="1"/>
        </w:pBdr>
        <w:spacing w:after="300"/>
      </w:pPr>
    </w:p>
    <w:p>
      <w:pPr>
        <w:pStyle w:val="Heading1"/>
        <w:spacing w:after="200" w:before="360"/>
      </w:pPr>
      <w:r>
        <w:rPr>
          <w:rFonts w:ascii="Arial" w:cs="Arial" w:eastAsia="Arial" w:hAnsi="Arial"/>
          <w:b/>
          <w:bCs/>
          <w:color w:val="2E4057"/>
          <w:sz w:val="28"/>
          <w:szCs w:val="28"/>
        </w:rPr>
        <w:t xml:space="preserve">Flags for Becca</w:t>
      </w:r>
    </w:p>
    <w:p>
      <w:pPr>
        <w:pStyle w:val="ListParagraph"/>
        <w:numPr>
          <w:ilvl w:val="0"/>
          <w:numId w:val="2"/>
        </w:numPr>
        <w:spacing w:after="120"/>
      </w:pPr>
      <w:r>
        <w:rPr>
          <w:rFonts w:ascii="Arial" w:cs="Arial" w:eastAsia="Arial" w:hAnsi="Arial"/>
          <w:b/>
          <w:bCs/>
          <w:sz w:val="22"/>
          <w:szCs w:val="22"/>
        </w:rPr>
        <w:t xml:space="preserve">Q21</w:t>
      </w:r>
      <w:r>
        <w:rPr>
          <w:rFonts w:ascii="Arial" w:cs="Arial" w:eastAsia="Arial" w:hAnsi="Arial"/>
          <w:sz w:val="22"/>
          <w:szCs w:val="22"/>
        </w:rPr>
        <w:t xml:space="preserve"> — Pick Option A (supply chain) or B (capital), or combine</w:t>
      </w:r>
    </w:p>
    <w:p>
      <w:pPr>
        <w:pStyle w:val="ListParagraph"/>
        <w:numPr>
          <w:ilvl w:val="0"/>
          <w:numId w:val="2"/>
        </w:numPr>
        <w:spacing w:after="120"/>
      </w:pPr>
      <w:r>
        <w:rPr>
          <w:rFonts w:ascii="Arial" w:cs="Arial" w:eastAsia="Arial" w:hAnsi="Arial"/>
          <w:b/>
          <w:bCs/>
          <w:sz w:val="22"/>
          <w:szCs w:val="22"/>
        </w:rPr>
        <w:t xml:space="preserve">Q40</w:t>
      </w:r>
      <w:r>
        <w:rPr>
          <w:rFonts w:ascii="Arial" w:cs="Arial" w:eastAsia="Arial" w:hAnsi="Arial"/>
          <w:sz w:val="22"/>
          <w:szCs w:val="22"/>
        </w:rPr>
        <w:t xml:space="preserve"> — Add any other seed investors beyond Wasatch</w:t>
      </w:r>
    </w:p>
    <w:p>
      <w:pPr>
        <w:pStyle w:val="ListParagraph"/>
        <w:numPr>
          <w:ilvl w:val="0"/>
          <w:numId w:val="2"/>
        </w:numPr>
        <w:spacing w:after="120"/>
      </w:pPr>
      <w:r>
        <w:rPr>
          <w:rFonts w:ascii="Arial" w:cs="Arial" w:eastAsia="Arial" w:hAnsi="Arial"/>
          <w:b/>
          <w:bCs/>
          <w:sz w:val="22"/>
          <w:szCs w:val="22"/>
        </w:rPr>
        <w:t xml:space="preserve">Q44</w:t>
      </w:r>
      <w:r>
        <w:rPr>
          <w:rFonts w:ascii="Arial" w:cs="Arial" w:eastAsia="Arial" w:hAnsi="Arial"/>
          <w:sz w:val="22"/>
          <w:szCs w:val="22"/>
        </w:rPr>
        <w:t xml:space="preserve"> — Insert FTE hiring target number</w:t>
      </w:r>
    </w:p>
    <w:p>
      <w:pPr>
        <w:pStyle w:val="ListParagraph"/>
        <w:numPr>
          <w:ilvl w:val="0"/>
          <w:numId w:val="2"/>
        </w:numPr>
        <w:spacing w:after="120"/>
      </w:pPr>
      <w:r>
        <w:rPr>
          <w:rFonts w:ascii="Arial" w:cs="Arial" w:eastAsia="Arial" w:hAnsi="Arial"/>
          <w:b/>
          <w:bCs/>
          <w:sz w:val="22"/>
          <w:szCs w:val="22"/>
        </w:rPr>
        <w:t xml:space="preserve">Q45</w:t>
      </w:r>
      <w:r>
        <w:rPr>
          <w:rFonts w:ascii="Arial" w:cs="Arial" w:eastAsia="Arial" w:hAnsi="Arial"/>
          <w:sz w:val="22"/>
          <w:szCs w:val="22"/>
        </w:rPr>
        <w:t xml:space="preserve"> — Confirm no legal/IP issues with Greg</w:t>
      </w:r>
    </w:p>
    <w:p>
      <w:pPr>
        <w:pStyle w:val="ListParagraph"/>
        <w:numPr>
          <w:ilvl w:val="0"/>
          <w:numId w:val="2"/>
        </w:numPr>
        <w:spacing w:after="120"/>
      </w:pPr>
      <w:r>
        <w:rPr>
          <w:rFonts w:ascii="Arial" w:cs="Arial" w:eastAsia="Arial" w:hAnsi="Arial"/>
          <w:b/>
          <w:bCs/>
          <w:sz w:val="22"/>
          <w:szCs w:val="22"/>
        </w:rPr>
        <w:t xml:space="preserve">Q55</w:t>
      </w:r>
      <w:r>
        <w:rPr>
          <w:rFonts w:ascii="Arial" w:cs="Arial" w:eastAsia="Arial" w:hAnsi="Arial"/>
          <w:sz w:val="22"/>
          <w:szCs w:val="22"/>
        </w:rPr>
        <w:t xml:space="preserve"> — Insert exact incorporation year</w:t>
      </w:r>
    </w:p>
    <w:p>
      <w:pPr>
        <w:pStyle w:val="ListParagraph"/>
        <w:numPr>
          <w:ilvl w:val="0"/>
          <w:numId w:val="2"/>
        </w:numPr>
        <w:spacing w:after="120"/>
      </w:pPr>
      <w:r>
        <w:rPr>
          <w:rFonts w:ascii="Arial" w:cs="Arial" w:eastAsia="Arial" w:hAnsi="Arial"/>
          <w:b/>
          <w:bCs/>
          <w:sz w:val="22"/>
          <w:szCs w:val="22"/>
        </w:rPr>
        <w:t xml:space="preserve">Q61</w:t>
      </w:r>
      <w:r>
        <w:rPr>
          <w:rFonts w:ascii="Arial" w:cs="Arial" w:eastAsia="Arial" w:hAnsi="Arial"/>
          <w:sz w:val="22"/>
          <w:szCs w:val="22"/>
        </w:rPr>
        <w:t xml:space="preserve"> — Decide format: standalone PDF/table or integrated into application</w:t>
      </w:r>
    </w:p>
    <w:p>
      <w:pPr>
        <w:pStyle w:val="ListParagraph"/>
        <w:numPr>
          <w:ilvl w:val="0"/>
          <w:numId w:val="2"/>
        </w:numPr>
        <w:spacing w:after="120"/>
      </w:pPr>
      <w:r>
        <w:rPr>
          <w:rFonts w:ascii="Arial" w:cs="Arial" w:eastAsia="Arial" w:hAnsi="Arial"/>
          <w:b/>
          <w:bCs/>
          <w:sz w:val="22"/>
          <w:szCs w:val="22"/>
        </w:rPr>
        <w:t xml:space="preserve">Q63</w:t>
      </w:r>
      <w:r>
        <w:rPr>
          <w:rFonts w:ascii="Arial" w:cs="Arial" w:eastAsia="Arial" w:hAnsi="Arial"/>
          <w:sz w:val="22"/>
          <w:szCs w:val="22"/>
        </w:rPr>
        <w:t xml:space="preserve"> — Choose which deck to upload (confidential vs non-confidential)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DRAFT — </w:t>
    </w: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EDTIF Application — Sego Therapeutics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4057"/>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2026-06-16T19:26:17.933Z</dcterms:created>
  <dcterms:modified xsi:type="dcterms:W3CDTF">2026-06-16T19:26:17.933Z</dcterms:modified>
</cp:coreProperties>
</file>

<file path=docProps/custom.xml><?xml version="1.0" encoding="utf-8"?>
<Properties xmlns="http://schemas.openxmlformats.org/officeDocument/2006/custom-properties" xmlns:vt="http://schemas.openxmlformats.org/officeDocument/2006/docPropsVTypes"/>
</file>