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BE32" w14:textId="42DC3042" w:rsidR="00E942CC" w:rsidRPr="00E942CC" w:rsidRDefault="008127F8" w:rsidP="0045211A">
      <w:pPr>
        <w:tabs>
          <w:tab w:val="num" w:pos="720"/>
        </w:tabs>
        <w:jc w:val="both"/>
        <w:rPr>
          <w:rFonts w:ascii="Funnel Sans" w:hAnsi="Funnel Sans"/>
          <w:b/>
          <w:bCs/>
          <w:color w:val="156082" w:themeColor="accent1"/>
          <w:sz w:val="22"/>
          <w:szCs w:val="22"/>
        </w:rPr>
      </w:pPr>
      <w:r>
        <w:rPr>
          <w:rFonts w:ascii="Funnel Sans" w:hAnsi="Funnel Sans"/>
          <w:b/>
          <w:bCs/>
          <w:color w:val="156082" w:themeColor="accent1"/>
          <w:sz w:val="22"/>
          <w:szCs w:val="22"/>
        </w:rPr>
        <w:t>Leading Questions</w:t>
      </w:r>
    </w:p>
    <w:p w14:paraId="3BB1B52D" w14:textId="09D30D9E" w:rsidR="00D0302E" w:rsidRPr="00D0302E" w:rsidRDefault="00D0302E" w:rsidP="0045211A">
      <w:pPr>
        <w:jc w:val="both"/>
        <w:rPr>
          <w:rFonts w:ascii="Funnel Sans" w:hAnsi="Funnel Sans"/>
          <w:color w:val="156082" w:themeColor="accent1"/>
          <w:sz w:val="22"/>
          <w:szCs w:val="22"/>
          <w:lang w:val="en-GB"/>
        </w:rPr>
      </w:pPr>
      <w:commentRangeStart w:id="0"/>
      <w:r w:rsidRPr="00D0302E">
        <w:rPr>
          <w:rFonts w:ascii="Funnel Sans" w:hAnsi="Funnel Sans"/>
          <w:b/>
          <w:bCs/>
          <w:color w:val="156082" w:themeColor="accent1"/>
          <w:sz w:val="22"/>
          <w:szCs w:val="22"/>
          <w:lang w:val="en-GB"/>
        </w:rPr>
        <w:t>Facility</w:t>
      </w:r>
      <w:r w:rsidR="00322FD7">
        <w:rPr>
          <w:rFonts w:ascii="Funnel Sans" w:hAnsi="Funnel Sans"/>
          <w:b/>
          <w:bCs/>
          <w:color w:val="156082" w:themeColor="accent1"/>
          <w:sz w:val="22"/>
          <w:szCs w:val="22"/>
          <w:lang w:val="en-GB"/>
        </w:rPr>
        <w:t xml:space="preserve"> </w:t>
      </w:r>
      <w:r w:rsidRPr="00D0302E">
        <w:rPr>
          <w:rFonts w:ascii="Funnel Sans" w:hAnsi="Funnel Sans"/>
          <w:b/>
          <w:bCs/>
          <w:color w:val="156082" w:themeColor="accent1"/>
          <w:sz w:val="22"/>
          <w:szCs w:val="22"/>
          <w:lang w:val="en-GB"/>
        </w:rPr>
        <w:t xml:space="preserve">build out </w:t>
      </w:r>
      <w:commentRangeEnd w:id="0"/>
      <w:r w:rsidR="00B054F6" w:rsidRPr="00D0302E">
        <w:rPr>
          <w:rStyle w:val="CommentReference"/>
          <w:rFonts w:ascii="Funnel Sans" w:hAnsi="Funnel Sans"/>
          <w:b/>
          <w:bCs/>
          <w:color w:val="156082" w:themeColor="accent1"/>
          <w:sz w:val="22"/>
          <w:szCs w:val="22"/>
          <w:lang w:val="en-GB"/>
        </w:rPr>
        <w:commentReference w:id="0"/>
      </w:r>
      <w:r w:rsidRPr="00D0302E">
        <w:rPr>
          <w:rFonts w:ascii="Funnel Sans" w:hAnsi="Funnel Sans"/>
          <w:b/>
          <w:bCs/>
          <w:color w:val="156082" w:themeColor="accent1"/>
          <w:sz w:val="22"/>
          <w:szCs w:val="22"/>
          <w:lang w:val="en-GB"/>
        </w:rPr>
        <w:t>- </w:t>
      </w:r>
      <w:r w:rsidRPr="00D0302E">
        <w:rPr>
          <w:rFonts w:ascii="Funnel Sans" w:hAnsi="Funnel Sans"/>
          <w:color w:val="156082" w:themeColor="accent1"/>
          <w:sz w:val="22"/>
          <w:szCs w:val="22"/>
          <w:lang w:val="en-GB"/>
        </w:rPr>
        <w:t>Our KOL calls have indicated that CROs and CDMOs have significant capabilities in developing RLTs. While some amount of in-house capabilities are necessary, we wanted to better understand why such a significant build-out is needed at this stage.</w:t>
      </w:r>
    </w:p>
    <w:p w14:paraId="1FA75F6E" w14:textId="4854C737" w:rsidR="008464A4" w:rsidRDefault="008464A4" w:rsidP="008464A4">
      <w:pPr>
        <w:jc w:val="both"/>
        <w:rPr>
          <w:rFonts w:ascii="Funnel Sans" w:hAnsi="Funnel Sans"/>
          <w:color w:val="000000"/>
          <w:sz w:val="22"/>
        </w:rPr>
      </w:pPr>
      <w:r>
        <w:rPr>
          <w:rFonts w:ascii="Funnel Sans" w:hAnsi="Funnel Sans"/>
          <w:color w:val="000000"/>
          <w:sz w:val="22"/>
        </w:rPr>
        <w:t>Vertical integration allows for cost efficiency in early clinical manufacturing, improved efficiency in delivering medication to sites, and synergy with preclinical research needs. Sego is specifically enabled to succeed in vertical integration due to the deep experience of the team in manufacturing across stages of development and the commitment of our founding investors, Wasatch Group. Their investment in Sego includes over $6.5M in TI as part of our building lease, plus an equipment lease which is specifically structured to offset the one</w:t>
      </w:r>
      <w:r w:rsidR="00C95854">
        <w:rPr>
          <w:rFonts w:ascii="Funnel Sans" w:hAnsi="Funnel Sans"/>
          <w:color w:val="000000"/>
          <w:sz w:val="22"/>
        </w:rPr>
        <w:t>-</w:t>
      </w:r>
      <w:r>
        <w:rPr>
          <w:rFonts w:ascii="Funnel Sans" w:hAnsi="Funnel Sans"/>
          <w:color w:val="000000"/>
          <w:sz w:val="22"/>
        </w:rPr>
        <w:t xml:space="preserve">time capital outlay to build a GMP suite ($3M total). </w:t>
      </w:r>
    </w:p>
    <w:p w14:paraId="4DEB2766" w14:textId="3600291C" w:rsidR="008464A4" w:rsidRDefault="008464A4" w:rsidP="008464A4">
      <w:pPr>
        <w:jc w:val="both"/>
        <w:rPr>
          <w:rFonts w:ascii="Funnel Sans" w:hAnsi="Funnel Sans"/>
          <w:color w:val="000000"/>
          <w:sz w:val="22"/>
        </w:rPr>
      </w:pPr>
      <w:r w:rsidRPr="00994C6A">
        <w:rPr>
          <w:rFonts w:ascii="Funnel Sans" w:hAnsi="Funnel Sans"/>
          <w:b/>
          <w:bCs/>
          <w:color w:val="000000"/>
          <w:sz w:val="22"/>
        </w:rPr>
        <w:t xml:space="preserve">Ph 0 / Ph 1 </w:t>
      </w:r>
      <w:r>
        <w:rPr>
          <w:rFonts w:ascii="Funnel Sans" w:hAnsi="Funnel Sans"/>
          <w:b/>
          <w:bCs/>
          <w:color w:val="000000"/>
          <w:sz w:val="22"/>
        </w:rPr>
        <w:t xml:space="preserve">manufacturing </w:t>
      </w:r>
      <w:r w:rsidRPr="00994C6A">
        <w:rPr>
          <w:rFonts w:ascii="Funnel Sans" w:hAnsi="Funnel Sans"/>
          <w:b/>
          <w:bCs/>
          <w:color w:val="000000"/>
          <w:sz w:val="22"/>
        </w:rPr>
        <w:t>economics favor internal production</w:t>
      </w:r>
    </w:p>
    <w:p w14:paraId="72058274" w14:textId="57C0ADE9" w:rsidR="008464A4" w:rsidRDefault="008464A4" w:rsidP="008B3B06">
      <w:pPr>
        <w:jc w:val="both"/>
        <w:rPr>
          <w:rFonts w:ascii="Funnel Sans" w:hAnsi="Funnel Sans"/>
          <w:color w:val="000000"/>
          <w:sz w:val="22"/>
        </w:rPr>
      </w:pPr>
      <w:r>
        <w:rPr>
          <w:rFonts w:ascii="Funnel Sans" w:hAnsi="Funnel Sans"/>
          <w:color w:val="000000"/>
          <w:sz w:val="22"/>
        </w:rPr>
        <w:t>Production costs for the planned multi-molecule Ph 0 program are estimated to be $3M at a CDMO vs $1.4M internally. Considering Sego aims to run 6 programs through Ph 0, these costs ramp quickly making in-house capabilities much more cost effective, even when considering a $3M build cost. Below is an example scenario of costs for our planned milestones in 2028/29.</w:t>
      </w:r>
    </w:p>
    <w:tbl>
      <w:tblPr>
        <w:tblW w:w="932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86"/>
        <w:gridCol w:w="2147"/>
        <w:gridCol w:w="2147"/>
        <w:gridCol w:w="2147"/>
      </w:tblGrid>
      <w:tr w:rsidR="004958B6" w:rsidRPr="00A34188" w14:paraId="1CD28EED" w14:textId="77777777">
        <w:trPr>
          <w:trHeight w:val="304"/>
        </w:trPr>
        <w:tc>
          <w:tcPr>
            <w:tcW w:w="2886" w:type="dxa"/>
            <w:shd w:val="clear" w:color="000000" w:fill="156082"/>
            <w:noWrap/>
            <w:vAlign w:val="bottom"/>
            <w:hideMark/>
          </w:tcPr>
          <w:p w14:paraId="062A817C" w14:textId="77777777" w:rsidR="008464A4" w:rsidRPr="00A34188" w:rsidRDefault="008464A4">
            <w:pPr>
              <w:spacing w:after="0" w:line="240" w:lineRule="auto"/>
              <w:rPr>
                <w:rFonts w:ascii="Aptos Narrow" w:eastAsia="Times New Roman" w:hAnsi="Aptos Narrow" w:cs="Times New Roman"/>
                <w:b/>
                <w:bCs/>
                <w:color w:val="FFFFFF"/>
                <w:kern w:val="0"/>
                <w:sz w:val="22"/>
                <w:szCs w:val="22"/>
                <w14:ligatures w14:val="none"/>
              </w:rPr>
            </w:pPr>
            <w:r>
              <w:rPr>
                <w:rFonts w:ascii="Aptos Narrow" w:eastAsia="Times New Roman" w:hAnsi="Aptos Narrow" w:cs="Times New Roman"/>
                <w:b/>
                <w:bCs/>
                <w:color w:val="FFFFFF"/>
                <w:kern w:val="0"/>
                <w:sz w:val="22"/>
                <w:szCs w:val="22"/>
                <w14:ligatures w14:val="none"/>
              </w:rPr>
              <w:t>CDMO vs Sego</w:t>
            </w:r>
            <w:r w:rsidRPr="00A34188">
              <w:rPr>
                <w:rFonts w:ascii="Aptos Narrow" w:eastAsia="Times New Roman" w:hAnsi="Aptos Narrow" w:cs="Times New Roman"/>
                <w:b/>
                <w:bCs/>
                <w:color w:val="FFFFFF"/>
                <w:kern w:val="0"/>
                <w:sz w:val="22"/>
                <w:szCs w:val="22"/>
                <w14:ligatures w14:val="none"/>
              </w:rPr>
              <w:t xml:space="preserve"> </w:t>
            </w:r>
            <w:r>
              <w:rPr>
                <w:rFonts w:ascii="Aptos Narrow" w:eastAsia="Times New Roman" w:hAnsi="Aptos Narrow" w:cs="Times New Roman"/>
                <w:b/>
                <w:bCs/>
                <w:color w:val="FFFFFF"/>
                <w:kern w:val="0"/>
                <w:sz w:val="22"/>
                <w:szCs w:val="22"/>
                <w14:ligatures w14:val="none"/>
              </w:rPr>
              <w:t>GMP Cost</w:t>
            </w:r>
          </w:p>
        </w:tc>
        <w:tc>
          <w:tcPr>
            <w:tcW w:w="2147" w:type="dxa"/>
            <w:shd w:val="clear" w:color="000000" w:fill="156082"/>
            <w:noWrap/>
            <w:vAlign w:val="bottom"/>
            <w:hideMark/>
          </w:tcPr>
          <w:p w14:paraId="27B6285F" w14:textId="77777777" w:rsidR="008464A4" w:rsidRPr="00A34188" w:rsidRDefault="008464A4">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2028</w:t>
            </w:r>
          </w:p>
        </w:tc>
        <w:tc>
          <w:tcPr>
            <w:tcW w:w="2147" w:type="dxa"/>
            <w:shd w:val="clear" w:color="000000" w:fill="156082"/>
            <w:noWrap/>
            <w:vAlign w:val="bottom"/>
            <w:hideMark/>
          </w:tcPr>
          <w:p w14:paraId="12379271" w14:textId="77777777" w:rsidR="008464A4" w:rsidRPr="00A34188" w:rsidRDefault="008464A4">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2029</w:t>
            </w:r>
          </w:p>
        </w:tc>
        <w:tc>
          <w:tcPr>
            <w:tcW w:w="2147" w:type="dxa"/>
            <w:shd w:val="clear" w:color="000000" w:fill="156082"/>
            <w:noWrap/>
            <w:vAlign w:val="bottom"/>
            <w:hideMark/>
          </w:tcPr>
          <w:p w14:paraId="78F9A8ED" w14:textId="77777777" w:rsidR="008464A4" w:rsidRPr="00A34188" w:rsidRDefault="008464A4">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2yr Total</w:t>
            </w:r>
          </w:p>
        </w:tc>
      </w:tr>
      <w:tr w:rsidR="007D1EA2" w:rsidRPr="00A34188" w14:paraId="07E338C2" w14:textId="77777777">
        <w:trPr>
          <w:trHeight w:val="304"/>
        </w:trPr>
        <w:tc>
          <w:tcPr>
            <w:tcW w:w="2886" w:type="dxa"/>
            <w:noWrap/>
            <w:vAlign w:val="bottom"/>
            <w:hideMark/>
          </w:tcPr>
          <w:p w14:paraId="54C1D344"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Ph 0 Programs</w:t>
            </w:r>
          </w:p>
        </w:tc>
        <w:tc>
          <w:tcPr>
            <w:tcW w:w="2147" w:type="dxa"/>
            <w:noWrap/>
            <w:vAlign w:val="bottom"/>
            <w:hideMark/>
          </w:tcPr>
          <w:p w14:paraId="2AD2C83F"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w:t>
            </w:r>
          </w:p>
        </w:tc>
        <w:tc>
          <w:tcPr>
            <w:tcW w:w="2147" w:type="dxa"/>
            <w:noWrap/>
            <w:vAlign w:val="bottom"/>
            <w:hideMark/>
          </w:tcPr>
          <w:p w14:paraId="7358EBFB"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w:t>
            </w:r>
          </w:p>
        </w:tc>
        <w:tc>
          <w:tcPr>
            <w:tcW w:w="2147" w:type="dxa"/>
            <w:noWrap/>
            <w:vAlign w:val="bottom"/>
            <w:hideMark/>
          </w:tcPr>
          <w:p w14:paraId="3561E6E2"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w:t>
            </w:r>
          </w:p>
        </w:tc>
      </w:tr>
      <w:tr w:rsidR="007D1EA2" w:rsidRPr="00A34188" w14:paraId="06A0B197" w14:textId="77777777">
        <w:trPr>
          <w:trHeight w:val="304"/>
        </w:trPr>
        <w:tc>
          <w:tcPr>
            <w:tcW w:w="2886" w:type="dxa"/>
            <w:noWrap/>
            <w:vAlign w:val="bottom"/>
            <w:hideMark/>
          </w:tcPr>
          <w:p w14:paraId="330516FC"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Ph 1 Programs</w:t>
            </w:r>
          </w:p>
        </w:tc>
        <w:tc>
          <w:tcPr>
            <w:tcW w:w="2147" w:type="dxa"/>
            <w:noWrap/>
            <w:vAlign w:val="bottom"/>
            <w:hideMark/>
          </w:tcPr>
          <w:p w14:paraId="654F9756"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0</w:t>
            </w:r>
          </w:p>
        </w:tc>
        <w:tc>
          <w:tcPr>
            <w:tcW w:w="2147" w:type="dxa"/>
            <w:noWrap/>
            <w:vAlign w:val="bottom"/>
            <w:hideMark/>
          </w:tcPr>
          <w:p w14:paraId="396DBD9F"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w:t>
            </w:r>
          </w:p>
        </w:tc>
        <w:tc>
          <w:tcPr>
            <w:tcW w:w="2147" w:type="dxa"/>
            <w:noWrap/>
            <w:vAlign w:val="bottom"/>
            <w:hideMark/>
          </w:tcPr>
          <w:p w14:paraId="42104E82"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w:t>
            </w:r>
          </w:p>
        </w:tc>
      </w:tr>
      <w:tr w:rsidR="007D1EA2" w:rsidRPr="00A34188" w14:paraId="2F098C9B" w14:textId="77777777">
        <w:trPr>
          <w:trHeight w:val="304"/>
        </w:trPr>
        <w:tc>
          <w:tcPr>
            <w:tcW w:w="2886" w:type="dxa"/>
            <w:noWrap/>
            <w:vAlign w:val="bottom"/>
            <w:hideMark/>
          </w:tcPr>
          <w:p w14:paraId="5DC99198"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hideMark/>
          </w:tcPr>
          <w:p w14:paraId="18E366B6" w14:textId="77777777" w:rsidR="008464A4" w:rsidRPr="00A34188" w:rsidRDefault="008464A4">
            <w:pPr>
              <w:spacing w:after="0" w:line="240" w:lineRule="auto"/>
              <w:rPr>
                <w:rFonts w:ascii="Times New Roman" w:eastAsia="Times New Roman" w:hAnsi="Times New Roman" w:cs="Times New Roman"/>
                <w:kern w:val="0"/>
                <w:sz w:val="20"/>
                <w:szCs w:val="20"/>
                <w14:ligatures w14:val="none"/>
              </w:rPr>
            </w:pPr>
          </w:p>
        </w:tc>
        <w:tc>
          <w:tcPr>
            <w:tcW w:w="2147" w:type="dxa"/>
            <w:noWrap/>
            <w:vAlign w:val="bottom"/>
            <w:hideMark/>
          </w:tcPr>
          <w:p w14:paraId="66E81C92" w14:textId="77777777" w:rsidR="008464A4" w:rsidRPr="00A34188" w:rsidRDefault="008464A4">
            <w:pPr>
              <w:spacing w:after="0" w:line="240" w:lineRule="auto"/>
              <w:rPr>
                <w:rFonts w:ascii="Times New Roman" w:eastAsia="Times New Roman" w:hAnsi="Times New Roman" w:cs="Times New Roman"/>
                <w:kern w:val="0"/>
                <w:sz w:val="20"/>
                <w:szCs w:val="20"/>
                <w14:ligatures w14:val="none"/>
              </w:rPr>
            </w:pPr>
          </w:p>
        </w:tc>
        <w:tc>
          <w:tcPr>
            <w:tcW w:w="2147" w:type="dxa"/>
            <w:noWrap/>
            <w:vAlign w:val="bottom"/>
            <w:hideMark/>
          </w:tcPr>
          <w:p w14:paraId="719CFFAD" w14:textId="77777777" w:rsidR="008464A4" w:rsidRPr="00A34188" w:rsidRDefault="008464A4">
            <w:pPr>
              <w:spacing w:after="0" w:line="240" w:lineRule="auto"/>
              <w:rPr>
                <w:rFonts w:ascii="Times New Roman" w:eastAsia="Times New Roman" w:hAnsi="Times New Roman" w:cs="Times New Roman"/>
                <w:kern w:val="0"/>
                <w:sz w:val="20"/>
                <w:szCs w:val="20"/>
                <w14:ligatures w14:val="none"/>
              </w:rPr>
            </w:pPr>
          </w:p>
        </w:tc>
      </w:tr>
      <w:tr w:rsidR="007D1EA2" w:rsidRPr="00A34188" w14:paraId="2916AEB7" w14:textId="77777777">
        <w:trPr>
          <w:trHeight w:val="304"/>
        </w:trPr>
        <w:tc>
          <w:tcPr>
            <w:tcW w:w="2886" w:type="dxa"/>
            <w:noWrap/>
            <w:vAlign w:val="bottom"/>
            <w:hideMark/>
          </w:tcPr>
          <w:p w14:paraId="1C63DA6C"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CDMO Development Costs</w:t>
            </w:r>
          </w:p>
        </w:tc>
        <w:tc>
          <w:tcPr>
            <w:tcW w:w="2147" w:type="dxa"/>
            <w:noWrap/>
            <w:vAlign w:val="bottom"/>
            <w:hideMark/>
          </w:tcPr>
          <w:p w14:paraId="3DBF18FB"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$4,690,000</w:t>
            </w:r>
          </w:p>
        </w:tc>
        <w:tc>
          <w:tcPr>
            <w:tcW w:w="2147" w:type="dxa"/>
            <w:noWrap/>
            <w:vAlign w:val="bottom"/>
            <w:hideMark/>
          </w:tcPr>
          <w:p w14:paraId="672E346A"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$5,385,000</w:t>
            </w:r>
          </w:p>
        </w:tc>
        <w:tc>
          <w:tcPr>
            <w:tcW w:w="2147" w:type="dxa"/>
            <w:noWrap/>
            <w:vAlign w:val="bottom"/>
            <w:hideMark/>
          </w:tcPr>
          <w:p w14:paraId="729DC18A"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$10,075,000</w:t>
            </w:r>
          </w:p>
        </w:tc>
      </w:tr>
      <w:tr w:rsidR="007D1EA2" w:rsidRPr="00A34188" w14:paraId="2D465CBB" w14:textId="77777777">
        <w:trPr>
          <w:trHeight w:val="304"/>
        </w:trPr>
        <w:tc>
          <w:tcPr>
            <w:tcW w:w="2886" w:type="dxa"/>
            <w:noWrap/>
            <w:vAlign w:val="bottom"/>
            <w:hideMark/>
          </w:tcPr>
          <w:p w14:paraId="66396564"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CDMO Production Costs</w:t>
            </w:r>
          </w:p>
        </w:tc>
        <w:tc>
          <w:tcPr>
            <w:tcW w:w="2147" w:type="dxa"/>
            <w:noWrap/>
            <w:vAlign w:val="bottom"/>
            <w:hideMark/>
          </w:tcPr>
          <w:p w14:paraId="42F38F09"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$1,511,700</w:t>
            </w:r>
          </w:p>
        </w:tc>
        <w:tc>
          <w:tcPr>
            <w:tcW w:w="2147" w:type="dxa"/>
            <w:noWrap/>
            <w:vAlign w:val="bottom"/>
            <w:hideMark/>
          </w:tcPr>
          <w:p w14:paraId="14C320B7"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$3,397,700</w:t>
            </w:r>
          </w:p>
        </w:tc>
        <w:tc>
          <w:tcPr>
            <w:tcW w:w="2147" w:type="dxa"/>
            <w:noWrap/>
            <w:vAlign w:val="bottom"/>
            <w:hideMark/>
          </w:tcPr>
          <w:p w14:paraId="1CCADB28"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$4,909,400</w:t>
            </w:r>
          </w:p>
        </w:tc>
      </w:tr>
      <w:tr w:rsidR="004958B6" w:rsidRPr="00A34188" w14:paraId="2292B922" w14:textId="77777777">
        <w:trPr>
          <w:trHeight w:val="304"/>
        </w:trPr>
        <w:tc>
          <w:tcPr>
            <w:tcW w:w="2886" w:type="dxa"/>
            <w:shd w:val="clear" w:color="000000" w:fill="D9D9D9"/>
            <w:noWrap/>
            <w:vAlign w:val="bottom"/>
            <w:hideMark/>
          </w:tcPr>
          <w:p w14:paraId="7F604B8B" w14:textId="77777777" w:rsidR="008464A4" w:rsidRPr="00A34188" w:rsidRDefault="008464A4">
            <w:pPr>
              <w:spacing w:after="0" w:line="240" w:lineRule="auto"/>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CDMO Total</w:t>
            </w:r>
          </w:p>
        </w:tc>
        <w:tc>
          <w:tcPr>
            <w:tcW w:w="2147" w:type="dxa"/>
            <w:shd w:val="clear" w:color="000000" w:fill="D9D9D9"/>
            <w:noWrap/>
            <w:vAlign w:val="bottom"/>
            <w:hideMark/>
          </w:tcPr>
          <w:p w14:paraId="2C3F1CFE"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$6,201,700</w:t>
            </w:r>
          </w:p>
        </w:tc>
        <w:tc>
          <w:tcPr>
            <w:tcW w:w="2147" w:type="dxa"/>
            <w:shd w:val="clear" w:color="000000" w:fill="D9D9D9"/>
            <w:noWrap/>
            <w:vAlign w:val="bottom"/>
            <w:hideMark/>
          </w:tcPr>
          <w:p w14:paraId="0C47FBBE"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$8,782,700</w:t>
            </w:r>
          </w:p>
        </w:tc>
        <w:tc>
          <w:tcPr>
            <w:tcW w:w="2147" w:type="dxa"/>
            <w:shd w:val="clear" w:color="000000" w:fill="D9D9D9"/>
            <w:noWrap/>
            <w:vAlign w:val="bottom"/>
            <w:hideMark/>
          </w:tcPr>
          <w:p w14:paraId="409155BB"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$14,984,400</w:t>
            </w:r>
          </w:p>
        </w:tc>
      </w:tr>
      <w:tr w:rsidR="007D1EA2" w:rsidRPr="00A34188" w14:paraId="06E595BF" w14:textId="77777777">
        <w:trPr>
          <w:trHeight w:val="304"/>
        </w:trPr>
        <w:tc>
          <w:tcPr>
            <w:tcW w:w="2886" w:type="dxa"/>
            <w:noWrap/>
            <w:vAlign w:val="bottom"/>
          </w:tcPr>
          <w:p w14:paraId="71D50ACA"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p>
        </w:tc>
        <w:tc>
          <w:tcPr>
            <w:tcW w:w="2147" w:type="dxa"/>
            <w:noWrap/>
            <w:vAlign w:val="bottom"/>
          </w:tcPr>
          <w:p w14:paraId="150BE57D"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tcPr>
          <w:p w14:paraId="046FBADD"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tcPr>
          <w:p w14:paraId="4D606A94"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p>
        </w:tc>
      </w:tr>
      <w:tr w:rsidR="007D1EA2" w:rsidRPr="00A34188" w14:paraId="03FA8459" w14:textId="77777777">
        <w:trPr>
          <w:trHeight w:val="304"/>
        </w:trPr>
        <w:tc>
          <w:tcPr>
            <w:tcW w:w="2886" w:type="dxa"/>
            <w:noWrap/>
            <w:vAlign w:val="bottom"/>
            <w:hideMark/>
          </w:tcPr>
          <w:p w14:paraId="30AE7C08"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Overhead</w:t>
            </w:r>
          </w:p>
        </w:tc>
        <w:tc>
          <w:tcPr>
            <w:tcW w:w="2147" w:type="dxa"/>
            <w:noWrap/>
            <w:vAlign w:val="bottom"/>
            <w:hideMark/>
          </w:tcPr>
          <w:p w14:paraId="30D908DD"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$1,187,844</w:t>
            </w:r>
          </w:p>
        </w:tc>
        <w:tc>
          <w:tcPr>
            <w:tcW w:w="2147" w:type="dxa"/>
            <w:noWrap/>
            <w:vAlign w:val="bottom"/>
            <w:hideMark/>
          </w:tcPr>
          <w:p w14:paraId="1135C47B"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$1,187,844</w:t>
            </w:r>
          </w:p>
        </w:tc>
        <w:tc>
          <w:tcPr>
            <w:tcW w:w="2147" w:type="dxa"/>
            <w:noWrap/>
            <w:vAlign w:val="bottom"/>
            <w:hideMark/>
          </w:tcPr>
          <w:p w14:paraId="56BF4D04"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$2,375,687</w:t>
            </w:r>
          </w:p>
        </w:tc>
      </w:tr>
      <w:tr w:rsidR="007D1EA2" w:rsidRPr="00A34188" w14:paraId="61ED2F67" w14:textId="77777777">
        <w:trPr>
          <w:trHeight w:val="304"/>
        </w:trPr>
        <w:tc>
          <w:tcPr>
            <w:tcW w:w="2886" w:type="dxa"/>
            <w:noWrap/>
            <w:vAlign w:val="bottom"/>
            <w:hideMark/>
          </w:tcPr>
          <w:p w14:paraId="3CB40168"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Production Costs</w:t>
            </w:r>
          </w:p>
        </w:tc>
        <w:tc>
          <w:tcPr>
            <w:tcW w:w="2147" w:type="dxa"/>
            <w:noWrap/>
            <w:vAlign w:val="bottom"/>
            <w:hideMark/>
          </w:tcPr>
          <w:p w14:paraId="60A6B9A9"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$472,320</w:t>
            </w:r>
          </w:p>
        </w:tc>
        <w:tc>
          <w:tcPr>
            <w:tcW w:w="2147" w:type="dxa"/>
            <w:noWrap/>
            <w:vAlign w:val="bottom"/>
            <w:hideMark/>
          </w:tcPr>
          <w:p w14:paraId="772D8226"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$1,724,240</w:t>
            </w:r>
          </w:p>
        </w:tc>
        <w:tc>
          <w:tcPr>
            <w:tcW w:w="2147" w:type="dxa"/>
            <w:noWrap/>
            <w:vAlign w:val="bottom"/>
            <w:hideMark/>
          </w:tcPr>
          <w:p w14:paraId="27E6F261"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$2,196,560</w:t>
            </w:r>
          </w:p>
        </w:tc>
      </w:tr>
      <w:tr w:rsidR="007D1EA2" w:rsidRPr="00A34188" w14:paraId="440F8192" w14:textId="77777777">
        <w:trPr>
          <w:trHeight w:val="304"/>
        </w:trPr>
        <w:tc>
          <w:tcPr>
            <w:tcW w:w="2886" w:type="dxa"/>
            <w:noWrap/>
            <w:vAlign w:val="bottom"/>
            <w:hideMark/>
          </w:tcPr>
          <w:p w14:paraId="63407D26"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Build Cost - Net of TI</w:t>
            </w:r>
          </w:p>
        </w:tc>
        <w:tc>
          <w:tcPr>
            <w:tcW w:w="2147" w:type="dxa"/>
            <w:noWrap/>
            <w:vAlign w:val="bottom"/>
            <w:hideMark/>
          </w:tcPr>
          <w:p w14:paraId="3C0E08E0"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$1,871,471</w:t>
            </w:r>
          </w:p>
        </w:tc>
        <w:tc>
          <w:tcPr>
            <w:tcW w:w="2147" w:type="dxa"/>
            <w:noWrap/>
            <w:vAlign w:val="bottom"/>
            <w:hideMark/>
          </w:tcPr>
          <w:p w14:paraId="01774CB3"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hideMark/>
          </w:tcPr>
          <w:p w14:paraId="58C621E7" w14:textId="77777777" w:rsidR="008464A4" w:rsidRPr="00A34188" w:rsidRDefault="008464A4">
            <w:pPr>
              <w:spacing w:after="0" w:line="240" w:lineRule="auto"/>
              <w:rPr>
                <w:rFonts w:ascii="Times New Roman" w:eastAsia="Times New Roman" w:hAnsi="Times New Roman" w:cs="Times New Roman"/>
                <w:kern w:val="0"/>
                <w:sz w:val="20"/>
                <w:szCs w:val="20"/>
                <w14:ligatures w14:val="none"/>
              </w:rPr>
            </w:pPr>
          </w:p>
        </w:tc>
      </w:tr>
      <w:tr w:rsidR="004958B6" w:rsidRPr="00A34188" w14:paraId="29B4ED11" w14:textId="77777777">
        <w:trPr>
          <w:trHeight w:val="304"/>
        </w:trPr>
        <w:tc>
          <w:tcPr>
            <w:tcW w:w="2886" w:type="dxa"/>
            <w:shd w:val="clear" w:color="000000" w:fill="D9D9D9"/>
            <w:noWrap/>
            <w:vAlign w:val="bottom"/>
            <w:hideMark/>
          </w:tcPr>
          <w:p w14:paraId="21EA9D80" w14:textId="77777777" w:rsidR="008464A4" w:rsidRPr="00A34188" w:rsidRDefault="008464A4">
            <w:pPr>
              <w:spacing w:after="0" w:line="240" w:lineRule="auto"/>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Sego Total</w:t>
            </w:r>
          </w:p>
        </w:tc>
        <w:tc>
          <w:tcPr>
            <w:tcW w:w="2147" w:type="dxa"/>
            <w:shd w:val="clear" w:color="000000" w:fill="D9D9D9"/>
            <w:noWrap/>
            <w:vAlign w:val="bottom"/>
            <w:hideMark/>
          </w:tcPr>
          <w:p w14:paraId="40A8FAB6"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$3,531,634</w:t>
            </w:r>
          </w:p>
        </w:tc>
        <w:tc>
          <w:tcPr>
            <w:tcW w:w="2147" w:type="dxa"/>
            <w:shd w:val="clear" w:color="000000" w:fill="D9D9D9"/>
            <w:noWrap/>
            <w:vAlign w:val="bottom"/>
            <w:hideMark/>
          </w:tcPr>
          <w:p w14:paraId="2DA6EF56"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$2,912,084</w:t>
            </w:r>
          </w:p>
        </w:tc>
        <w:tc>
          <w:tcPr>
            <w:tcW w:w="2147" w:type="dxa"/>
            <w:shd w:val="clear" w:color="000000" w:fill="D9D9D9"/>
            <w:noWrap/>
            <w:vAlign w:val="bottom"/>
            <w:hideMark/>
          </w:tcPr>
          <w:p w14:paraId="78387A33" w14:textId="77777777" w:rsidR="008464A4" w:rsidRPr="00A34188" w:rsidRDefault="008464A4">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$6,443,718</w:t>
            </w:r>
          </w:p>
        </w:tc>
      </w:tr>
      <w:tr w:rsidR="004958B6" w:rsidRPr="00A34188" w14:paraId="1EE9ABEF" w14:textId="77777777">
        <w:trPr>
          <w:trHeight w:val="304"/>
        </w:trPr>
        <w:tc>
          <w:tcPr>
            <w:tcW w:w="2886" w:type="dxa"/>
            <w:shd w:val="clear" w:color="000000" w:fill="C1F0C8"/>
            <w:noWrap/>
            <w:vAlign w:val="bottom"/>
            <w:hideMark/>
          </w:tcPr>
          <w:p w14:paraId="1CF76671"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Savings ($)</w:t>
            </w:r>
          </w:p>
        </w:tc>
        <w:tc>
          <w:tcPr>
            <w:tcW w:w="2147" w:type="dxa"/>
            <w:shd w:val="clear" w:color="000000" w:fill="C1F0C8"/>
            <w:noWrap/>
            <w:vAlign w:val="bottom"/>
            <w:hideMark/>
          </w:tcPr>
          <w:p w14:paraId="5A21B88B"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$2,670,066</w:t>
            </w:r>
          </w:p>
        </w:tc>
        <w:tc>
          <w:tcPr>
            <w:tcW w:w="2147" w:type="dxa"/>
            <w:shd w:val="clear" w:color="000000" w:fill="C1F0C8"/>
            <w:noWrap/>
            <w:vAlign w:val="bottom"/>
            <w:hideMark/>
          </w:tcPr>
          <w:p w14:paraId="5AB18EE0"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$5,870,616</w:t>
            </w:r>
          </w:p>
        </w:tc>
        <w:tc>
          <w:tcPr>
            <w:tcW w:w="2147" w:type="dxa"/>
            <w:shd w:val="clear" w:color="000000" w:fill="C1F0C8"/>
            <w:noWrap/>
            <w:vAlign w:val="bottom"/>
            <w:hideMark/>
          </w:tcPr>
          <w:p w14:paraId="68C3142B"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$8,540,682</w:t>
            </w:r>
          </w:p>
        </w:tc>
      </w:tr>
      <w:tr w:rsidR="004958B6" w:rsidRPr="00A34188" w14:paraId="70EFBDB1" w14:textId="77777777">
        <w:trPr>
          <w:trHeight w:val="304"/>
        </w:trPr>
        <w:tc>
          <w:tcPr>
            <w:tcW w:w="2886" w:type="dxa"/>
            <w:shd w:val="clear" w:color="000000" w:fill="C1F0C8"/>
            <w:noWrap/>
            <w:vAlign w:val="bottom"/>
            <w:hideMark/>
          </w:tcPr>
          <w:p w14:paraId="0575C266" w14:textId="77777777" w:rsidR="008464A4" w:rsidRPr="00A34188" w:rsidRDefault="008464A4">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Savings (%)</w:t>
            </w:r>
          </w:p>
        </w:tc>
        <w:tc>
          <w:tcPr>
            <w:tcW w:w="2147" w:type="dxa"/>
            <w:shd w:val="clear" w:color="000000" w:fill="C1F0C8"/>
            <w:noWrap/>
            <w:vAlign w:val="bottom"/>
            <w:hideMark/>
          </w:tcPr>
          <w:p w14:paraId="11AF7CFA"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43%</w:t>
            </w:r>
          </w:p>
        </w:tc>
        <w:tc>
          <w:tcPr>
            <w:tcW w:w="2147" w:type="dxa"/>
            <w:shd w:val="clear" w:color="000000" w:fill="C1F0C8"/>
            <w:noWrap/>
            <w:vAlign w:val="bottom"/>
            <w:hideMark/>
          </w:tcPr>
          <w:p w14:paraId="145A45F6"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67%</w:t>
            </w:r>
          </w:p>
        </w:tc>
        <w:tc>
          <w:tcPr>
            <w:tcW w:w="2147" w:type="dxa"/>
            <w:shd w:val="clear" w:color="000000" w:fill="C1F0C8"/>
            <w:noWrap/>
            <w:vAlign w:val="bottom"/>
            <w:hideMark/>
          </w:tcPr>
          <w:p w14:paraId="663A9840" w14:textId="77777777" w:rsidR="008464A4" w:rsidRPr="00A34188" w:rsidRDefault="008464A4">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57%</w:t>
            </w:r>
          </w:p>
        </w:tc>
      </w:tr>
    </w:tbl>
    <w:p w14:paraId="384D2577" w14:textId="77777777" w:rsidR="008464A4" w:rsidRDefault="008464A4" w:rsidP="008464A4">
      <w:pPr>
        <w:jc w:val="both"/>
        <w:rPr>
          <w:rFonts w:ascii="Funnel Sans" w:hAnsi="Funnel Sans"/>
          <w:color w:val="000000"/>
          <w:sz w:val="22"/>
        </w:rPr>
      </w:pPr>
    </w:p>
    <w:p w14:paraId="20243E03" w14:textId="77777777" w:rsidR="00C95854" w:rsidRDefault="00C95854" w:rsidP="008464A4">
      <w:pPr>
        <w:jc w:val="both"/>
        <w:rPr>
          <w:rFonts w:ascii="Funnel Sans" w:hAnsi="Funnel Sans"/>
          <w:color w:val="000000"/>
          <w:sz w:val="22"/>
        </w:rPr>
      </w:pPr>
    </w:p>
    <w:p w14:paraId="26DB7967" w14:textId="77777777" w:rsidR="00C95854" w:rsidRDefault="00C95854" w:rsidP="008464A4">
      <w:pPr>
        <w:jc w:val="both"/>
        <w:rPr>
          <w:rFonts w:ascii="Funnel Sans" w:hAnsi="Funnel Sans"/>
          <w:color w:val="000000"/>
          <w:sz w:val="22"/>
        </w:rPr>
      </w:pPr>
    </w:p>
    <w:p w14:paraId="78D19C09" w14:textId="77777777" w:rsidR="00C95854" w:rsidRDefault="00C95854" w:rsidP="008464A4">
      <w:pPr>
        <w:jc w:val="both"/>
        <w:rPr>
          <w:rFonts w:ascii="Funnel Sans" w:hAnsi="Funnel Sans"/>
          <w:color w:val="000000"/>
          <w:sz w:val="22"/>
        </w:rPr>
      </w:pPr>
    </w:p>
    <w:p w14:paraId="0D54126F" w14:textId="77777777" w:rsidR="00C95854" w:rsidRDefault="00C95854" w:rsidP="008464A4">
      <w:pPr>
        <w:jc w:val="both"/>
        <w:rPr>
          <w:rFonts w:ascii="Funnel Sans" w:hAnsi="Funnel Sans"/>
          <w:color w:val="000000"/>
          <w:sz w:val="22"/>
        </w:rPr>
      </w:pPr>
    </w:p>
    <w:tbl>
      <w:tblPr>
        <w:tblW w:w="912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42"/>
        <w:gridCol w:w="1473"/>
        <w:gridCol w:w="1445"/>
        <w:gridCol w:w="1520"/>
        <w:gridCol w:w="1520"/>
        <w:gridCol w:w="1520"/>
      </w:tblGrid>
      <w:tr w:rsidR="00F27192" w:rsidRPr="000E0290" w14:paraId="5AEDF5A2" w14:textId="77777777">
        <w:trPr>
          <w:trHeight w:val="290"/>
        </w:trPr>
        <w:tc>
          <w:tcPr>
            <w:tcW w:w="4560" w:type="dxa"/>
            <w:gridSpan w:val="3"/>
            <w:shd w:val="clear" w:color="000000" w:fill="156082"/>
            <w:noWrap/>
            <w:vAlign w:val="bottom"/>
            <w:hideMark/>
          </w:tcPr>
          <w:p w14:paraId="02A30AF2" w14:textId="77777777" w:rsidR="008464A4" w:rsidRPr="000E0290" w:rsidRDefault="008464A4">
            <w:pPr>
              <w:spacing w:after="0" w:line="240" w:lineRule="auto"/>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lastRenderedPageBreak/>
              <w:t xml:space="preserve">Sensitivity: 2-yr Total Savings ($) = CDMO − Sego </w:t>
            </w:r>
          </w:p>
        </w:tc>
        <w:tc>
          <w:tcPr>
            <w:tcW w:w="1520" w:type="dxa"/>
            <w:shd w:val="clear" w:color="000000" w:fill="156082"/>
            <w:noWrap/>
            <w:vAlign w:val="bottom"/>
            <w:hideMark/>
          </w:tcPr>
          <w:p w14:paraId="43E788AE" w14:textId="77777777" w:rsidR="008464A4" w:rsidRPr="000E0290" w:rsidRDefault="008464A4">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c>
          <w:tcPr>
            <w:tcW w:w="1520" w:type="dxa"/>
            <w:shd w:val="clear" w:color="000000" w:fill="156082"/>
            <w:noWrap/>
            <w:vAlign w:val="bottom"/>
            <w:hideMark/>
          </w:tcPr>
          <w:p w14:paraId="24735FD8" w14:textId="77777777" w:rsidR="008464A4" w:rsidRPr="000E0290" w:rsidRDefault="008464A4">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c>
          <w:tcPr>
            <w:tcW w:w="1520" w:type="dxa"/>
            <w:shd w:val="clear" w:color="000000" w:fill="156082"/>
            <w:noWrap/>
            <w:vAlign w:val="bottom"/>
            <w:hideMark/>
          </w:tcPr>
          <w:p w14:paraId="7930A9C5" w14:textId="77777777" w:rsidR="008464A4" w:rsidRPr="000E0290" w:rsidRDefault="008464A4">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r>
      <w:tr w:rsidR="00F27192" w:rsidRPr="000E0290" w14:paraId="3B89DB28" w14:textId="77777777">
        <w:trPr>
          <w:trHeight w:val="290"/>
        </w:trPr>
        <w:tc>
          <w:tcPr>
            <w:tcW w:w="1642" w:type="dxa"/>
            <w:shd w:val="clear" w:color="000000" w:fill="156082"/>
            <w:noWrap/>
            <w:vAlign w:val="bottom"/>
            <w:hideMark/>
          </w:tcPr>
          <w:p w14:paraId="75F5267C"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Ph 0 ↓ / Ph 1 →</w:t>
            </w:r>
          </w:p>
        </w:tc>
        <w:tc>
          <w:tcPr>
            <w:tcW w:w="1473" w:type="dxa"/>
            <w:shd w:val="clear" w:color="000000" w:fill="156082"/>
            <w:noWrap/>
            <w:vAlign w:val="bottom"/>
            <w:hideMark/>
          </w:tcPr>
          <w:p w14:paraId="58D24CB2"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0</w:t>
            </w:r>
          </w:p>
        </w:tc>
        <w:tc>
          <w:tcPr>
            <w:tcW w:w="1445" w:type="dxa"/>
            <w:shd w:val="clear" w:color="000000" w:fill="156082"/>
            <w:noWrap/>
            <w:vAlign w:val="bottom"/>
            <w:hideMark/>
          </w:tcPr>
          <w:p w14:paraId="16D52700"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1</w:t>
            </w:r>
          </w:p>
        </w:tc>
        <w:tc>
          <w:tcPr>
            <w:tcW w:w="1520" w:type="dxa"/>
            <w:shd w:val="clear" w:color="000000" w:fill="156082"/>
            <w:noWrap/>
            <w:vAlign w:val="bottom"/>
            <w:hideMark/>
          </w:tcPr>
          <w:p w14:paraId="0A45F8C7"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2</w:t>
            </w:r>
          </w:p>
        </w:tc>
        <w:tc>
          <w:tcPr>
            <w:tcW w:w="1520" w:type="dxa"/>
            <w:shd w:val="clear" w:color="000000" w:fill="156082"/>
            <w:noWrap/>
            <w:vAlign w:val="bottom"/>
            <w:hideMark/>
          </w:tcPr>
          <w:p w14:paraId="3965B299"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3</w:t>
            </w:r>
          </w:p>
        </w:tc>
        <w:tc>
          <w:tcPr>
            <w:tcW w:w="1520" w:type="dxa"/>
            <w:shd w:val="clear" w:color="000000" w:fill="156082"/>
            <w:noWrap/>
            <w:vAlign w:val="bottom"/>
            <w:hideMark/>
          </w:tcPr>
          <w:p w14:paraId="0D817C4A"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4</w:t>
            </w:r>
          </w:p>
        </w:tc>
      </w:tr>
      <w:tr w:rsidR="00F27192" w:rsidRPr="000E0290" w14:paraId="75784933" w14:textId="77777777">
        <w:trPr>
          <w:trHeight w:val="290"/>
        </w:trPr>
        <w:tc>
          <w:tcPr>
            <w:tcW w:w="1642" w:type="dxa"/>
            <w:shd w:val="clear" w:color="000000" w:fill="156082"/>
            <w:noWrap/>
            <w:vAlign w:val="bottom"/>
            <w:hideMark/>
          </w:tcPr>
          <w:p w14:paraId="32A950D1"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1</w:t>
            </w:r>
          </w:p>
        </w:tc>
        <w:tc>
          <w:tcPr>
            <w:tcW w:w="1473" w:type="dxa"/>
            <w:shd w:val="clear" w:color="000000" w:fill="F8696B"/>
            <w:noWrap/>
            <w:vAlign w:val="bottom"/>
            <w:hideMark/>
          </w:tcPr>
          <w:p w14:paraId="248E401D"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($1,382,468)</w:t>
            </w:r>
          </w:p>
        </w:tc>
        <w:tc>
          <w:tcPr>
            <w:tcW w:w="1445" w:type="dxa"/>
            <w:shd w:val="clear" w:color="000000" w:fill="FEF9F9"/>
            <w:noWrap/>
            <w:vAlign w:val="bottom"/>
            <w:hideMark/>
          </w:tcPr>
          <w:p w14:paraId="003E5861"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($53,388)</w:t>
            </w:r>
          </w:p>
        </w:tc>
        <w:tc>
          <w:tcPr>
            <w:tcW w:w="1520" w:type="dxa"/>
            <w:shd w:val="clear" w:color="000000" w:fill="F5FBF6"/>
            <w:noWrap/>
            <w:vAlign w:val="bottom"/>
            <w:hideMark/>
          </w:tcPr>
          <w:p w14:paraId="72D12B6C"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$1,275,692</w:t>
            </w:r>
          </w:p>
        </w:tc>
        <w:tc>
          <w:tcPr>
            <w:tcW w:w="1520" w:type="dxa"/>
            <w:shd w:val="clear" w:color="000000" w:fill="E9F6ED"/>
            <w:noWrap/>
            <w:vAlign w:val="bottom"/>
            <w:hideMark/>
          </w:tcPr>
          <w:p w14:paraId="5D7BB230"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$2,604,772</w:t>
            </w:r>
          </w:p>
        </w:tc>
        <w:tc>
          <w:tcPr>
            <w:tcW w:w="1520" w:type="dxa"/>
            <w:shd w:val="clear" w:color="000000" w:fill="DEF1E3"/>
            <w:noWrap/>
            <w:vAlign w:val="bottom"/>
            <w:hideMark/>
          </w:tcPr>
          <w:p w14:paraId="6D6FCF80"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$3,933,852</w:t>
            </w:r>
          </w:p>
        </w:tc>
      </w:tr>
      <w:tr w:rsidR="00F27192" w:rsidRPr="000E0290" w14:paraId="2D362885" w14:textId="77777777">
        <w:trPr>
          <w:trHeight w:val="290"/>
        </w:trPr>
        <w:tc>
          <w:tcPr>
            <w:tcW w:w="1642" w:type="dxa"/>
            <w:shd w:val="clear" w:color="000000" w:fill="156082"/>
            <w:noWrap/>
            <w:vAlign w:val="bottom"/>
            <w:hideMark/>
          </w:tcPr>
          <w:p w14:paraId="229D125B"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2</w:t>
            </w:r>
          </w:p>
        </w:tc>
        <w:tc>
          <w:tcPr>
            <w:tcW w:w="1473" w:type="dxa"/>
            <w:shd w:val="clear" w:color="000000" w:fill="F3FAF5"/>
            <w:noWrap/>
            <w:vAlign w:val="bottom"/>
            <w:hideMark/>
          </w:tcPr>
          <w:p w14:paraId="7ED5E507"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$1,482,222</w:t>
            </w:r>
          </w:p>
        </w:tc>
        <w:tc>
          <w:tcPr>
            <w:tcW w:w="1445" w:type="dxa"/>
            <w:shd w:val="clear" w:color="000000" w:fill="E7F5EB"/>
            <w:noWrap/>
            <w:vAlign w:val="bottom"/>
            <w:hideMark/>
          </w:tcPr>
          <w:p w14:paraId="6EC031AE"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$2,811,302</w:t>
            </w:r>
          </w:p>
        </w:tc>
        <w:tc>
          <w:tcPr>
            <w:tcW w:w="1520" w:type="dxa"/>
            <w:shd w:val="clear" w:color="000000" w:fill="DCF1E2"/>
            <w:noWrap/>
            <w:vAlign w:val="bottom"/>
            <w:hideMark/>
          </w:tcPr>
          <w:p w14:paraId="5E3ECF07"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$4,140,382</w:t>
            </w:r>
          </w:p>
        </w:tc>
        <w:tc>
          <w:tcPr>
            <w:tcW w:w="1520" w:type="dxa"/>
            <w:shd w:val="clear" w:color="000000" w:fill="D1ECD8"/>
            <w:noWrap/>
            <w:vAlign w:val="bottom"/>
            <w:hideMark/>
          </w:tcPr>
          <w:p w14:paraId="2A993243"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$5,469,462</w:t>
            </w:r>
          </w:p>
        </w:tc>
        <w:tc>
          <w:tcPr>
            <w:tcW w:w="1520" w:type="dxa"/>
            <w:shd w:val="clear" w:color="000000" w:fill="C5E7CE"/>
            <w:noWrap/>
            <w:vAlign w:val="bottom"/>
            <w:hideMark/>
          </w:tcPr>
          <w:p w14:paraId="5229EB56"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$6,798,542</w:t>
            </w:r>
          </w:p>
        </w:tc>
      </w:tr>
      <w:tr w:rsidR="00F27192" w:rsidRPr="000E0290" w14:paraId="55B5175D" w14:textId="77777777">
        <w:trPr>
          <w:trHeight w:val="290"/>
        </w:trPr>
        <w:tc>
          <w:tcPr>
            <w:tcW w:w="1642" w:type="dxa"/>
            <w:shd w:val="clear" w:color="000000" w:fill="156082"/>
            <w:noWrap/>
            <w:vAlign w:val="bottom"/>
            <w:hideMark/>
          </w:tcPr>
          <w:p w14:paraId="11BD4DD6"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3</w:t>
            </w:r>
          </w:p>
        </w:tc>
        <w:tc>
          <w:tcPr>
            <w:tcW w:w="1473" w:type="dxa"/>
            <w:shd w:val="clear" w:color="000000" w:fill="DAF0E0"/>
            <w:noWrap/>
            <w:vAlign w:val="bottom"/>
            <w:hideMark/>
          </w:tcPr>
          <w:p w14:paraId="265FC437"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$4,346,912</w:t>
            </w:r>
          </w:p>
        </w:tc>
        <w:tc>
          <w:tcPr>
            <w:tcW w:w="1445" w:type="dxa"/>
            <w:shd w:val="clear" w:color="000000" w:fill="CFEBD6"/>
            <w:noWrap/>
            <w:vAlign w:val="bottom"/>
            <w:hideMark/>
          </w:tcPr>
          <w:p w14:paraId="42F731AB"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$5,675,992</w:t>
            </w:r>
          </w:p>
        </w:tc>
        <w:tc>
          <w:tcPr>
            <w:tcW w:w="1520" w:type="dxa"/>
            <w:shd w:val="clear" w:color="000000" w:fill="C4E7CD"/>
            <w:noWrap/>
            <w:vAlign w:val="bottom"/>
            <w:hideMark/>
          </w:tcPr>
          <w:p w14:paraId="20395619"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$7,005,072</w:t>
            </w:r>
          </w:p>
        </w:tc>
        <w:tc>
          <w:tcPr>
            <w:tcW w:w="1520" w:type="dxa"/>
            <w:shd w:val="clear" w:color="000000" w:fill="B8E2C3"/>
            <w:noWrap/>
            <w:vAlign w:val="bottom"/>
            <w:hideMark/>
          </w:tcPr>
          <w:p w14:paraId="52A8C2EA"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$8,334,152</w:t>
            </w:r>
          </w:p>
        </w:tc>
        <w:tc>
          <w:tcPr>
            <w:tcW w:w="1520" w:type="dxa"/>
            <w:shd w:val="clear" w:color="000000" w:fill="ADDDBA"/>
            <w:noWrap/>
            <w:vAlign w:val="bottom"/>
            <w:hideMark/>
          </w:tcPr>
          <w:p w14:paraId="2F4A6FF0"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$9,663,232</w:t>
            </w:r>
          </w:p>
        </w:tc>
      </w:tr>
      <w:tr w:rsidR="00F27192" w:rsidRPr="000E0290" w14:paraId="5D1122F9" w14:textId="77777777">
        <w:trPr>
          <w:trHeight w:val="290"/>
        </w:trPr>
        <w:tc>
          <w:tcPr>
            <w:tcW w:w="1642" w:type="dxa"/>
            <w:shd w:val="clear" w:color="000000" w:fill="156082"/>
            <w:noWrap/>
            <w:vAlign w:val="bottom"/>
            <w:hideMark/>
          </w:tcPr>
          <w:p w14:paraId="1F4E2813"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4</w:t>
            </w:r>
          </w:p>
        </w:tc>
        <w:tc>
          <w:tcPr>
            <w:tcW w:w="1473" w:type="dxa"/>
            <w:shd w:val="clear" w:color="000000" w:fill="C2E6CB"/>
            <w:noWrap/>
            <w:vAlign w:val="bottom"/>
            <w:hideMark/>
          </w:tcPr>
          <w:p w14:paraId="146419DA"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$7,211,602</w:t>
            </w:r>
          </w:p>
        </w:tc>
        <w:tc>
          <w:tcPr>
            <w:tcW w:w="1445" w:type="dxa"/>
            <w:shd w:val="clear" w:color="000000" w:fill="B7E1C2"/>
            <w:noWrap/>
            <w:vAlign w:val="bottom"/>
            <w:hideMark/>
          </w:tcPr>
          <w:p w14:paraId="5F407578"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$8,540,682</w:t>
            </w:r>
          </w:p>
        </w:tc>
        <w:tc>
          <w:tcPr>
            <w:tcW w:w="1520" w:type="dxa"/>
            <w:shd w:val="clear" w:color="000000" w:fill="ABDCB8"/>
            <w:noWrap/>
            <w:vAlign w:val="bottom"/>
            <w:hideMark/>
          </w:tcPr>
          <w:p w14:paraId="46E75C0D"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$9,869,762</w:t>
            </w:r>
          </w:p>
        </w:tc>
        <w:tc>
          <w:tcPr>
            <w:tcW w:w="1520" w:type="dxa"/>
            <w:shd w:val="clear" w:color="000000" w:fill="A0D8AF"/>
            <w:noWrap/>
            <w:vAlign w:val="bottom"/>
            <w:hideMark/>
          </w:tcPr>
          <w:p w14:paraId="34C3484C"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$11,198,842</w:t>
            </w:r>
          </w:p>
        </w:tc>
        <w:tc>
          <w:tcPr>
            <w:tcW w:w="1520" w:type="dxa"/>
            <w:shd w:val="clear" w:color="000000" w:fill="94D3A5"/>
            <w:noWrap/>
            <w:vAlign w:val="bottom"/>
            <w:hideMark/>
          </w:tcPr>
          <w:p w14:paraId="42B962D3"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$12,527,922</w:t>
            </w:r>
          </w:p>
        </w:tc>
      </w:tr>
      <w:tr w:rsidR="00F27192" w:rsidRPr="000E0290" w14:paraId="36250632" w14:textId="77777777">
        <w:trPr>
          <w:trHeight w:val="290"/>
        </w:trPr>
        <w:tc>
          <w:tcPr>
            <w:tcW w:w="1642" w:type="dxa"/>
            <w:shd w:val="clear" w:color="000000" w:fill="156082"/>
            <w:noWrap/>
            <w:vAlign w:val="bottom"/>
            <w:hideMark/>
          </w:tcPr>
          <w:p w14:paraId="7577A0FE"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5</w:t>
            </w:r>
          </w:p>
        </w:tc>
        <w:tc>
          <w:tcPr>
            <w:tcW w:w="1473" w:type="dxa"/>
            <w:shd w:val="clear" w:color="000000" w:fill="A9DCB7"/>
            <w:noWrap/>
            <w:vAlign w:val="bottom"/>
            <w:hideMark/>
          </w:tcPr>
          <w:p w14:paraId="096817C1"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$10,076,292</w:t>
            </w:r>
          </w:p>
        </w:tc>
        <w:tc>
          <w:tcPr>
            <w:tcW w:w="1445" w:type="dxa"/>
            <w:shd w:val="clear" w:color="000000" w:fill="9ED7AD"/>
            <w:noWrap/>
            <w:vAlign w:val="bottom"/>
            <w:hideMark/>
          </w:tcPr>
          <w:p w14:paraId="7963F4BE"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$11,405,372</w:t>
            </w:r>
          </w:p>
        </w:tc>
        <w:tc>
          <w:tcPr>
            <w:tcW w:w="1520" w:type="dxa"/>
            <w:shd w:val="clear" w:color="000000" w:fill="93D2A3"/>
            <w:noWrap/>
            <w:vAlign w:val="bottom"/>
            <w:hideMark/>
          </w:tcPr>
          <w:p w14:paraId="0AB10E9E"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$12,734,452</w:t>
            </w:r>
          </w:p>
        </w:tc>
        <w:tc>
          <w:tcPr>
            <w:tcW w:w="1520" w:type="dxa"/>
            <w:shd w:val="clear" w:color="000000" w:fill="87CD9A"/>
            <w:noWrap/>
            <w:vAlign w:val="bottom"/>
            <w:hideMark/>
          </w:tcPr>
          <w:p w14:paraId="458A84F6"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$14,063,532</w:t>
            </w:r>
          </w:p>
        </w:tc>
        <w:tc>
          <w:tcPr>
            <w:tcW w:w="1520" w:type="dxa"/>
            <w:shd w:val="clear" w:color="000000" w:fill="7CC990"/>
            <w:noWrap/>
            <w:vAlign w:val="bottom"/>
            <w:hideMark/>
          </w:tcPr>
          <w:p w14:paraId="6E1BA8BB"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$15,392,612</w:t>
            </w:r>
          </w:p>
        </w:tc>
      </w:tr>
      <w:tr w:rsidR="00F27192" w:rsidRPr="000E0290" w14:paraId="4D6E4995" w14:textId="77777777">
        <w:trPr>
          <w:trHeight w:val="290"/>
        </w:trPr>
        <w:tc>
          <w:tcPr>
            <w:tcW w:w="1642" w:type="dxa"/>
            <w:shd w:val="clear" w:color="000000" w:fill="156082"/>
            <w:noWrap/>
            <w:vAlign w:val="bottom"/>
            <w:hideMark/>
          </w:tcPr>
          <w:p w14:paraId="456B742C" w14:textId="77777777" w:rsidR="008464A4" w:rsidRPr="000E0290" w:rsidRDefault="008464A4">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6</w:t>
            </w:r>
          </w:p>
        </w:tc>
        <w:tc>
          <w:tcPr>
            <w:tcW w:w="1473" w:type="dxa"/>
            <w:shd w:val="clear" w:color="000000" w:fill="91D1A2"/>
            <w:noWrap/>
            <w:vAlign w:val="bottom"/>
            <w:hideMark/>
          </w:tcPr>
          <w:p w14:paraId="465484D1"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$12,940,982</w:t>
            </w:r>
          </w:p>
        </w:tc>
        <w:tc>
          <w:tcPr>
            <w:tcW w:w="1445" w:type="dxa"/>
            <w:shd w:val="clear" w:color="000000" w:fill="86CD98"/>
            <w:noWrap/>
            <w:vAlign w:val="bottom"/>
            <w:hideMark/>
          </w:tcPr>
          <w:p w14:paraId="33780EAF"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$14,270,062</w:t>
            </w:r>
          </w:p>
        </w:tc>
        <w:tc>
          <w:tcPr>
            <w:tcW w:w="1520" w:type="dxa"/>
            <w:shd w:val="clear" w:color="000000" w:fill="7AC88F"/>
            <w:noWrap/>
            <w:vAlign w:val="bottom"/>
            <w:hideMark/>
          </w:tcPr>
          <w:p w14:paraId="1FD8115D"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$15,599,142</w:t>
            </w:r>
          </w:p>
        </w:tc>
        <w:tc>
          <w:tcPr>
            <w:tcW w:w="1520" w:type="dxa"/>
            <w:shd w:val="clear" w:color="000000" w:fill="6FC385"/>
            <w:noWrap/>
            <w:vAlign w:val="bottom"/>
            <w:hideMark/>
          </w:tcPr>
          <w:p w14:paraId="3F1EE2B2"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$16,928,222</w:t>
            </w:r>
          </w:p>
        </w:tc>
        <w:tc>
          <w:tcPr>
            <w:tcW w:w="1520" w:type="dxa"/>
            <w:shd w:val="clear" w:color="000000" w:fill="63BE7B"/>
            <w:noWrap/>
            <w:vAlign w:val="bottom"/>
            <w:hideMark/>
          </w:tcPr>
          <w:p w14:paraId="1EEB8C33" w14:textId="77777777" w:rsidR="008464A4" w:rsidRPr="000E0290" w:rsidRDefault="008464A4">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$18,257,302</w:t>
            </w:r>
          </w:p>
        </w:tc>
      </w:tr>
    </w:tbl>
    <w:p w14:paraId="474D1B2B" w14:textId="77777777" w:rsidR="00C95854" w:rsidRDefault="00C95854" w:rsidP="008464A4">
      <w:pPr>
        <w:jc w:val="both"/>
        <w:rPr>
          <w:rFonts w:ascii="Funnel Sans" w:hAnsi="Funnel Sans"/>
          <w:color w:val="000000"/>
          <w:sz w:val="22"/>
        </w:rPr>
      </w:pPr>
    </w:p>
    <w:p w14:paraId="1B09B6CB" w14:textId="6D53EA36" w:rsidR="008464A4" w:rsidRDefault="008464A4" w:rsidP="008464A4">
      <w:pPr>
        <w:jc w:val="both"/>
        <w:rPr>
          <w:rFonts w:ascii="Funnel Sans" w:hAnsi="Funnel Sans"/>
          <w:color w:val="000000"/>
          <w:sz w:val="22"/>
        </w:rPr>
      </w:pPr>
      <w:r>
        <w:rPr>
          <w:rFonts w:ascii="Funnel Sans" w:hAnsi="Funnel Sans"/>
          <w:color w:val="000000"/>
          <w:sz w:val="22"/>
        </w:rPr>
        <w:t xml:space="preserve">If only two programs enter Ph 0 the internal build is still favorable.  </w:t>
      </w:r>
    </w:p>
    <w:p w14:paraId="5EB63F2B" w14:textId="77777777" w:rsidR="008464A4" w:rsidRDefault="008464A4" w:rsidP="008464A4">
      <w:pPr>
        <w:jc w:val="both"/>
        <w:rPr>
          <w:rFonts w:ascii="Funnel Sans" w:hAnsi="Funnel Sans"/>
          <w:color w:val="000000"/>
          <w:sz w:val="22"/>
        </w:rPr>
      </w:pPr>
      <w:r>
        <w:rPr>
          <w:rFonts w:ascii="Funnel Sans" w:hAnsi="Funnel Sans"/>
          <w:color w:val="000000"/>
          <w:sz w:val="22"/>
        </w:rPr>
        <w:t>Deferring</w:t>
      </w:r>
      <w:r w:rsidRPr="004C6095">
        <w:rPr>
          <w:rFonts w:ascii="Funnel Sans" w:hAnsi="Funnel Sans"/>
          <w:color w:val="000000"/>
          <w:sz w:val="22"/>
        </w:rPr>
        <w:t xml:space="preserve"> the </w:t>
      </w:r>
      <w:r>
        <w:rPr>
          <w:rFonts w:ascii="Funnel Sans" w:hAnsi="Funnel Sans"/>
          <w:color w:val="000000"/>
          <w:sz w:val="22"/>
        </w:rPr>
        <w:t xml:space="preserve">Stage 1A GMP </w:t>
      </w:r>
      <w:r w:rsidRPr="004C6095">
        <w:rPr>
          <w:rFonts w:ascii="Funnel Sans" w:hAnsi="Funnel Sans"/>
          <w:color w:val="000000"/>
          <w:sz w:val="22"/>
        </w:rPr>
        <w:t xml:space="preserve">build to Series A </w:t>
      </w:r>
      <w:r>
        <w:rPr>
          <w:rFonts w:ascii="Funnel Sans" w:hAnsi="Funnel Sans"/>
          <w:color w:val="000000"/>
          <w:sz w:val="22"/>
        </w:rPr>
        <w:t xml:space="preserve">(Plan B, as above) </w:t>
      </w:r>
      <w:r w:rsidRPr="004C6095">
        <w:rPr>
          <w:rFonts w:ascii="Funnel Sans" w:hAnsi="Funnel Sans"/>
          <w:color w:val="000000"/>
          <w:sz w:val="22"/>
        </w:rPr>
        <w:t xml:space="preserve">is not a viable alternative. Standing up a GMP radiopharmaceutical facility takes 12–18 months from commitment to first qualified batch. If Sego starts with CDMOs post-Seed and commits to the build at Series A (targeted mid-2028), the facility would not be ready until late 2029 at the earliest — after the first two Ph0 programs have already run through CDMO, negating the cost advantage shown above and adding the scheduling and tech transfer dependencies the build is designed to avoid. The Stage 1A facility is </w:t>
      </w:r>
      <w:r>
        <w:rPr>
          <w:rFonts w:ascii="Funnel Sans" w:hAnsi="Funnel Sans"/>
          <w:color w:val="000000"/>
          <w:sz w:val="22"/>
        </w:rPr>
        <w:t xml:space="preserve">already in flight and </w:t>
      </w:r>
      <w:r w:rsidRPr="004C6095">
        <w:rPr>
          <w:rFonts w:ascii="Funnel Sans" w:hAnsi="Funnel Sans"/>
          <w:color w:val="000000"/>
          <w:sz w:val="22"/>
        </w:rPr>
        <w:t>on track for December 2026 completion specifically to be operational before the first clinical manufacturing need in 2028.</w:t>
      </w:r>
      <w:r>
        <w:rPr>
          <w:rFonts w:ascii="Funnel Sans" w:hAnsi="Funnel Sans"/>
          <w:color w:val="000000"/>
          <w:sz w:val="22"/>
        </w:rPr>
        <w:t xml:space="preserve"> As discussed, we believe a more realistic scenario would be to delay Stage 2 of the GMP build at the Series A, and instead supply our Ph 3 studies from a CDMO. </w:t>
      </w:r>
    </w:p>
    <w:p w14:paraId="10A24205" w14:textId="77777777" w:rsidR="008464A4" w:rsidRDefault="008464A4" w:rsidP="008464A4">
      <w:pPr>
        <w:jc w:val="both"/>
        <w:rPr>
          <w:rFonts w:ascii="Funnel Sans" w:hAnsi="Funnel Sans"/>
          <w:color w:val="000000"/>
          <w:sz w:val="22"/>
        </w:rPr>
      </w:pPr>
      <w:r>
        <w:rPr>
          <w:rFonts w:ascii="Funnel Sans" w:hAnsi="Funnel Sans"/>
          <w:color w:val="000000"/>
          <w:sz w:val="22"/>
        </w:rPr>
        <w:t>We can leverage academic centers in South Africa / Australia to produce doses for trials in their own centers. These sites cannot substitute</w:t>
      </w:r>
      <w:r w:rsidRPr="005A4E46">
        <w:rPr>
          <w:rFonts w:ascii="Funnel Sans" w:hAnsi="Funnel Sans"/>
          <w:color w:val="000000"/>
          <w:sz w:val="22"/>
        </w:rPr>
        <w:t xml:space="preserve"> for GMP manufacturing</w:t>
      </w:r>
      <w:r>
        <w:rPr>
          <w:rFonts w:ascii="Funnel Sans" w:hAnsi="Funnel Sans"/>
          <w:color w:val="000000"/>
          <w:sz w:val="22"/>
        </w:rPr>
        <w:t xml:space="preserve"> (or GMP-like manufacturing), which will be required for centers in the US and EU. </w:t>
      </w:r>
    </w:p>
    <w:p w14:paraId="3BCB74C9" w14:textId="77777777" w:rsidR="008464A4" w:rsidRDefault="008464A4" w:rsidP="008464A4">
      <w:pPr>
        <w:jc w:val="both"/>
        <w:rPr>
          <w:rFonts w:ascii="Funnel Sans" w:hAnsi="Funnel Sans"/>
          <w:b/>
          <w:bCs/>
          <w:color w:val="000000"/>
          <w:sz w:val="22"/>
        </w:rPr>
      </w:pPr>
      <w:r w:rsidRPr="00606DEF">
        <w:rPr>
          <w:rFonts w:ascii="Funnel Sans" w:hAnsi="Funnel Sans"/>
          <w:b/>
          <w:bCs/>
          <w:color w:val="000000"/>
          <w:sz w:val="22"/>
        </w:rPr>
        <w:t>Wasatch Group investment is specifically structured to offset build costs</w:t>
      </w:r>
    </w:p>
    <w:p w14:paraId="074C1AFD" w14:textId="77777777" w:rsidR="00606DEF" w:rsidRPr="00606DEF" w:rsidRDefault="00B55F34" w:rsidP="00606DEF">
      <w:pPr>
        <w:jc w:val="both"/>
        <w:rPr>
          <w:rFonts w:ascii="Funnel Sans" w:hAnsi="Funnel Sans"/>
          <w:color w:val="000000"/>
          <w:sz w:val="22"/>
        </w:rPr>
      </w:pPr>
      <w:r>
        <w:rPr>
          <w:rFonts w:ascii="Funnel Sans" w:hAnsi="Funnel Sans"/>
          <w:color w:val="000000"/>
          <w:sz w:val="22"/>
        </w:rPr>
        <w:t xml:space="preserve">Wasatch has committed </w:t>
      </w:r>
      <w:r w:rsidR="00606DEF" w:rsidRPr="00606DEF">
        <w:rPr>
          <w:rFonts w:ascii="Funnel Sans" w:hAnsi="Funnel Sans"/>
          <w:color w:val="000000"/>
          <w:sz w:val="22"/>
        </w:rPr>
        <w:t>$20M in equity</w:t>
      </w:r>
      <w:r w:rsidR="008464A4" w:rsidRPr="00797B41">
        <w:rPr>
          <w:rFonts w:ascii="Funnel Sans" w:hAnsi="Funnel Sans"/>
          <w:color w:val="000000"/>
          <w:sz w:val="22"/>
        </w:rPr>
        <w:t xml:space="preserve"> and build investment support</w:t>
      </w:r>
      <w:r w:rsidR="008464A4" w:rsidRPr="00606DEF">
        <w:rPr>
          <w:rFonts w:ascii="Funnel Sans" w:hAnsi="Funnel Sans"/>
          <w:color w:val="000000"/>
          <w:sz w:val="22"/>
        </w:rPr>
        <w:t xml:space="preserve"> </w:t>
      </w:r>
      <w:r w:rsidR="00606DEF" w:rsidRPr="00606DEF">
        <w:rPr>
          <w:rFonts w:ascii="Funnel Sans" w:hAnsi="Funnel Sans"/>
          <w:color w:val="000000"/>
          <w:sz w:val="22"/>
        </w:rPr>
        <w:t>for the Seed round</w:t>
      </w:r>
      <w:r w:rsidR="008464A4">
        <w:rPr>
          <w:rFonts w:ascii="Funnel Sans" w:hAnsi="Funnel Sans"/>
          <w:color w:val="000000"/>
          <w:sz w:val="22"/>
        </w:rPr>
        <w:t>.</w:t>
      </w:r>
      <w:r w:rsidR="00606DEF" w:rsidRPr="00606DEF">
        <w:rPr>
          <w:rFonts w:ascii="Funnel Sans" w:hAnsi="Funnel Sans"/>
          <w:color w:val="000000"/>
          <w:sz w:val="22"/>
        </w:rPr>
        <w:t xml:space="preserve"> </w:t>
      </w:r>
      <w:r>
        <w:rPr>
          <w:rFonts w:ascii="Funnel Sans" w:hAnsi="Funnel Sans"/>
          <w:color w:val="000000"/>
          <w:sz w:val="22"/>
        </w:rPr>
        <w:t xml:space="preserve">$6.5M of the total build costs will be taken as TI within the </w:t>
      </w:r>
      <w:r w:rsidR="008464A4">
        <w:rPr>
          <w:rFonts w:ascii="Funnel Sans" w:hAnsi="Funnel Sans"/>
          <w:color w:val="000000"/>
          <w:sz w:val="22"/>
        </w:rPr>
        <w:t xml:space="preserve">building </w:t>
      </w:r>
      <w:r>
        <w:rPr>
          <w:rFonts w:ascii="Funnel Sans" w:hAnsi="Funnel Sans"/>
          <w:color w:val="000000"/>
          <w:sz w:val="22"/>
        </w:rPr>
        <w:t>lease agreement, offsetting ~40% of the proposed $15M total build cost (</w:t>
      </w:r>
      <w:r w:rsidR="008464A4">
        <w:rPr>
          <w:rFonts w:ascii="Funnel Sans" w:hAnsi="Funnel Sans"/>
          <w:color w:val="000000"/>
          <w:sz w:val="22"/>
        </w:rPr>
        <w:t>the</w:t>
      </w:r>
      <w:r>
        <w:rPr>
          <w:rFonts w:ascii="Funnel Sans" w:hAnsi="Funnel Sans"/>
          <w:color w:val="000000"/>
          <w:sz w:val="22"/>
        </w:rPr>
        <w:t xml:space="preserve"> impact of this is shown above as the “Build cost Net of TI”). Further, all scientific equipment purchased, including $2.6M of equipment for the GMP suite, will be structured in a</w:t>
      </w:r>
      <w:r w:rsidR="003A2EF5">
        <w:rPr>
          <w:rFonts w:ascii="Funnel Sans" w:hAnsi="Funnel Sans"/>
          <w:color w:val="000000"/>
          <w:sz w:val="22"/>
        </w:rPr>
        <w:t>n</w:t>
      </w:r>
      <w:r>
        <w:rPr>
          <w:rFonts w:ascii="Funnel Sans" w:hAnsi="Funnel Sans"/>
          <w:color w:val="000000"/>
          <w:sz w:val="22"/>
        </w:rPr>
        <w:t xml:space="preserve"> equipment lease, rather than a </w:t>
      </w:r>
      <w:r w:rsidR="003A2EF5">
        <w:rPr>
          <w:rFonts w:ascii="Funnel Sans" w:hAnsi="Funnel Sans"/>
          <w:color w:val="000000"/>
          <w:sz w:val="22"/>
        </w:rPr>
        <w:t>one-time</w:t>
      </w:r>
      <w:r>
        <w:rPr>
          <w:rFonts w:ascii="Funnel Sans" w:hAnsi="Funnel Sans"/>
          <w:color w:val="000000"/>
          <w:sz w:val="22"/>
        </w:rPr>
        <w:t>, full cost outlay for Sego. This keeps our CapEx low, with a marginal increase in operating cost to service the lease</w:t>
      </w:r>
      <w:r w:rsidR="00536064">
        <w:rPr>
          <w:rFonts w:ascii="Funnel Sans" w:hAnsi="Funnel Sans"/>
          <w:color w:val="000000"/>
          <w:sz w:val="22"/>
        </w:rPr>
        <w:t>s</w:t>
      </w:r>
      <w:r>
        <w:rPr>
          <w:rFonts w:ascii="Funnel Sans" w:hAnsi="Funnel Sans"/>
          <w:color w:val="000000"/>
          <w:sz w:val="22"/>
        </w:rPr>
        <w:t xml:space="preserve">. </w:t>
      </w:r>
      <w:r w:rsidR="008464A4">
        <w:rPr>
          <w:rFonts w:ascii="Funnel Sans" w:hAnsi="Funnel Sans"/>
          <w:color w:val="000000"/>
          <w:sz w:val="22"/>
        </w:rPr>
        <w:t xml:space="preserve">Wasatch </w:t>
      </w:r>
      <w:r w:rsidR="008464A4" w:rsidRPr="00797B41">
        <w:rPr>
          <w:rFonts w:ascii="Funnel Sans" w:hAnsi="Funnel Sans"/>
          <w:color w:val="000000"/>
          <w:sz w:val="22"/>
        </w:rPr>
        <w:t>has</w:t>
      </w:r>
      <w:r w:rsidR="008464A4">
        <w:rPr>
          <w:rFonts w:ascii="Funnel Sans" w:hAnsi="Funnel Sans"/>
          <w:color w:val="000000"/>
          <w:sz w:val="22"/>
        </w:rPr>
        <w:t xml:space="preserve"> </w:t>
      </w:r>
      <w:r>
        <w:rPr>
          <w:rFonts w:ascii="Funnel Sans" w:hAnsi="Funnel Sans"/>
          <w:color w:val="000000"/>
          <w:sz w:val="22"/>
        </w:rPr>
        <w:t>further demonstrated their commitment</w:t>
      </w:r>
      <w:r w:rsidR="00606DEF" w:rsidRPr="00606DEF">
        <w:rPr>
          <w:rFonts w:ascii="Funnel Sans" w:hAnsi="Funnel Sans"/>
          <w:color w:val="000000"/>
          <w:sz w:val="22"/>
        </w:rPr>
        <w:t xml:space="preserve"> to Sego’s success </w:t>
      </w:r>
      <w:r>
        <w:rPr>
          <w:rFonts w:ascii="Funnel Sans" w:hAnsi="Funnel Sans"/>
          <w:color w:val="000000"/>
          <w:sz w:val="22"/>
        </w:rPr>
        <w:t>by</w:t>
      </w:r>
      <w:r w:rsidR="00606DEF" w:rsidRPr="00606DEF">
        <w:rPr>
          <w:rFonts w:ascii="Funnel Sans" w:hAnsi="Funnel Sans"/>
          <w:color w:val="000000"/>
          <w:sz w:val="22"/>
        </w:rPr>
        <w:t xml:space="preserve"> </w:t>
      </w:r>
      <w:r w:rsidR="008464A4">
        <w:rPr>
          <w:rFonts w:ascii="Funnel Sans" w:hAnsi="Funnel Sans"/>
          <w:color w:val="000000"/>
          <w:sz w:val="22"/>
        </w:rPr>
        <w:t>an option</w:t>
      </w:r>
      <w:r w:rsidR="008464A4" w:rsidRPr="00606DEF">
        <w:rPr>
          <w:rFonts w:ascii="Funnel Sans" w:hAnsi="Funnel Sans"/>
          <w:color w:val="000000"/>
          <w:sz w:val="22"/>
        </w:rPr>
        <w:t xml:space="preserve"> in the IRA to another $20M </w:t>
      </w:r>
      <w:r w:rsidR="008464A4">
        <w:rPr>
          <w:rFonts w:ascii="Funnel Sans" w:hAnsi="Funnel Sans"/>
          <w:color w:val="000000"/>
          <w:sz w:val="22"/>
        </w:rPr>
        <w:t xml:space="preserve">equity contribution </w:t>
      </w:r>
      <w:r w:rsidR="008464A4" w:rsidRPr="00606DEF">
        <w:rPr>
          <w:rFonts w:ascii="Funnel Sans" w:hAnsi="Funnel Sans"/>
          <w:color w:val="000000"/>
          <w:sz w:val="22"/>
        </w:rPr>
        <w:t>to the Series A.</w:t>
      </w:r>
      <w:r w:rsidR="00606DEF" w:rsidRPr="00606DEF">
        <w:rPr>
          <w:rFonts w:ascii="Funnel Sans" w:hAnsi="Funnel Sans"/>
          <w:color w:val="000000"/>
          <w:sz w:val="22"/>
        </w:rPr>
        <w:t xml:space="preserve"> </w:t>
      </w:r>
    </w:p>
    <w:p w14:paraId="0DB418D5" w14:textId="77777777" w:rsidR="00606DEF" w:rsidRDefault="00606DEF" w:rsidP="00606DEF">
      <w:pPr>
        <w:jc w:val="both"/>
        <w:rPr>
          <w:rFonts w:ascii="Funnel Sans" w:hAnsi="Funnel Sans"/>
          <w:color w:val="000000"/>
          <w:sz w:val="22"/>
        </w:rPr>
      </w:pPr>
      <w:r w:rsidRPr="00606DEF">
        <w:rPr>
          <w:rFonts w:ascii="Funnel Sans" w:hAnsi="Funnel Sans"/>
          <w:b/>
          <w:bCs/>
          <w:color w:val="000000"/>
          <w:sz w:val="22"/>
        </w:rPr>
        <w:t xml:space="preserve">We have the manufacturing experience to </w:t>
      </w:r>
      <w:r w:rsidR="00222A09">
        <w:rPr>
          <w:rFonts w:ascii="Funnel Sans" w:hAnsi="Funnel Sans"/>
          <w:b/>
          <w:bCs/>
          <w:color w:val="000000"/>
          <w:sz w:val="22"/>
        </w:rPr>
        <w:t>operate a world-class GMP facility</w:t>
      </w:r>
      <w:r w:rsidRPr="00606DEF">
        <w:rPr>
          <w:rFonts w:ascii="Funnel Sans" w:hAnsi="Funnel Sans"/>
          <w:color w:val="000000"/>
          <w:sz w:val="22"/>
        </w:rPr>
        <w:t xml:space="preserve"> </w:t>
      </w:r>
    </w:p>
    <w:p w14:paraId="51294A57" w14:textId="77777777" w:rsidR="00222A09" w:rsidRPr="00606DEF" w:rsidRDefault="00222A09" w:rsidP="00222A09">
      <w:pPr>
        <w:jc w:val="both"/>
        <w:rPr>
          <w:rFonts w:ascii="Funnel Sans" w:hAnsi="Funnel Sans"/>
          <w:color w:val="000000"/>
          <w:sz w:val="22"/>
        </w:rPr>
      </w:pPr>
      <w:r w:rsidRPr="00606DEF">
        <w:rPr>
          <w:rFonts w:ascii="Funnel Sans" w:hAnsi="Funnel Sans"/>
          <w:color w:val="000000"/>
          <w:sz w:val="22"/>
        </w:rPr>
        <w:t>This team has built and operated the facilities we are now replicating; that experience compresses the build timeline and reduces execution risk relative to a team standing up RLT manufacturing for the first time.</w:t>
      </w:r>
    </w:p>
    <w:p w14:paraId="3815D6D4" w14:textId="4B446517" w:rsidR="00932CE8" w:rsidRDefault="00606DEF" w:rsidP="00932CE8">
      <w:pPr>
        <w:jc w:val="both"/>
        <w:rPr>
          <w:rFonts w:ascii="Funnel Sans" w:hAnsi="Funnel Sans"/>
          <w:color w:val="000000"/>
          <w:sz w:val="22"/>
        </w:rPr>
      </w:pPr>
      <w:r w:rsidRPr="00606DEF">
        <w:rPr>
          <w:rFonts w:ascii="Funnel Sans" w:hAnsi="Funnel Sans"/>
          <w:color w:val="000000"/>
          <w:sz w:val="22"/>
        </w:rPr>
        <w:lastRenderedPageBreak/>
        <w:t>Greg has taken several radiopharmaceutical diagnostics and therapeutics through clinical development and eventual approval. He has experience in the tech transfer of multiple products to CDMOs and radiopharmacies in the US and EU</w:t>
      </w:r>
      <w:r w:rsidR="00222A09">
        <w:rPr>
          <w:rFonts w:ascii="Funnel Sans" w:hAnsi="Funnel Sans"/>
          <w:color w:val="000000"/>
          <w:sz w:val="22"/>
        </w:rPr>
        <w:t xml:space="preserve">, </w:t>
      </w:r>
      <w:r w:rsidRPr="00606DEF">
        <w:rPr>
          <w:rFonts w:ascii="Funnel Sans" w:hAnsi="Funnel Sans"/>
          <w:color w:val="000000"/>
          <w:sz w:val="22"/>
        </w:rPr>
        <w:t>includ</w:t>
      </w:r>
      <w:r w:rsidR="00222A09">
        <w:rPr>
          <w:rFonts w:ascii="Funnel Sans" w:hAnsi="Funnel Sans"/>
          <w:color w:val="000000"/>
          <w:sz w:val="22"/>
        </w:rPr>
        <w:t>ing</w:t>
      </w:r>
      <w:r w:rsidRPr="00606DEF">
        <w:rPr>
          <w:rFonts w:ascii="Funnel Sans" w:hAnsi="Funnel Sans"/>
          <w:color w:val="000000"/>
          <w:sz w:val="22"/>
        </w:rPr>
        <w:t xml:space="preserve"> </w:t>
      </w:r>
      <w:r w:rsidR="00750833" w:rsidRPr="00DA6D44">
        <w:rPr>
          <w:rFonts w:ascii="Funnel Sans" w:hAnsi="Funnel Sans"/>
          <w:color w:val="000000"/>
          <w:sz w:val="22"/>
          <w:vertAlign w:val="superscript"/>
        </w:rPr>
        <w:t>123</w:t>
      </w:r>
      <w:r w:rsidR="00750833" w:rsidRPr="00DA6D44">
        <w:rPr>
          <w:rFonts w:ascii="Funnel Sans" w:hAnsi="Funnel Sans"/>
          <w:color w:val="000000"/>
          <w:sz w:val="22"/>
        </w:rPr>
        <w:t>I</w:t>
      </w:r>
      <w:r w:rsidRPr="00606DEF">
        <w:rPr>
          <w:rFonts w:ascii="Funnel Sans" w:hAnsi="Funnel Sans"/>
          <w:color w:val="000000"/>
          <w:sz w:val="22"/>
        </w:rPr>
        <w:t xml:space="preserve"> PARPi Tx, </w:t>
      </w:r>
      <w:r w:rsidR="00750833" w:rsidRPr="00DA6D44">
        <w:rPr>
          <w:rFonts w:ascii="Funnel Sans" w:hAnsi="Funnel Sans"/>
          <w:color w:val="000000"/>
          <w:sz w:val="22"/>
          <w:vertAlign w:val="superscript"/>
        </w:rPr>
        <w:t>225</w:t>
      </w:r>
      <w:r w:rsidR="00750833" w:rsidRPr="00DA6D44">
        <w:rPr>
          <w:rFonts w:ascii="Funnel Sans" w:hAnsi="Funnel Sans"/>
          <w:color w:val="000000"/>
          <w:sz w:val="22"/>
        </w:rPr>
        <w:t>Ac</w:t>
      </w:r>
      <w:r w:rsidRPr="00606DEF">
        <w:rPr>
          <w:rFonts w:ascii="Funnel Sans" w:hAnsi="Funnel Sans"/>
          <w:color w:val="000000"/>
          <w:sz w:val="22"/>
        </w:rPr>
        <w:t xml:space="preserve"> SSTR2 Tx, </w:t>
      </w:r>
      <w:r w:rsidR="00750833" w:rsidRPr="00DA6D44">
        <w:rPr>
          <w:rFonts w:ascii="Funnel Sans" w:hAnsi="Funnel Sans"/>
          <w:color w:val="000000"/>
          <w:sz w:val="22"/>
          <w:vertAlign w:val="superscript"/>
        </w:rPr>
        <w:t>177</w:t>
      </w:r>
      <w:r w:rsidR="00750833" w:rsidRPr="00DA6D44">
        <w:rPr>
          <w:rFonts w:ascii="Funnel Sans" w:hAnsi="Funnel Sans"/>
          <w:color w:val="000000"/>
          <w:sz w:val="22"/>
        </w:rPr>
        <w:t>Lu</w:t>
      </w:r>
      <w:r w:rsidRPr="00606DEF">
        <w:rPr>
          <w:rFonts w:ascii="Funnel Sans" w:hAnsi="Funnel Sans"/>
          <w:color w:val="000000"/>
          <w:sz w:val="22"/>
        </w:rPr>
        <w:t xml:space="preserve"> SSTR2 Tx, </w:t>
      </w:r>
      <w:r w:rsidR="00750833" w:rsidRPr="00DA6D44">
        <w:rPr>
          <w:rFonts w:ascii="Funnel Sans" w:hAnsi="Funnel Sans"/>
          <w:color w:val="000000"/>
          <w:sz w:val="22"/>
          <w:vertAlign w:val="superscript"/>
        </w:rPr>
        <w:t>18</w:t>
      </w:r>
      <w:r w:rsidR="00750833" w:rsidRPr="00DA6D44">
        <w:rPr>
          <w:rFonts w:ascii="Funnel Sans" w:hAnsi="Funnel Sans"/>
          <w:color w:val="000000"/>
          <w:sz w:val="22"/>
        </w:rPr>
        <w:t>F</w:t>
      </w:r>
      <w:r w:rsidRPr="00606DEF">
        <w:rPr>
          <w:rFonts w:ascii="Funnel Sans" w:hAnsi="Funnel Sans"/>
          <w:color w:val="000000"/>
          <w:sz w:val="22"/>
        </w:rPr>
        <w:t xml:space="preserve"> PARPi Dx ,</w:t>
      </w:r>
      <w:r w:rsidR="00FD0649">
        <w:rPr>
          <w:rFonts w:ascii="Funnel Sans" w:hAnsi="Funnel Sans"/>
          <w:color w:val="000000"/>
          <w:sz w:val="22"/>
        </w:rPr>
        <w:t xml:space="preserve"> </w:t>
      </w:r>
      <w:r w:rsidR="00750833" w:rsidRPr="00DA6D44">
        <w:rPr>
          <w:rFonts w:ascii="Funnel Sans" w:hAnsi="Funnel Sans"/>
          <w:color w:val="000000"/>
          <w:sz w:val="22"/>
          <w:vertAlign w:val="superscript"/>
        </w:rPr>
        <w:t>68</w:t>
      </w:r>
      <w:r w:rsidR="00750833" w:rsidRPr="00DA6D44">
        <w:rPr>
          <w:rFonts w:ascii="Funnel Sans" w:hAnsi="Funnel Sans"/>
          <w:color w:val="000000"/>
          <w:sz w:val="22"/>
        </w:rPr>
        <w:t>Ga</w:t>
      </w:r>
      <w:r w:rsidRPr="00606DEF">
        <w:rPr>
          <w:rFonts w:ascii="Funnel Sans" w:hAnsi="Funnel Sans"/>
          <w:color w:val="000000"/>
          <w:sz w:val="22"/>
        </w:rPr>
        <w:t xml:space="preserve"> PSMA Dx</w:t>
      </w:r>
      <w:r w:rsidR="00222A09">
        <w:rPr>
          <w:rFonts w:ascii="Funnel Sans" w:hAnsi="Funnel Sans"/>
          <w:color w:val="000000"/>
          <w:sz w:val="22"/>
        </w:rPr>
        <w:t xml:space="preserve"> </w:t>
      </w:r>
      <w:r w:rsidRPr="00606DEF">
        <w:rPr>
          <w:rFonts w:ascii="Funnel Sans" w:hAnsi="Funnel Sans"/>
          <w:color w:val="000000"/>
          <w:sz w:val="22"/>
        </w:rPr>
        <w:t xml:space="preserve">and US approval of </w:t>
      </w:r>
      <w:r w:rsidR="00750833" w:rsidRPr="00DA6D44">
        <w:rPr>
          <w:rFonts w:ascii="Funnel Sans" w:hAnsi="Funnel Sans"/>
          <w:color w:val="000000"/>
          <w:sz w:val="22"/>
          <w:vertAlign w:val="superscript"/>
        </w:rPr>
        <w:t>99m</w:t>
      </w:r>
      <w:r w:rsidR="00750833" w:rsidRPr="00DA6D44">
        <w:rPr>
          <w:rFonts w:ascii="Funnel Sans" w:hAnsi="Funnel Sans"/>
          <w:color w:val="000000"/>
          <w:sz w:val="22"/>
        </w:rPr>
        <w:t>Tc</w:t>
      </w:r>
      <w:r w:rsidRPr="00606DEF">
        <w:rPr>
          <w:rFonts w:ascii="Funnel Sans" w:hAnsi="Funnel Sans"/>
          <w:color w:val="000000"/>
          <w:sz w:val="22"/>
        </w:rPr>
        <w:t xml:space="preserve"> DMSA Dx</w:t>
      </w:r>
      <w:r w:rsidR="00222A09">
        <w:rPr>
          <w:rFonts w:ascii="Funnel Sans" w:hAnsi="Funnel Sans"/>
          <w:color w:val="000000"/>
          <w:sz w:val="22"/>
        </w:rPr>
        <w:t xml:space="preserve">. </w:t>
      </w:r>
      <w:r w:rsidR="00991D8D" w:rsidRPr="00991D8D">
        <w:rPr>
          <w:rFonts w:ascii="Funnel Sans" w:hAnsi="Funnel Sans"/>
          <w:color w:val="000000"/>
          <w:sz w:val="22"/>
        </w:rPr>
        <w:t>Brandon Buckway joins from the University of Utah, where he ran radiochemistry and built out a GMP manufacturing facility.  It is one of the few commercial GMP radiopharmacy centers supplying the entire Mountain West and was responsible for being listed as one of the early ANDA/NDA manufacturing sites for several commercial radiopharmaceutical products including FDG, Axumin, Vizamyl, Pylarify, Posluma, and Cerianna</w:t>
      </w:r>
      <w:r w:rsidR="00222A09" w:rsidRPr="00606DEF">
        <w:rPr>
          <w:rFonts w:ascii="Funnel Sans" w:hAnsi="Funnel Sans"/>
          <w:color w:val="000000"/>
          <w:sz w:val="22"/>
        </w:rPr>
        <w:t xml:space="preserve">. </w:t>
      </w:r>
      <w:r w:rsidRPr="00606DEF">
        <w:rPr>
          <w:rFonts w:ascii="Funnel Sans" w:hAnsi="Funnel Sans"/>
          <w:color w:val="000000"/>
          <w:sz w:val="22"/>
        </w:rPr>
        <w:t xml:space="preserve">Jeevan scaled manufacturing at Advanced Accelerator Applications (AAA) and at Novartis, including commercial supply for Lutathera and Pluvicto. Richard has translated three </w:t>
      </w:r>
      <w:r w:rsidR="00750833" w:rsidRPr="00DA6D44">
        <w:rPr>
          <w:rFonts w:ascii="Funnel Sans" w:hAnsi="Funnel Sans"/>
          <w:color w:val="000000"/>
          <w:sz w:val="22"/>
          <w:vertAlign w:val="superscript"/>
        </w:rPr>
        <w:t>89</w:t>
      </w:r>
      <w:r w:rsidR="00750833" w:rsidRPr="00DA6D44">
        <w:rPr>
          <w:rFonts w:ascii="Funnel Sans" w:hAnsi="Funnel Sans"/>
          <w:color w:val="000000"/>
          <w:sz w:val="22"/>
        </w:rPr>
        <w:t>Zr</w:t>
      </w:r>
      <w:r w:rsidRPr="00606DEF">
        <w:rPr>
          <w:rFonts w:ascii="Funnel Sans" w:hAnsi="Funnel Sans"/>
          <w:color w:val="000000"/>
          <w:sz w:val="22"/>
        </w:rPr>
        <w:t xml:space="preserve"> labeled antibody diagnostics to FIH studies via both academic and CDMO manufacturing routes. </w:t>
      </w:r>
    </w:p>
    <w:p w14:paraId="38DF5A15" w14:textId="77777777" w:rsidR="00606DEF" w:rsidRPr="00606DEF" w:rsidRDefault="00606DEF" w:rsidP="00932CE8">
      <w:pPr>
        <w:jc w:val="both"/>
        <w:rPr>
          <w:rFonts w:ascii="Funnel Sans" w:hAnsi="Funnel Sans"/>
          <w:b/>
          <w:bCs/>
          <w:color w:val="000000"/>
          <w:sz w:val="22"/>
        </w:rPr>
      </w:pPr>
      <w:r w:rsidRPr="00606DEF">
        <w:rPr>
          <w:rFonts w:ascii="Funnel Sans" w:hAnsi="Funnel Sans"/>
          <w:b/>
          <w:bCs/>
          <w:color w:val="000000"/>
          <w:sz w:val="22"/>
        </w:rPr>
        <w:t>Additional strategic advantages of internal GMP supply for Ph 0 / Ph 1</w:t>
      </w:r>
    </w:p>
    <w:p w14:paraId="6B8FB403" w14:textId="77777777" w:rsidR="00C51AFF" w:rsidRDefault="00767AB3" w:rsidP="00606DEF">
      <w:pPr>
        <w:jc w:val="both"/>
        <w:rPr>
          <w:rFonts w:ascii="Funnel Sans" w:hAnsi="Funnel Sans"/>
          <w:color w:val="000000"/>
          <w:sz w:val="22"/>
        </w:rPr>
      </w:pPr>
      <w:r w:rsidRPr="00606DEF">
        <w:rPr>
          <w:rFonts w:ascii="Funnel Sans" w:hAnsi="Funnel Sans"/>
          <w:i/>
          <w:iCs/>
          <w:color w:val="000000"/>
          <w:sz w:val="22"/>
        </w:rPr>
        <w:t xml:space="preserve">Supply chains are </w:t>
      </w:r>
      <w:r w:rsidR="00E42673" w:rsidRPr="00606DEF">
        <w:rPr>
          <w:rFonts w:ascii="Funnel Sans" w:hAnsi="Funnel Sans"/>
          <w:i/>
          <w:iCs/>
          <w:color w:val="000000"/>
          <w:sz w:val="22"/>
        </w:rPr>
        <w:t xml:space="preserve">simpler &amp; logistics are derisked </w:t>
      </w:r>
      <w:r w:rsidR="00CE2BD3" w:rsidRPr="00606DEF">
        <w:rPr>
          <w:rFonts w:ascii="Funnel Sans" w:hAnsi="Funnel Sans"/>
          <w:i/>
          <w:iCs/>
          <w:color w:val="000000"/>
          <w:sz w:val="22"/>
        </w:rPr>
        <w:t xml:space="preserve">when supply is integrated from </w:t>
      </w:r>
      <w:r w:rsidR="0074652F" w:rsidRPr="00606DEF">
        <w:rPr>
          <w:rFonts w:ascii="Funnel Sans" w:hAnsi="Funnel Sans"/>
          <w:i/>
          <w:iCs/>
          <w:color w:val="000000"/>
          <w:sz w:val="22"/>
        </w:rPr>
        <w:t>isotope production to delivery at sites</w:t>
      </w:r>
      <w:r w:rsidR="006309BA" w:rsidRPr="00606DEF">
        <w:rPr>
          <w:rFonts w:ascii="Funnel Sans" w:hAnsi="Funnel Sans"/>
          <w:color w:val="000000"/>
          <w:sz w:val="22"/>
        </w:rPr>
        <w:t>:</w:t>
      </w:r>
      <w:r w:rsidR="00FC4DA8" w:rsidRPr="00606DEF">
        <w:rPr>
          <w:rFonts w:ascii="Funnel Sans" w:hAnsi="Funnel Sans"/>
          <w:color w:val="000000"/>
          <w:sz w:val="22"/>
        </w:rPr>
        <w:t xml:space="preserve"> Placement of manufacturing capabilities near Nusano and the SLC airport allow </w:t>
      </w:r>
      <w:r w:rsidR="008464A4" w:rsidRPr="006807EB">
        <w:rPr>
          <w:rFonts w:ascii="Funnel Sans" w:hAnsi="Funnel Sans"/>
          <w:color w:val="000000"/>
          <w:sz w:val="22"/>
        </w:rPr>
        <w:t>Sego to maintain full control of isotope delivery and manufacturing scheduling, eliminate decay losses, and reduce</w:t>
      </w:r>
      <w:r w:rsidR="008464A4" w:rsidRPr="00606DEF">
        <w:rPr>
          <w:rFonts w:ascii="Funnel Sans" w:hAnsi="Funnel Sans"/>
          <w:color w:val="000000"/>
          <w:sz w:val="22"/>
        </w:rPr>
        <w:t xml:space="preserve"> scheduling/logistical fragility of the supply chain. In contrast, moving to CDMOs would extend timelines 12 months based on the founding team’s experience of identifying and securing CDMO capacity for six separate RLT programs, completing six independent tech transfers (each requiring analytical method validation at the CDMO site), and navigating CDMO scheduling constraints. Furthermore, we intend several of our clinical sites to be local, including the Huntsman Cancer </w:t>
      </w:r>
      <w:r w:rsidR="008464A4" w:rsidRPr="006807EB">
        <w:rPr>
          <w:rFonts w:ascii="Funnel Sans" w:hAnsi="Funnel Sans"/>
          <w:color w:val="000000"/>
          <w:sz w:val="22"/>
        </w:rPr>
        <w:t>Center,</w:t>
      </w:r>
      <w:r w:rsidR="008464A4" w:rsidRPr="00606DEF">
        <w:rPr>
          <w:rFonts w:ascii="Funnel Sans" w:hAnsi="Funnel Sans"/>
          <w:color w:val="000000"/>
          <w:sz w:val="22"/>
        </w:rPr>
        <w:t xml:space="preserve"> which is the only National Cancer Institute-Designated Comprehensive Cancer Center serving Utah, Nevada, Montana, Wyoming, and Idaho. </w:t>
      </w:r>
    </w:p>
    <w:p w14:paraId="02F9D5DF" w14:textId="77777777" w:rsidR="008464A4" w:rsidRPr="00606DEF" w:rsidRDefault="008464A4" w:rsidP="008464A4">
      <w:pPr>
        <w:jc w:val="both"/>
        <w:rPr>
          <w:rFonts w:ascii="Funnel Sans" w:hAnsi="Funnel Sans"/>
          <w:color w:val="000000"/>
          <w:sz w:val="22"/>
        </w:rPr>
      </w:pPr>
      <w:commentRangeStart w:id="2"/>
      <w:r w:rsidRPr="007C3C86">
        <w:rPr>
          <w:rFonts w:ascii="Funnel Sans" w:hAnsi="Funnel Sans"/>
          <w:i/>
          <w:iCs/>
          <w:color w:val="000000"/>
          <w:sz w:val="22"/>
        </w:rPr>
        <w:t>Simple regulatory approach:</w:t>
      </w:r>
      <w:r>
        <w:rPr>
          <w:rFonts w:ascii="Funnel Sans" w:hAnsi="Funnel Sans"/>
          <w:color w:val="000000"/>
          <w:sz w:val="22"/>
        </w:rPr>
        <w:t xml:space="preserve"> Supplying trials from a single site, across stages, keeps </w:t>
      </w:r>
      <w:r w:rsidRPr="006807EB">
        <w:rPr>
          <w:rFonts w:ascii="Funnel Sans" w:hAnsi="Funnel Sans"/>
          <w:color w:val="000000"/>
          <w:sz w:val="22"/>
        </w:rPr>
        <w:t>regulatory requirements easier to meet</w:t>
      </w:r>
      <w:r>
        <w:rPr>
          <w:rFonts w:ascii="Funnel Sans" w:hAnsi="Funnel Sans"/>
          <w:color w:val="000000"/>
          <w:sz w:val="22"/>
        </w:rPr>
        <w:t xml:space="preserve">. It will be simpler for Sego in the long run. </w:t>
      </w:r>
      <w:commentRangeEnd w:id="2"/>
      <w:r w:rsidRPr="00606DEF">
        <w:rPr>
          <w:rStyle w:val="CommentReference"/>
          <w:rFonts w:ascii="Funnel Sans" w:hAnsi="Funnel Sans"/>
          <w:color w:val="000000"/>
          <w:sz w:val="22"/>
          <w:szCs w:val="24"/>
        </w:rPr>
        <w:commentReference w:id="2"/>
      </w:r>
    </w:p>
    <w:p w14:paraId="458E8C60" w14:textId="77777777" w:rsidR="003D6D8C" w:rsidRPr="00606DEF" w:rsidRDefault="006309BA" w:rsidP="00606DEF">
      <w:pPr>
        <w:jc w:val="both"/>
        <w:rPr>
          <w:rFonts w:ascii="Funnel Sans" w:hAnsi="Funnel Sans"/>
          <w:color w:val="000000"/>
          <w:sz w:val="22"/>
        </w:rPr>
      </w:pPr>
      <w:r w:rsidRPr="00606DEF">
        <w:rPr>
          <w:rFonts w:ascii="Funnel Sans" w:hAnsi="Funnel Sans"/>
          <w:i/>
          <w:iCs/>
          <w:color w:val="000000"/>
          <w:sz w:val="22"/>
        </w:rPr>
        <w:t>Synergy</w:t>
      </w:r>
      <w:r w:rsidRPr="00DA6D44">
        <w:rPr>
          <w:rFonts w:ascii="Funnel Sans" w:hAnsi="Funnel Sans"/>
          <w:b/>
          <w:i/>
          <w:color w:val="000000"/>
          <w:sz w:val="22"/>
        </w:rPr>
        <w:t xml:space="preserve"> </w:t>
      </w:r>
      <w:r w:rsidRPr="00606DEF">
        <w:rPr>
          <w:rFonts w:ascii="Funnel Sans" w:hAnsi="Funnel Sans"/>
          <w:i/>
          <w:iCs/>
          <w:color w:val="000000"/>
          <w:sz w:val="22"/>
        </w:rPr>
        <w:t>with preclinical radiochemistry needs:</w:t>
      </w:r>
      <w:r w:rsidRPr="00606DEF">
        <w:rPr>
          <w:rFonts w:ascii="Funnel Sans" w:hAnsi="Funnel Sans"/>
          <w:color w:val="000000"/>
          <w:sz w:val="22"/>
        </w:rPr>
        <w:t xml:space="preserve"> </w:t>
      </w:r>
      <w:r w:rsidR="00D1247A" w:rsidRPr="00606DEF">
        <w:rPr>
          <w:rFonts w:ascii="Funnel Sans" w:hAnsi="Funnel Sans"/>
          <w:color w:val="000000"/>
          <w:sz w:val="22"/>
        </w:rPr>
        <w:t xml:space="preserve">Hot laboratory infrastructure is differentiating in the preclinical space; few CROs have the capacity to run in vitro or in vivo hot work to high quality. </w:t>
      </w:r>
      <w:r w:rsidR="00FF54AD" w:rsidRPr="00606DEF">
        <w:rPr>
          <w:rFonts w:ascii="Funnel Sans" w:hAnsi="Funnel Sans"/>
          <w:color w:val="000000"/>
          <w:sz w:val="22"/>
        </w:rPr>
        <w:t>Shared radiation shielding, HVAC, waste handling, and personnel access lower construction cost and ongoing OpEx</w:t>
      </w:r>
      <w:r w:rsidR="003D6D8C" w:rsidRPr="00606DEF">
        <w:rPr>
          <w:rFonts w:ascii="Funnel Sans" w:hAnsi="Funnel Sans"/>
          <w:color w:val="000000"/>
          <w:sz w:val="22"/>
        </w:rPr>
        <w:t xml:space="preserve">, as well as </w:t>
      </w:r>
      <w:r w:rsidR="005876C8" w:rsidRPr="00606DEF">
        <w:rPr>
          <w:rFonts w:ascii="Funnel Sans" w:hAnsi="Funnel Sans"/>
          <w:color w:val="000000"/>
          <w:sz w:val="22"/>
        </w:rPr>
        <w:t xml:space="preserve">molecule </w:t>
      </w:r>
      <w:r w:rsidR="003D6D8C" w:rsidRPr="00606DEF">
        <w:rPr>
          <w:rFonts w:ascii="Funnel Sans" w:hAnsi="Funnel Sans"/>
          <w:color w:val="000000"/>
          <w:sz w:val="22"/>
        </w:rPr>
        <w:t xml:space="preserve">supply for preclinical studies. Further, this </w:t>
      </w:r>
      <w:r w:rsidR="00FF54AD" w:rsidRPr="00606DEF">
        <w:rPr>
          <w:rFonts w:ascii="Funnel Sans" w:hAnsi="Funnel Sans"/>
          <w:color w:val="000000"/>
          <w:sz w:val="22"/>
        </w:rPr>
        <w:t xml:space="preserve">capital is amortized across </w:t>
      </w:r>
      <w:r w:rsidR="003D6D8C" w:rsidRPr="00606DEF">
        <w:rPr>
          <w:rFonts w:ascii="Funnel Sans" w:hAnsi="Funnel Sans"/>
          <w:color w:val="000000"/>
          <w:sz w:val="22"/>
        </w:rPr>
        <w:t xml:space="preserve">all </w:t>
      </w:r>
      <w:r w:rsidR="00FF54AD" w:rsidRPr="00606DEF">
        <w:rPr>
          <w:rFonts w:ascii="Funnel Sans" w:hAnsi="Funnel Sans"/>
          <w:color w:val="000000"/>
          <w:sz w:val="22"/>
        </w:rPr>
        <w:t>six programs</w:t>
      </w:r>
      <w:r w:rsidR="003D6D8C" w:rsidRPr="00606DEF">
        <w:rPr>
          <w:rFonts w:ascii="Funnel Sans" w:hAnsi="Funnel Sans"/>
          <w:color w:val="000000"/>
          <w:sz w:val="22"/>
        </w:rPr>
        <w:t xml:space="preserve"> we intend to develop. </w:t>
      </w:r>
    </w:p>
    <w:p w14:paraId="08AC19D8" w14:textId="77777777" w:rsidR="008D48F2" w:rsidRPr="00606DEF" w:rsidRDefault="008D48F2" w:rsidP="00606DEF">
      <w:pPr>
        <w:jc w:val="both"/>
        <w:rPr>
          <w:rFonts w:ascii="Funnel Sans" w:hAnsi="Funnel Sans"/>
          <w:color w:val="000000"/>
          <w:sz w:val="22"/>
        </w:rPr>
      </w:pPr>
      <w:r w:rsidRPr="00606DEF">
        <w:rPr>
          <w:rFonts w:ascii="Funnel Sans" w:hAnsi="Funnel Sans"/>
          <w:i/>
          <w:iCs/>
          <w:color w:val="000000"/>
          <w:sz w:val="22"/>
        </w:rPr>
        <w:t xml:space="preserve">4x value premium for </w:t>
      </w:r>
      <w:r w:rsidR="00920570" w:rsidRPr="00606DEF">
        <w:rPr>
          <w:rFonts w:ascii="Funnel Sans" w:hAnsi="Funnel Sans"/>
          <w:i/>
          <w:iCs/>
          <w:color w:val="000000"/>
          <w:sz w:val="22"/>
        </w:rPr>
        <w:t xml:space="preserve">RLT </w:t>
      </w:r>
      <w:r w:rsidR="00AD0638" w:rsidRPr="00606DEF">
        <w:rPr>
          <w:rFonts w:ascii="Funnel Sans" w:hAnsi="Funnel Sans"/>
          <w:i/>
          <w:iCs/>
          <w:color w:val="000000"/>
          <w:sz w:val="22"/>
        </w:rPr>
        <w:t>companies with manufacturing capabilities</w:t>
      </w:r>
      <w:r w:rsidR="00AD0638" w:rsidRPr="00606DEF">
        <w:rPr>
          <w:rFonts w:ascii="Funnel Sans" w:hAnsi="Funnel Sans"/>
          <w:b/>
          <w:bCs/>
          <w:color w:val="000000"/>
          <w:sz w:val="22"/>
        </w:rPr>
        <w:t xml:space="preserve">: </w:t>
      </w:r>
      <w:r w:rsidR="00C03541" w:rsidRPr="00606DEF">
        <w:rPr>
          <w:rFonts w:ascii="Funnel Sans" w:hAnsi="Funnel Sans"/>
          <w:color w:val="000000"/>
          <w:sz w:val="22"/>
        </w:rPr>
        <w:t xml:space="preserve">Acquisitions of companies like Fusion, RayzeBio and Point commanded 4x the upfront </w:t>
      </w:r>
      <w:r w:rsidR="00920570" w:rsidRPr="00606DEF">
        <w:rPr>
          <w:rFonts w:ascii="Funnel Sans" w:hAnsi="Funnel Sans"/>
          <w:color w:val="000000"/>
          <w:sz w:val="22"/>
        </w:rPr>
        <w:t xml:space="preserve">value vs comparable companies without manufacturing, such as Mariana, 3B Pharma and others. </w:t>
      </w:r>
      <w:r w:rsidR="00F3372C">
        <w:rPr>
          <w:rFonts w:ascii="Funnel Sans" w:hAnsi="Funnel Sans"/>
          <w:color w:val="000000"/>
          <w:sz w:val="22"/>
        </w:rPr>
        <w:t>In our experience, big pharma with existing RLT manufacturing capabilities are either looking to diversify their manufacturing footprint or</w:t>
      </w:r>
      <w:r w:rsidR="00023674">
        <w:rPr>
          <w:rFonts w:ascii="Funnel Sans" w:hAnsi="Funnel Sans"/>
          <w:color w:val="000000"/>
          <w:sz w:val="22"/>
        </w:rPr>
        <w:t xml:space="preserve"> </w:t>
      </w:r>
      <w:r w:rsidR="00F3372C">
        <w:rPr>
          <w:rFonts w:ascii="Funnel Sans" w:hAnsi="Funnel Sans"/>
          <w:color w:val="000000"/>
          <w:sz w:val="22"/>
        </w:rPr>
        <w:t>looking to expand capacity. New entrants</w:t>
      </w:r>
      <w:r w:rsidR="00023674">
        <w:rPr>
          <w:rFonts w:ascii="Funnel Sans" w:hAnsi="Funnel Sans"/>
          <w:color w:val="000000"/>
          <w:sz w:val="22"/>
        </w:rPr>
        <w:t xml:space="preserve"> </w:t>
      </w:r>
      <w:r w:rsidR="00F3372C">
        <w:rPr>
          <w:rFonts w:ascii="Funnel Sans" w:hAnsi="Funnel Sans"/>
          <w:color w:val="000000"/>
          <w:sz w:val="22"/>
        </w:rPr>
        <w:t xml:space="preserve">to the field would be attracted to an </w:t>
      </w:r>
      <w:r w:rsidR="008B0DA0">
        <w:rPr>
          <w:rFonts w:ascii="Funnel Sans" w:hAnsi="Funnel Sans"/>
          <w:color w:val="000000"/>
          <w:sz w:val="22"/>
        </w:rPr>
        <w:t>end-to-end</w:t>
      </w:r>
      <w:r w:rsidR="00F3372C">
        <w:rPr>
          <w:rFonts w:ascii="Funnel Sans" w:hAnsi="Funnel Sans"/>
          <w:color w:val="000000"/>
          <w:sz w:val="22"/>
        </w:rPr>
        <w:t xml:space="preserve"> </w:t>
      </w:r>
      <w:r w:rsidR="00023674">
        <w:rPr>
          <w:rFonts w:ascii="Funnel Sans" w:hAnsi="Funnel Sans"/>
          <w:color w:val="000000"/>
          <w:sz w:val="22"/>
        </w:rPr>
        <w:t>RLT approach</w:t>
      </w:r>
      <w:r w:rsidR="00F3372C">
        <w:rPr>
          <w:rFonts w:ascii="Funnel Sans" w:hAnsi="Funnel Sans"/>
          <w:color w:val="000000"/>
          <w:sz w:val="22"/>
        </w:rPr>
        <w:t xml:space="preserve">. </w:t>
      </w:r>
    </w:p>
    <w:p w14:paraId="3C0EEE05" w14:textId="77777777" w:rsidR="00DD575F" w:rsidRPr="00D0302E" w:rsidRDefault="00DD575F" w:rsidP="0045211A">
      <w:pPr>
        <w:jc w:val="both"/>
        <w:rPr>
          <w:rFonts w:ascii="Funnel Sans" w:hAnsi="Funnel Sans"/>
          <w:color w:val="156082" w:themeColor="accent1"/>
          <w:sz w:val="22"/>
          <w:szCs w:val="22"/>
          <w:lang w:val="en-GB"/>
        </w:rPr>
      </w:pPr>
    </w:p>
    <w:p w14:paraId="456891A6" w14:textId="2A43516B" w:rsidR="003659D2" w:rsidRDefault="003659D2" w:rsidP="0045211A">
      <w:pPr>
        <w:jc w:val="both"/>
        <w:rPr>
          <w:rFonts w:ascii="Funnel Sans" w:hAnsi="Funnel Sans"/>
          <w:color w:val="156082"/>
          <w:sz w:val="22"/>
        </w:rPr>
      </w:pPr>
      <w:commentRangeStart w:id="4"/>
      <w:commentRangeStart w:id="5"/>
      <w:commentRangeStart w:id="6"/>
      <w:commentRangeStart w:id="7"/>
      <w:r w:rsidRPr="00FA683B">
        <w:rPr>
          <w:rFonts w:ascii="Funnel Sans" w:hAnsi="Funnel Sans"/>
          <w:b/>
          <w:bCs/>
          <w:color w:val="156082"/>
          <w:sz w:val="22"/>
        </w:rPr>
        <w:lastRenderedPageBreak/>
        <w:t>Timeline and in-licensing molecules</w:t>
      </w:r>
      <w:r w:rsidRPr="003659D2">
        <w:rPr>
          <w:rFonts w:ascii="Funnel Sans" w:hAnsi="Funnel Sans"/>
          <w:color w:val="156082"/>
          <w:sz w:val="22"/>
        </w:rPr>
        <w:t xml:space="preserve"> </w:t>
      </w:r>
      <w:commentRangeEnd w:id="4"/>
      <w:r w:rsidR="00B054F6" w:rsidRPr="003659D2">
        <w:rPr>
          <w:rStyle w:val="CommentReference"/>
          <w:rFonts w:ascii="Funnel Sans" w:hAnsi="Funnel Sans"/>
          <w:color w:val="156082"/>
          <w:sz w:val="22"/>
          <w:szCs w:val="24"/>
        </w:rPr>
        <w:commentReference w:id="4"/>
      </w:r>
      <w:commentRangeEnd w:id="5"/>
      <w:r w:rsidR="007A179E" w:rsidRPr="003659D2">
        <w:rPr>
          <w:rStyle w:val="CommentReference"/>
          <w:rFonts w:ascii="Funnel Sans" w:hAnsi="Funnel Sans"/>
          <w:color w:val="156082"/>
          <w:sz w:val="22"/>
          <w:szCs w:val="24"/>
        </w:rPr>
        <w:commentReference w:id="5"/>
      </w:r>
      <w:commentRangeEnd w:id="6"/>
      <w:r w:rsidR="00175607" w:rsidRPr="003659D2">
        <w:rPr>
          <w:rStyle w:val="CommentReference"/>
          <w:rFonts w:ascii="Funnel Sans" w:hAnsi="Funnel Sans"/>
          <w:color w:val="156082"/>
          <w:sz w:val="22"/>
          <w:szCs w:val="24"/>
        </w:rPr>
        <w:commentReference w:id="6"/>
      </w:r>
      <w:commentRangeEnd w:id="7"/>
      <w:r w:rsidR="001F2851" w:rsidRPr="003659D2">
        <w:rPr>
          <w:rStyle w:val="CommentReference"/>
          <w:rFonts w:ascii="Funnel Sans" w:hAnsi="Funnel Sans"/>
          <w:color w:val="156082"/>
          <w:sz w:val="22"/>
          <w:szCs w:val="24"/>
        </w:rPr>
        <w:commentReference w:id="7"/>
      </w:r>
      <w:r w:rsidRPr="003659D2">
        <w:rPr>
          <w:rFonts w:ascii="Funnel Sans" w:hAnsi="Funnel Sans"/>
          <w:color w:val="156082"/>
          <w:sz w:val="22"/>
        </w:rPr>
        <w:t>- A significant number of the 40 prioritized targets have chemical matter in the public (and private) domain. Many RLT companies are leveraging these molecules to rapidly advance to Ph0 studies. Can you explain in detail how you are thinking about in licensing or leveraging this work to speed up time to Ph0?</w:t>
      </w:r>
    </w:p>
    <w:p w14:paraId="52054B3A" w14:textId="4094DA3E" w:rsidR="001E78E1" w:rsidRPr="00063F0C" w:rsidRDefault="00D3157C" w:rsidP="0045211A">
      <w:pPr>
        <w:jc w:val="both"/>
        <w:rPr>
          <w:rFonts w:ascii="Funnel Sans" w:hAnsi="Funnel Sans"/>
          <w:sz w:val="22"/>
        </w:rPr>
      </w:pPr>
      <w:r w:rsidRPr="00063F0C">
        <w:rPr>
          <w:rFonts w:ascii="Funnel Sans" w:hAnsi="Funnel Sans"/>
          <w:sz w:val="22"/>
        </w:rPr>
        <w:t>We are focused on rapid entry to the clinic by leveraging all the above approaches</w:t>
      </w:r>
      <w:r w:rsidR="001E78E1" w:rsidRPr="00063F0C">
        <w:rPr>
          <w:rFonts w:ascii="Funnel Sans" w:hAnsi="Funnel Sans"/>
          <w:sz w:val="22"/>
        </w:rPr>
        <w:t xml:space="preserve">: (1) leveraging known chemical matter to accelerate programs, specifically ACP3 and KLK2 (2) exploring </w:t>
      </w:r>
      <w:r w:rsidRPr="00063F0C">
        <w:rPr>
          <w:rFonts w:ascii="Funnel Sans" w:hAnsi="Funnel Sans"/>
          <w:sz w:val="22"/>
        </w:rPr>
        <w:t>the abundance of in</w:t>
      </w:r>
      <w:r w:rsidR="00C95854">
        <w:rPr>
          <w:rFonts w:ascii="Funnel Sans" w:hAnsi="Funnel Sans"/>
          <w:sz w:val="22"/>
        </w:rPr>
        <w:t>-</w:t>
      </w:r>
      <w:r w:rsidRPr="00063F0C">
        <w:rPr>
          <w:rFonts w:ascii="Funnel Sans" w:hAnsi="Funnel Sans"/>
          <w:sz w:val="22"/>
        </w:rPr>
        <w:t xml:space="preserve">licensable programs </w:t>
      </w:r>
      <w:r w:rsidR="00AF5592" w:rsidRPr="00063F0C">
        <w:rPr>
          <w:rFonts w:ascii="Funnel Sans" w:hAnsi="Funnel Sans"/>
          <w:sz w:val="22"/>
        </w:rPr>
        <w:t>in a rigorous manner</w:t>
      </w:r>
      <w:r w:rsidR="00024964" w:rsidRPr="00063F0C">
        <w:rPr>
          <w:rFonts w:ascii="Funnel Sans" w:hAnsi="Funnel Sans"/>
          <w:sz w:val="22"/>
        </w:rPr>
        <w:t xml:space="preserve"> (3) reservin</w:t>
      </w:r>
      <w:r w:rsidR="00E62171" w:rsidRPr="00063F0C">
        <w:rPr>
          <w:rFonts w:ascii="Funnel Sans" w:hAnsi="Funnel Sans"/>
          <w:sz w:val="22"/>
        </w:rPr>
        <w:t>g completely de novo discovery efforts for targets where there is no alternative</w:t>
      </w:r>
      <w:r w:rsidR="00365B8C">
        <w:rPr>
          <w:rFonts w:ascii="Funnel Sans" w:hAnsi="Funnel Sans"/>
          <w:sz w:val="22"/>
        </w:rPr>
        <w:t>.</w:t>
      </w:r>
    </w:p>
    <w:p w14:paraId="4F8DF933" w14:textId="66124FC3" w:rsidR="000B0E0A" w:rsidRPr="00063F0C" w:rsidRDefault="00AD57EC" w:rsidP="0045211A">
      <w:pPr>
        <w:jc w:val="both"/>
        <w:rPr>
          <w:rFonts w:ascii="Funnel Sans" w:hAnsi="Funnel Sans"/>
          <w:sz w:val="22"/>
        </w:rPr>
      </w:pPr>
      <w:r w:rsidRPr="00063F0C">
        <w:rPr>
          <w:rFonts w:ascii="Funnel Sans" w:hAnsi="Funnel Sans"/>
          <w:b/>
          <w:bCs/>
          <w:sz w:val="22"/>
        </w:rPr>
        <w:t>Leveraging known material</w:t>
      </w:r>
      <w:r w:rsidRPr="00063F0C">
        <w:rPr>
          <w:rFonts w:ascii="Funnel Sans" w:hAnsi="Funnel Sans"/>
          <w:sz w:val="22"/>
        </w:rPr>
        <w:t xml:space="preserve">: </w:t>
      </w:r>
      <w:r w:rsidR="00AF5592" w:rsidRPr="00063F0C">
        <w:rPr>
          <w:rFonts w:ascii="Funnel Sans" w:hAnsi="Funnel Sans"/>
          <w:sz w:val="22"/>
        </w:rPr>
        <w:t>For ACP3 and KLK2, we are leveraging existing chemical matter rather than running de novo screens. For ACP3, prior art on small-molecule inhibitors and known binding interactions support structure-based design and focused library construction for accelerated hit ID. For KLK2, published small peptides as broad kallikrein-family inhibitors give us starting points for KLK2-selective variants. Hit-finding for both programs is expected to take 3–4 months rather than the 9–12+ months of a full de novo campaign; FTO evaluation runs in parallel from day one.</w:t>
      </w:r>
    </w:p>
    <w:p w14:paraId="04DEB88D" w14:textId="0BFC5C86" w:rsidR="00F8569E" w:rsidRDefault="00AD57EC" w:rsidP="00F8569E">
      <w:pPr>
        <w:tabs>
          <w:tab w:val="num" w:pos="720"/>
        </w:tabs>
        <w:spacing w:after="240"/>
        <w:jc w:val="both"/>
        <w:rPr>
          <w:rFonts w:ascii="Funnel Sans" w:hAnsi="Funnel Sans"/>
          <w:sz w:val="22"/>
          <w:szCs w:val="22"/>
        </w:rPr>
      </w:pPr>
      <w:r w:rsidRPr="00063F0C">
        <w:rPr>
          <w:rFonts w:ascii="Funnel Sans" w:hAnsi="Funnel Sans"/>
          <w:b/>
          <w:bCs/>
          <w:sz w:val="22"/>
        </w:rPr>
        <w:t>In licensing</w:t>
      </w:r>
      <w:r w:rsidRPr="00063F0C">
        <w:rPr>
          <w:rFonts w:ascii="Funnel Sans" w:hAnsi="Funnel Sans"/>
          <w:sz w:val="22"/>
        </w:rPr>
        <w:t xml:space="preserve">: </w:t>
      </w:r>
      <w:r w:rsidR="000B0E0A" w:rsidRPr="00063F0C">
        <w:rPr>
          <w:rFonts w:ascii="Funnel Sans" w:hAnsi="Funnel Sans"/>
          <w:sz w:val="22"/>
        </w:rPr>
        <w:t>Interaction with our deep network in the RLT space has hi</w:t>
      </w:r>
      <w:r w:rsidR="00D76919">
        <w:rPr>
          <w:rFonts w:ascii="Funnel Sans" w:hAnsi="Funnel Sans"/>
          <w:sz w:val="22"/>
          <w:szCs w:val="22"/>
        </w:rPr>
        <w:t xml:space="preserve">ghlighted the </w:t>
      </w:r>
      <w:r w:rsidR="000B0E0A" w:rsidRPr="00063F0C">
        <w:rPr>
          <w:rFonts w:ascii="Funnel Sans" w:hAnsi="Funnel Sans"/>
          <w:sz w:val="22"/>
          <w:szCs w:val="22"/>
        </w:rPr>
        <w:t>abundance</w:t>
      </w:r>
      <w:r w:rsidR="00D76919">
        <w:rPr>
          <w:rFonts w:ascii="Funnel Sans" w:hAnsi="Funnel Sans"/>
          <w:sz w:val="22"/>
          <w:szCs w:val="22"/>
        </w:rPr>
        <w:t xml:space="preserve"> of</w:t>
      </w:r>
      <w:r w:rsidR="000B0E0A" w:rsidRPr="00063F0C">
        <w:rPr>
          <w:rFonts w:ascii="Funnel Sans" w:hAnsi="Funnel Sans"/>
          <w:sz w:val="22"/>
          <w:szCs w:val="22"/>
        </w:rPr>
        <w:t xml:space="preserve"> in-license opportunities that could accelerate us to the clinic, and the strategic value in de-prioritizing an internal program in favor of an accelerating BD opportunity. </w:t>
      </w:r>
      <w:r w:rsidR="00F8569E">
        <w:rPr>
          <w:rFonts w:ascii="Funnel Sans" w:hAnsi="Funnel Sans"/>
          <w:sz w:val="22"/>
          <w:szCs w:val="22"/>
        </w:rPr>
        <w:t xml:space="preserve">In the last 3 months, </w:t>
      </w:r>
      <w:r w:rsidR="00F8569E" w:rsidRPr="007E4E81">
        <w:rPr>
          <w:rFonts w:ascii="Funnel Sans" w:hAnsi="Funnel Sans"/>
          <w:sz w:val="22"/>
          <w:szCs w:val="22"/>
        </w:rPr>
        <w:t>we have spoken to dozens</w:t>
      </w:r>
      <w:r w:rsidR="00F8569E">
        <w:rPr>
          <w:rFonts w:ascii="Funnel Sans" w:hAnsi="Funnel Sans"/>
          <w:sz w:val="22"/>
          <w:szCs w:val="22"/>
        </w:rPr>
        <w:t xml:space="preserve"> of potential partners and have engaged on 5+ assets either near clinic ready or with FIH data</w:t>
      </w:r>
      <w:r w:rsidR="00F8569E" w:rsidRPr="00797B41">
        <w:rPr>
          <w:rFonts w:ascii="Funnel Sans" w:hAnsi="Funnel Sans"/>
          <w:sz w:val="22"/>
          <w:szCs w:val="22"/>
        </w:rPr>
        <w:t>, though ultimately these programs did not meet our internal diligence criteria for in-</w:t>
      </w:r>
      <w:r w:rsidR="00F8569E">
        <w:rPr>
          <w:rFonts w:ascii="Funnel Sans" w:hAnsi="Funnel Sans"/>
          <w:sz w:val="22"/>
          <w:szCs w:val="22"/>
        </w:rPr>
        <w:t>licensing. We are still evaluating other proposed programs and we</w:t>
      </w:r>
      <w:r w:rsidR="00F8569E" w:rsidRPr="00797B41">
        <w:rPr>
          <w:rFonts w:ascii="Funnel Sans" w:hAnsi="Funnel Sans"/>
          <w:sz w:val="22"/>
          <w:szCs w:val="22"/>
        </w:rPr>
        <w:t xml:space="preserve"> a</w:t>
      </w:r>
      <w:r w:rsidR="00F8569E">
        <w:rPr>
          <w:rFonts w:ascii="Funnel Sans" w:hAnsi="Funnel Sans"/>
          <w:sz w:val="22"/>
          <w:szCs w:val="22"/>
        </w:rPr>
        <w:t>re confident that continued search &amp; evaluation is likely to unearth a program that meets our target selection criteria, comes with a strong data package &amp; deal economics, and would accelerate Sego toward FIH entry. We are actively continuing outreach to Chinese RLT companies, European &amp; American academic centers &amp; beyond.</w:t>
      </w:r>
    </w:p>
    <w:p w14:paraId="609CC738" w14:textId="77777777" w:rsidR="009268AD" w:rsidRDefault="009268AD" w:rsidP="009268AD">
      <w:pPr>
        <w:tabs>
          <w:tab w:val="num" w:pos="720"/>
        </w:tabs>
        <w:spacing w:after="240"/>
        <w:jc w:val="both"/>
        <w:rPr>
          <w:rFonts w:ascii="Funnel Sans" w:hAnsi="Funnel Sans"/>
          <w:sz w:val="22"/>
          <w:szCs w:val="22"/>
        </w:rPr>
      </w:pPr>
      <w:r>
        <w:rPr>
          <w:rFonts w:ascii="Funnel Sans" w:hAnsi="Funnel Sans"/>
          <w:sz w:val="22"/>
          <w:szCs w:val="22"/>
        </w:rPr>
        <w:t>Given the potential for in-license, we have reviewed our six targets in greater detail. We have deprioritized GCC in order to make room for an in licensed asset. This deprioritization is based on GCC ranking in our internal scoring system.</w:t>
      </w:r>
    </w:p>
    <w:p w14:paraId="79939000" w14:textId="77777777" w:rsidR="009268AD" w:rsidRPr="007D329E" w:rsidRDefault="009268AD" w:rsidP="009268AD">
      <w:pPr>
        <w:tabs>
          <w:tab w:val="num" w:pos="720"/>
        </w:tabs>
        <w:spacing w:after="240"/>
        <w:jc w:val="both"/>
        <w:rPr>
          <w:rFonts w:ascii="Funnel Sans" w:hAnsi="Funnel Sans"/>
          <w:sz w:val="22"/>
          <w:szCs w:val="22"/>
        </w:rPr>
      </w:pPr>
      <w:r>
        <w:rPr>
          <w:rFonts w:ascii="Funnel Sans" w:hAnsi="Funnel Sans"/>
          <w:sz w:val="22"/>
          <w:szCs w:val="22"/>
        </w:rPr>
        <w:t xml:space="preserve">In parallel to our continued outreach, we are leveraging </w:t>
      </w:r>
      <w:r w:rsidRPr="0079054A">
        <w:rPr>
          <w:rFonts w:ascii="Funnel Sans" w:hAnsi="Funnel Sans"/>
          <w:sz w:val="22"/>
          <w:szCs w:val="22"/>
        </w:rPr>
        <w:t xml:space="preserve">our original 40 </w:t>
      </w:r>
      <w:r>
        <w:rPr>
          <w:rFonts w:ascii="Funnel Sans" w:hAnsi="Funnel Sans"/>
          <w:sz w:val="22"/>
          <w:szCs w:val="22"/>
        </w:rPr>
        <w:t xml:space="preserve">evaluated targets, for two reasons: (i) to pre-identify targets we are interested in for S&amp;E efforts, and (ii) to identify a back-up candidate to replace GCC as an internal program, should we not identify an in-licensable program. </w:t>
      </w:r>
      <w:r w:rsidRPr="0079054A">
        <w:rPr>
          <w:rFonts w:ascii="Funnel Sans" w:hAnsi="Funnel Sans"/>
          <w:sz w:val="22"/>
          <w:szCs w:val="22"/>
        </w:rPr>
        <w:t xml:space="preserve">We are focused on deep diligence of a number of additional tight/adherens </w:t>
      </w:r>
      <w:r w:rsidRPr="007D329E">
        <w:rPr>
          <w:rFonts w:ascii="Funnel Sans" w:hAnsi="Funnel Sans"/>
          <w:sz w:val="22"/>
          <w:szCs w:val="22"/>
        </w:rPr>
        <w:t>junction</w:t>
      </w:r>
      <w:r w:rsidRPr="0079054A">
        <w:rPr>
          <w:rFonts w:ascii="Funnel Sans" w:hAnsi="Funnel Sans"/>
          <w:sz w:val="22"/>
          <w:szCs w:val="22"/>
        </w:rPr>
        <w:t xml:space="preserve"> proteins (e.g. claudins, </w:t>
      </w:r>
      <w:r w:rsidRPr="00797B41">
        <w:rPr>
          <w:rFonts w:ascii="Funnel Sans" w:hAnsi="Funnel Sans"/>
          <w:sz w:val="22"/>
          <w:szCs w:val="22"/>
        </w:rPr>
        <w:t>cadherins</w:t>
      </w:r>
      <w:r w:rsidRPr="0079054A">
        <w:rPr>
          <w:rFonts w:ascii="Funnel Sans" w:hAnsi="Funnel Sans"/>
          <w:sz w:val="22"/>
          <w:szCs w:val="22"/>
        </w:rPr>
        <w:t>, or nectins) and apically expressed targets (e.g. mucins), as these best fit our tumor-specific accessibility paradigm for target selection.</w:t>
      </w:r>
    </w:p>
    <w:p w14:paraId="6732D0BF" w14:textId="53D7C611" w:rsidR="00F25F48" w:rsidRDefault="00063F0C" w:rsidP="0045211A">
      <w:pPr>
        <w:jc w:val="both"/>
        <w:rPr>
          <w:rFonts w:ascii="Funnel Sans" w:hAnsi="Funnel Sans"/>
          <w:color w:val="000000"/>
          <w:sz w:val="22"/>
        </w:rPr>
      </w:pPr>
      <w:r w:rsidRPr="00063F0C">
        <w:rPr>
          <w:rFonts w:ascii="Funnel Sans" w:hAnsi="Funnel Sans"/>
          <w:b/>
          <w:bCs/>
          <w:color w:val="000000"/>
          <w:sz w:val="22"/>
        </w:rPr>
        <w:t>De novo screening</w:t>
      </w:r>
      <w:r>
        <w:rPr>
          <w:rFonts w:ascii="Funnel Sans" w:hAnsi="Funnel Sans"/>
          <w:color w:val="000000"/>
          <w:sz w:val="22"/>
        </w:rPr>
        <w:t xml:space="preserve">: </w:t>
      </w:r>
      <w:r w:rsidR="00654333" w:rsidRPr="00654333">
        <w:rPr>
          <w:rFonts w:ascii="Funnel Sans" w:hAnsi="Funnel Sans"/>
          <w:color w:val="000000"/>
          <w:sz w:val="22"/>
        </w:rPr>
        <w:t xml:space="preserve">For the remaining </w:t>
      </w:r>
      <w:r w:rsidR="00860277">
        <w:rPr>
          <w:rFonts w:ascii="Funnel Sans" w:hAnsi="Funnel Sans"/>
          <w:color w:val="000000"/>
          <w:sz w:val="22"/>
        </w:rPr>
        <w:t>three</w:t>
      </w:r>
      <w:r w:rsidR="00654333" w:rsidRPr="00654333">
        <w:rPr>
          <w:rFonts w:ascii="Funnel Sans" w:hAnsi="Funnel Sans"/>
          <w:color w:val="000000"/>
          <w:sz w:val="22"/>
        </w:rPr>
        <w:t xml:space="preserve"> targets (CLDN1, MUC1-C, CEACAM5), the biology is strong — these are high-conviction targets selected on the same RLT-bespoke criteria as ACP3 </w:t>
      </w:r>
      <w:r w:rsidR="00654333" w:rsidRPr="00654333">
        <w:rPr>
          <w:rFonts w:ascii="Funnel Sans" w:hAnsi="Funnel Sans"/>
          <w:color w:val="000000"/>
          <w:sz w:val="22"/>
        </w:rPr>
        <w:lastRenderedPageBreak/>
        <w:t xml:space="preserve">and KLK2. </w:t>
      </w:r>
      <w:r w:rsidR="00860277">
        <w:rPr>
          <w:rFonts w:ascii="Funnel Sans" w:hAnsi="Funnel Sans"/>
          <w:color w:val="000000"/>
          <w:sz w:val="22"/>
        </w:rPr>
        <w:t>However, e</w:t>
      </w:r>
      <w:r w:rsidR="00654333" w:rsidRPr="00654333">
        <w:rPr>
          <w:rFonts w:ascii="Funnel Sans" w:hAnsi="Funnel Sans"/>
          <w:color w:val="000000"/>
          <w:sz w:val="22"/>
        </w:rPr>
        <w:t xml:space="preserve">xisting chemical matter does not meet our </w:t>
      </w:r>
      <w:r w:rsidR="00B75D44">
        <w:rPr>
          <w:rFonts w:ascii="Funnel Sans" w:hAnsi="Funnel Sans"/>
          <w:color w:val="000000"/>
          <w:sz w:val="22"/>
        </w:rPr>
        <w:t xml:space="preserve">preferred </w:t>
      </w:r>
      <w:r w:rsidR="00654333" w:rsidRPr="00654333">
        <w:rPr>
          <w:rFonts w:ascii="Funnel Sans" w:hAnsi="Funnel Sans"/>
          <w:color w:val="000000"/>
          <w:sz w:val="22"/>
        </w:rPr>
        <w:t>format</w:t>
      </w:r>
      <w:r w:rsidR="00860277">
        <w:rPr>
          <w:rFonts w:ascii="Funnel Sans" w:hAnsi="Funnel Sans"/>
          <w:color w:val="000000"/>
          <w:sz w:val="22"/>
        </w:rPr>
        <w:t xml:space="preserve"> </w:t>
      </w:r>
      <w:r w:rsidR="00B75D44" w:rsidRPr="00B75D44">
        <w:rPr>
          <w:rFonts w:ascii="Funnel Sans" w:hAnsi="Funnel Sans"/>
          <w:color w:val="000000"/>
          <w:sz w:val="22"/>
        </w:rPr>
        <w:t>requirement</w:t>
      </w:r>
      <w:r w:rsidR="00860277">
        <w:rPr>
          <w:rFonts w:ascii="Funnel Sans" w:hAnsi="Funnel Sans"/>
          <w:color w:val="000000"/>
          <w:sz w:val="22"/>
        </w:rPr>
        <w:t>s</w:t>
      </w:r>
      <w:r w:rsidR="007D0E6C">
        <w:rPr>
          <w:rFonts w:ascii="Funnel Sans" w:hAnsi="Funnel Sans"/>
          <w:color w:val="000000"/>
          <w:sz w:val="22"/>
        </w:rPr>
        <w:t xml:space="preserve">, specifically cyclic peptide or small molecule. </w:t>
      </w:r>
      <w:r w:rsidR="00694585">
        <w:rPr>
          <w:rFonts w:ascii="Funnel Sans" w:hAnsi="Funnel Sans"/>
          <w:color w:val="000000"/>
          <w:sz w:val="22"/>
        </w:rPr>
        <w:t xml:space="preserve">For </w:t>
      </w:r>
      <w:r w:rsidR="00C52147">
        <w:rPr>
          <w:rFonts w:ascii="Funnel Sans" w:hAnsi="Funnel Sans"/>
          <w:color w:val="000000"/>
          <w:sz w:val="22"/>
        </w:rPr>
        <w:t xml:space="preserve">both CLDN1 and MUC1-C, </w:t>
      </w:r>
      <w:r w:rsidR="00006E26">
        <w:rPr>
          <w:rFonts w:ascii="Funnel Sans" w:hAnsi="Funnel Sans"/>
          <w:color w:val="000000"/>
          <w:sz w:val="22"/>
        </w:rPr>
        <w:t xml:space="preserve">we plan to </w:t>
      </w:r>
      <w:r w:rsidR="00637EFF">
        <w:rPr>
          <w:rFonts w:ascii="Funnel Sans" w:hAnsi="Funnel Sans"/>
          <w:color w:val="000000"/>
          <w:sz w:val="22"/>
        </w:rPr>
        <w:t>leverage</w:t>
      </w:r>
      <w:r w:rsidR="00C52147">
        <w:rPr>
          <w:rFonts w:ascii="Funnel Sans" w:hAnsi="Funnel Sans"/>
          <w:color w:val="000000"/>
          <w:sz w:val="22"/>
        </w:rPr>
        <w:t xml:space="preserve"> </w:t>
      </w:r>
      <w:r w:rsidR="002B2DB3">
        <w:rPr>
          <w:rFonts w:ascii="Funnel Sans" w:hAnsi="Funnel Sans"/>
          <w:color w:val="000000"/>
          <w:sz w:val="22"/>
        </w:rPr>
        <w:t xml:space="preserve">naturally occurring </w:t>
      </w:r>
      <w:r w:rsidR="00C52147">
        <w:rPr>
          <w:rFonts w:ascii="Funnel Sans" w:hAnsi="Funnel Sans"/>
          <w:color w:val="000000"/>
          <w:sz w:val="22"/>
        </w:rPr>
        <w:t xml:space="preserve">homo- </w:t>
      </w:r>
      <w:r w:rsidR="00637EFF" w:rsidRPr="00637EFF">
        <w:rPr>
          <w:rFonts w:ascii="Funnel Sans" w:hAnsi="Funnel Sans"/>
          <w:color w:val="000000"/>
          <w:sz w:val="22"/>
        </w:rPr>
        <w:t>and</w:t>
      </w:r>
      <w:r w:rsidR="00C52147">
        <w:rPr>
          <w:rFonts w:ascii="Funnel Sans" w:hAnsi="Funnel Sans"/>
          <w:color w:val="000000"/>
          <w:sz w:val="22"/>
        </w:rPr>
        <w:t xml:space="preserve"> hetero-typic interactions</w:t>
      </w:r>
      <w:r w:rsidR="00006E26">
        <w:rPr>
          <w:rFonts w:ascii="Funnel Sans" w:hAnsi="Funnel Sans"/>
          <w:color w:val="000000"/>
          <w:sz w:val="22"/>
        </w:rPr>
        <w:t>, respectively,</w:t>
      </w:r>
      <w:r w:rsidR="00C52147">
        <w:rPr>
          <w:rFonts w:ascii="Funnel Sans" w:hAnsi="Funnel Sans"/>
          <w:color w:val="000000"/>
          <w:sz w:val="22"/>
        </w:rPr>
        <w:t xml:space="preserve"> to </w:t>
      </w:r>
      <w:r w:rsidR="00945015">
        <w:rPr>
          <w:rFonts w:ascii="Funnel Sans" w:hAnsi="Funnel Sans"/>
          <w:color w:val="000000"/>
          <w:sz w:val="22"/>
        </w:rPr>
        <w:t xml:space="preserve">derive </w:t>
      </w:r>
      <w:r w:rsidR="00006E26">
        <w:rPr>
          <w:rFonts w:ascii="Funnel Sans" w:hAnsi="Funnel Sans"/>
          <w:color w:val="000000"/>
          <w:sz w:val="22"/>
        </w:rPr>
        <w:t xml:space="preserve">cyclic peptide </w:t>
      </w:r>
      <w:r w:rsidR="00945015">
        <w:rPr>
          <w:rFonts w:ascii="Funnel Sans" w:hAnsi="Funnel Sans"/>
          <w:color w:val="000000"/>
          <w:sz w:val="22"/>
        </w:rPr>
        <w:t>star</w:t>
      </w:r>
      <w:r w:rsidR="001E3E52">
        <w:rPr>
          <w:rFonts w:ascii="Funnel Sans" w:hAnsi="Funnel Sans"/>
          <w:color w:val="000000"/>
          <w:sz w:val="22"/>
        </w:rPr>
        <w:t xml:space="preserve">ting points </w:t>
      </w:r>
      <w:r w:rsidR="00637EFF" w:rsidRPr="00637EFF">
        <w:rPr>
          <w:rFonts w:ascii="Funnel Sans" w:hAnsi="Funnel Sans"/>
          <w:color w:val="000000"/>
          <w:sz w:val="22"/>
        </w:rPr>
        <w:t>and advance them rapidly through</w:t>
      </w:r>
      <w:r w:rsidR="001E3E52">
        <w:rPr>
          <w:rFonts w:ascii="Funnel Sans" w:hAnsi="Funnel Sans"/>
          <w:color w:val="000000"/>
          <w:sz w:val="22"/>
        </w:rPr>
        <w:t xml:space="preserve"> medicinal chemistry</w:t>
      </w:r>
      <w:r w:rsidR="00886D95">
        <w:rPr>
          <w:rFonts w:ascii="Funnel Sans" w:hAnsi="Funnel Sans"/>
          <w:color w:val="000000"/>
          <w:sz w:val="22"/>
        </w:rPr>
        <w:t xml:space="preserve">. </w:t>
      </w:r>
      <w:r w:rsidR="00654333" w:rsidRPr="00654333">
        <w:rPr>
          <w:rFonts w:ascii="Funnel Sans" w:hAnsi="Funnel Sans"/>
          <w:color w:val="000000"/>
          <w:sz w:val="22"/>
        </w:rPr>
        <w:t xml:space="preserve">De novo discovery </w:t>
      </w:r>
      <w:r w:rsidR="00566BE3">
        <w:rPr>
          <w:rFonts w:ascii="Funnel Sans" w:hAnsi="Funnel Sans"/>
          <w:color w:val="000000"/>
          <w:sz w:val="22"/>
        </w:rPr>
        <w:t xml:space="preserve">will </w:t>
      </w:r>
      <w:r w:rsidR="002B2DB3">
        <w:rPr>
          <w:rFonts w:ascii="Funnel Sans" w:hAnsi="Funnel Sans"/>
          <w:color w:val="000000"/>
          <w:sz w:val="22"/>
        </w:rPr>
        <w:t>complement these efforts across</w:t>
      </w:r>
      <w:r w:rsidR="00566BE3">
        <w:rPr>
          <w:rFonts w:ascii="Funnel Sans" w:hAnsi="Funnel Sans"/>
          <w:color w:val="000000"/>
          <w:sz w:val="22"/>
        </w:rPr>
        <w:t xml:space="preserve"> all three programs. </w:t>
      </w:r>
    </w:p>
    <w:p w14:paraId="1D094AAC" w14:textId="60060E0D" w:rsidR="00990EFC" w:rsidRPr="002A7BB8" w:rsidRDefault="002A7BB8" w:rsidP="0045211A">
      <w:pPr>
        <w:tabs>
          <w:tab w:val="num" w:pos="720"/>
        </w:tabs>
        <w:jc w:val="both"/>
        <w:rPr>
          <w:rFonts w:ascii="Funnel Sans" w:hAnsi="Funnel Sans"/>
          <w:b/>
          <w:bCs/>
          <w:color w:val="156082" w:themeColor="accent1"/>
          <w:sz w:val="22"/>
          <w:szCs w:val="22"/>
        </w:rPr>
      </w:pPr>
      <w:r>
        <w:rPr>
          <w:rFonts w:ascii="Funnel Sans" w:hAnsi="Funnel Sans"/>
          <w:b/>
          <w:bCs/>
          <w:color w:val="156082" w:themeColor="accent1"/>
          <w:sz w:val="22"/>
          <w:szCs w:val="22"/>
        </w:rPr>
        <w:t>Additional Questions</w:t>
      </w:r>
    </w:p>
    <w:p w14:paraId="4D8C535E" w14:textId="77777777" w:rsidR="00075789" w:rsidRDefault="003659D2" w:rsidP="0045211A">
      <w:pPr>
        <w:jc w:val="both"/>
        <w:rPr>
          <w:rFonts w:ascii="Funnel Sans" w:hAnsi="Funnel Sans"/>
          <w:color w:val="156082"/>
          <w:sz w:val="22"/>
        </w:rPr>
      </w:pPr>
      <w:commentRangeStart w:id="9"/>
      <w:commentRangeStart w:id="10"/>
      <w:commentRangeStart w:id="11"/>
      <w:r w:rsidRPr="003659D2">
        <w:rPr>
          <w:rFonts w:ascii="Funnel Sans" w:hAnsi="Funnel Sans"/>
          <w:color w:val="156082"/>
          <w:sz w:val="22"/>
        </w:rPr>
        <w:t>Can you outline how you plan to run your Ph0 studies such that they most accurately predict biodistribution, toxicity, and efficacy of the final therapeutic isotope?</w:t>
      </w:r>
      <w:commentRangeEnd w:id="9"/>
      <w:r w:rsidR="00B054F6">
        <w:rPr>
          <w:rStyle w:val="CommentReference"/>
          <w:rFonts w:ascii="Funnel Sans" w:hAnsi="Funnel Sans"/>
          <w:color w:val="156082"/>
          <w:sz w:val="22"/>
          <w:szCs w:val="24"/>
        </w:rPr>
        <w:commentReference w:id="9"/>
      </w:r>
      <w:commentRangeEnd w:id="10"/>
      <w:r w:rsidR="00FC25BF">
        <w:rPr>
          <w:rStyle w:val="CommentReference"/>
          <w:rFonts w:ascii="Funnel Sans" w:hAnsi="Funnel Sans"/>
          <w:color w:val="156082"/>
          <w:sz w:val="22"/>
          <w:szCs w:val="24"/>
        </w:rPr>
        <w:commentReference w:id="10"/>
      </w:r>
      <w:commentRangeEnd w:id="11"/>
      <w:r w:rsidR="004C1162">
        <w:rPr>
          <w:rStyle w:val="CommentReference"/>
          <w:rFonts w:ascii="Funnel Sans" w:hAnsi="Funnel Sans"/>
          <w:color w:val="156082"/>
          <w:sz w:val="22"/>
          <w:szCs w:val="24"/>
        </w:rPr>
        <w:commentReference w:id="11"/>
      </w:r>
    </w:p>
    <w:p w14:paraId="405723BD" w14:textId="7EDF3B76" w:rsidR="00814442" w:rsidRDefault="007B5D03" w:rsidP="0045211A">
      <w:pPr>
        <w:jc w:val="both"/>
        <w:rPr>
          <w:rFonts w:ascii="Funnel Sans" w:eastAsia="Times New Roman" w:hAnsi="Funnel Sans" w:cs="Times New Roman"/>
          <w:kern w:val="0"/>
          <w:sz w:val="22"/>
          <w:szCs w:val="22"/>
          <w:lang w:eastAsia="en-GB"/>
          <w14:ligatures w14:val="none"/>
        </w:rPr>
      </w:pPr>
      <w:r w:rsidRPr="008E59B9">
        <w:rPr>
          <w:rFonts w:ascii="Funnel Sans" w:eastAsia="Times New Roman" w:hAnsi="Funnel Sans" w:cs="Times New Roman"/>
          <w:kern w:val="0"/>
          <w:sz w:val="22"/>
          <w:szCs w:val="22"/>
          <w:lang w:eastAsia="en-GB"/>
          <w14:ligatures w14:val="none"/>
        </w:rPr>
        <w:t>Our Ph</w:t>
      </w:r>
      <w:r w:rsidR="00D2749D">
        <w:rPr>
          <w:rFonts w:ascii="Funnel Sans" w:eastAsia="Times New Roman" w:hAnsi="Funnel Sans" w:cs="Times New Roman"/>
          <w:kern w:val="0"/>
          <w:sz w:val="22"/>
          <w:szCs w:val="22"/>
          <w:lang w:eastAsia="en-GB"/>
          <w14:ligatures w14:val="none"/>
        </w:rPr>
        <w:t xml:space="preserve"> </w:t>
      </w:r>
      <w:r w:rsidRPr="008E59B9">
        <w:rPr>
          <w:rFonts w:ascii="Funnel Sans" w:eastAsia="Times New Roman" w:hAnsi="Funnel Sans" w:cs="Times New Roman"/>
          <w:kern w:val="0"/>
          <w:sz w:val="22"/>
          <w:szCs w:val="22"/>
          <w:lang w:eastAsia="en-GB"/>
          <w14:ligatures w14:val="none"/>
        </w:rPr>
        <w:t xml:space="preserve">0 design is purpose-built to generate the most accurate prediction of biodistribution, toxicity, and efficacy of the final therapeutic isotope by combining (1) a two-cohort </w:t>
      </w:r>
      <w:r w:rsidRPr="00A8438C">
        <w:rPr>
          <w:rFonts w:ascii="Funnel Sans" w:eastAsia="Times New Roman" w:hAnsi="Funnel Sans" w:cs="Times New Roman"/>
          <w:kern w:val="0"/>
          <w:sz w:val="22"/>
          <w:szCs w:val="22"/>
          <w:lang w:eastAsia="en-GB"/>
          <w14:ligatures w14:val="none"/>
        </w:rPr>
        <w:t xml:space="preserve">Ph0 study that performs quantitative dosimetry with </w:t>
      </w:r>
      <w:r w:rsidR="00750833" w:rsidRPr="00CC199E">
        <w:rPr>
          <w:rFonts w:ascii="Funnel Sans" w:eastAsia="Times New Roman" w:hAnsi="Funnel Sans" w:cs="Times New Roman"/>
          <w:kern w:val="0"/>
          <w:sz w:val="22"/>
          <w:szCs w:val="22"/>
          <w:vertAlign w:val="superscript"/>
          <w:lang w:eastAsia="en-GB"/>
          <w14:ligatures w14:val="none"/>
        </w:rPr>
        <w:t>177</w:t>
      </w:r>
      <w:r w:rsidR="00750833" w:rsidRPr="00DA6D44">
        <w:rPr>
          <w:rFonts w:ascii="Funnel Sans" w:eastAsia="Times New Roman" w:hAnsi="Funnel Sans" w:cs="Times New Roman"/>
          <w:kern w:val="0"/>
          <w:sz w:val="22"/>
          <w:szCs w:val="22"/>
          <w:lang w:eastAsia="en-GB"/>
          <w14:ligatures w14:val="none"/>
        </w:rPr>
        <w:t>Lu</w:t>
      </w:r>
      <w:r w:rsidRPr="00A8438C">
        <w:rPr>
          <w:rFonts w:ascii="Funnel Sans" w:eastAsia="Times New Roman" w:hAnsi="Funnel Sans" w:cs="Times New Roman"/>
          <w:kern w:val="0"/>
          <w:sz w:val="22"/>
          <w:szCs w:val="22"/>
          <w:lang w:eastAsia="en-GB"/>
          <w14:ligatures w14:val="none"/>
        </w:rPr>
        <w:t xml:space="preserve"> as the imaging, (2) a rigorously calibrated quantitative SPECT workflo</w:t>
      </w:r>
      <w:r w:rsidRPr="008E59B9">
        <w:rPr>
          <w:rFonts w:ascii="Funnel Sans" w:eastAsia="Times New Roman" w:hAnsi="Funnel Sans" w:cs="Times New Roman"/>
          <w:kern w:val="0"/>
          <w:sz w:val="22"/>
          <w:szCs w:val="22"/>
          <w:lang w:eastAsia="en-GB"/>
          <w14:ligatures w14:val="none"/>
        </w:rPr>
        <w:t>w</w:t>
      </w:r>
      <w:r w:rsidR="007E2355">
        <w:rPr>
          <w:rFonts w:ascii="Funnel Sans" w:eastAsia="Times New Roman" w:hAnsi="Funnel Sans" w:cs="Times New Roman"/>
          <w:kern w:val="0"/>
          <w:sz w:val="22"/>
          <w:szCs w:val="22"/>
          <w:lang w:eastAsia="en-GB"/>
          <w14:ligatures w14:val="none"/>
        </w:rPr>
        <w:t xml:space="preserve"> for more accurate data collection</w:t>
      </w:r>
      <w:r w:rsidRPr="008E59B9">
        <w:rPr>
          <w:rFonts w:ascii="Funnel Sans" w:eastAsia="Times New Roman" w:hAnsi="Funnel Sans" w:cs="Times New Roman"/>
          <w:kern w:val="0"/>
          <w:sz w:val="22"/>
          <w:szCs w:val="22"/>
          <w:lang w:eastAsia="en-GB"/>
          <w14:ligatures w14:val="none"/>
        </w:rPr>
        <w:t xml:space="preserve">, and (3) </w:t>
      </w:r>
      <w:r w:rsidR="008E5C99" w:rsidRPr="008E59B9">
        <w:rPr>
          <w:rFonts w:ascii="Funnel Sans" w:eastAsia="Times New Roman" w:hAnsi="Funnel Sans" w:cs="Times New Roman"/>
          <w:kern w:val="0"/>
          <w:sz w:val="22"/>
          <w:szCs w:val="22"/>
          <w:lang w:eastAsia="en-GB"/>
          <w14:ligatures w14:val="none"/>
        </w:rPr>
        <w:t xml:space="preserve">validated </w:t>
      </w:r>
      <w:r w:rsidR="00C91C6C" w:rsidRPr="008E59B9">
        <w:rPr>
          <w:rFonts w:ascii="Funnel Sans" w:eastAsia="Times New Roman" w:hAnsi="Funnel Sans" w:cs="Times New Roman"/>
          <w:kern w:val="0"/>
          <w:sz w:val="22"/>
          <w:szCs w:val="22"/>
          <w:lang w:eastAsia="en-GB"/>
          <w14:ligatures w14:val="none"/>
        </w:rPr>
        <w:t xml:space="preserve">dosimetry </w:t>
      </w:r>
      <w:r w:rsidR="008E5C99" w:rsidRPr="008E59B9">
        <w:rPr>
          <w:rFonts w:ascii="Funnel Sans" w:eastAsia="Times New Roman" w:hAnsi="Funnel Sans" w:cs="Times New Roman"/>
          <w:kern w:val="0"/>
          <w:sz w:val="22"/>
          <w:szCs w:val="22"/>
          <w:lang w:eastAsia="en-GB"/>
          <w14:ligatures w14:val="none"/>
        </w:rPr>
        <w:t>modelling</w:t>
      </w:r>
      <w:r w:rsidR="002B1937">
        <w:rPr>
          <w:rFonts w:ascii="Funnel Sans" w:eastAsia="Times New Roman" w:hAnsi="Funnel Sans" w:cs="Times New Roman"/>
          <w:kern w:val="0"/>
          <w:sz w:val="22"/>
          <w:szCs w:val="22"/>
          <w:lang w:eastAsia="en-GB"/>
          <w14:ligatures w14:val="none"/>
        </w:rPr>
        <w:t xml:space="preserve"> approach</w:t>
      </w:r>
      <w:r w:rsidR="008E5C99" w:rsidRPr="008E59B9">
        <w:rPr>
          <w:rFonts w:ascii="Funnel Sans" w:eastAsia="Times New Roman" w:hAnsi="Funnel Sans" w:cs="Times New Roman"/>
          <w:kern w:val="0"/>
          <w:sz w:val="22"/>
          <w:szCs w:val="22"/>
          <w:lang w:eastAsia="en-GB"/>
          <w14:ligatures w14:val="none"/>
        </w:rPr>
        <w:t xml:space="preserve"> </w:t>
      </w:r>
      <w:r w:rsidRPr="008E59B9">
        <w:rPr>
          <w:rFonts w:ascii="Funnel Sans" w:eastAsia="Times New Roman" w:hAnsi="Funnel Sans" w:cs="Times New Roman"/>
          <w:kern w:val="0"/>
          <w:sz w:val="22"/>
          <w:szCs w:val="22"/>
          <w:lang w:eastAsia="en-GB"/>
          <w14:ligatures w14:val="none"/>
        </w:rPr>
        <w:t xml:space="preserve">that translates </w:t>
      </w:r>
      <w:r w:rsidR="00750833" w:rsidRPr="00750833">
        <w:rPr>
          <w:rFonts w:ascii="Funnel Sans" w:eastAsia="Times New Roman" w:hAnsi="Funnel Sans" w:cs="Times New Roman"/>
          <w:kern w:val="0"/>
          <w:sz w:val="22"/>
          <w:szCs w:val="22"/>
          <w:vertAlign w:val="superscript"/>
          <w:lang w:eastAsia="en-GB"/>
          <w14:ligatures w14:val="none"/>
        </w:rPr>
        <w:t>177</w:t>
      </w:r>
      <w:r w:rsidR="00750833" w:rsidRPr="00DA6D44">
        <w:rPr>
          <w:rFonts w:ascii="Funnel Sans" w:eastAsia="Times New Roman" w:hAnsi="Funnel Sans" w:cs="Times New Roman"/>
          <w:kern w:val="0"/>
          <w:sz w:val="22"/>
          <w:szCs w:val="22"/>
          <w:lang w:eastAsia="en-GB"/>
          <w14:ligatures w14:val="none"/>
        </w:rPr>
        <w:t>Lu</w:t>
      </w:r>
      <w:r w:rsidR="00917DC9">
        <w:rPr>
          <w:rFonts w:ascii="Funnel Sans" w:eastAsia="Times New Roman" w:hAnsi="Funnel Sans" w:cs="Times New Roman"/>
          <w:kern w:val="0"/>
          <w:sz w:val="22"/>
          <w:szCs w:val="22"/>
          <w:lang w:eastAsia="en-GB"/>
          <w14:ligatures w14:val="none"/>
        </w:rPr>
        <w:t xml:space="preserve"> </w:t>
      </w:r>
      <w:r w:rsidRPr="008E59B9">
        <w:rPr>
          <w:rFonts w:ascii="Funnel Sans" w:eastAsia="Times New Roman" w:hAnsi="Funnel Sans" w:cs="Times New Roman"/>
          <w:kern w:val="0"/>
          <w:sz w:val="22"/>
          <w:szCs w:val="22"/>
          <w:lang w:eastAsia="en-GB"/>
          <w14:ligatures w14:val="none"/>
        </w:rPr>
        <w:t xml:space="preserve">Ph0 dosimetry into a Ph1 </w:t>
      </w:r>
      <w:r w:rsidR="008E5C99" w:rsidRPr="008E59B9">
        <w:rPr>
          <w:rFonts w:ascii="Funnel Sans" w:eastAsia="Times New Roman" w:hAnsi="Funnel Sans" w:cs="Times New Roman"/>
          <w:kern w:val="0"/>
          <w:sz w:val="22"/>
          <w:szCs w:val="22"/>
          <w:lang w:eastAsia="en-GB"/>
          <w14:ligatures w14:val="none"/>
        </w:rPr>
        <w:t xml:space="preserve">more relevant </w:t>
      </w:r>
      <w:r w:rsidRPr="008E59B9">
        <w:rPr>
          <w:rFonts w:ascii="Funnel Sans" w:eastAsia="Times New Roman" w:hAnsi="Funnel Sans" w:cs="Times New Roman"/>
          <w:kern w:val="0"/>
          <w:sz w:val="22"/>
          <w:szCs w:val="22"/>
          <w:lang w:eastAsia="en-GB"/>
          <w14:ligatures w14:val="none"/>
        </w:rPr>
        <w:t>starting dose and escalation plan</w:t>
      </w:r>
      <w:r w:rsidR="00917DC9">
        <w:rPr>
          <w:rFonts w:ascii="Funnel Sans" w:eastAsia="Times New Roman" w:hAnsi="Funnel Sans" w:cs="Times New Roman"/>
          <w:kern w:val="0"/>
          <w:sz w:val="22"/>
          <w:szCs w:val="22"/>
          <w:lang w:eastAsia="en-GB"/>
          <w14:ligatures w14:val="none"/>
        </w:rPr>
        <w:t xml:space="preserve"> for </w:t>
      </w:r>
      <w:r w:rsidR="00750833" w:rsidRPr="00750833">
        <w:rPr>
          <w:rFonts w:ascii="Funnel Sans" w:eastAsia="Times New Roman" w:hAnsi="Funnel Sans" w:cs="Times New Roman"/>
          <w:kern w:val="0"/>
          <w:sz w:val="22"/>
          <w:szCs w:val="22"/>
          <w:vertAlign w:val="superscript"/>
          <w:lang w:eastAsia="en-GB"/>
          <w14:ligatures w14:val="none"/>
        </w:rPr>
        <w:t>225</w:t>
      </w:r>
      <w:r w:rsidR="00750833" w:rsidRPr="00DA6D44">
        <w:rPr>
          <w:rFonts w:ascii="Funnel Sans" w:eastAsia="Times New Roman" w:hAnsi="Funnel Sans" w:cs="Times New Roman"/>
          <w:kern w:val="0"/>
          <w:sz w:val="22"/>
          <w:szCs w:val="22"/>
          <w:lang w:eastAsia="en-GB"/>
          <w14:ligatures w14:val="none"/>
        </w:rPr>
        <w:t>Ac</w:t>
      </w:r>
      <w:r w:rsidRPr="008E59B9">
        <w:rPr>
          <w:rFonts w:ascii="Funnel Sans" w:eastAsia="Times New Roman" w:hAnsi="Funnel Sans" w:cs="Times New Roman"/>
          <w:kern w:val="0"/>
          <w:sz w:val="22"/>
          <w:szCs w:val="22"/>
          <w:lang w:eastAsia="en-GB"/>
          <w14:ligatures w14:val="none"/>
        </w:rPr>
        <w:t>.</w:t>
      </w:r>
    </w:p>
    <w:p w14:paraId="5DF8E50D" w14:textId="41734898" w:rsidR="00075789" w:rsidRPr="00814442" w:rsidRDefault="00EF5E46" w:rsidP="0045211A">
      <w:pPr>
        <w:pStyle w:val="ListParagraph"/>
        <w:numPr>
          <w:ilvl w:val="0"/>
          <w:numId w:val="64"/>
        </w:numPr>
        <w:tabs>
          <w:tab w:val="left" w:pos="360"/>
        </w:tabs>
        <w:ind w:left="360"/>
        <w:jc w:val="both"/>
        <w:rPr>
          <w:rFonts w:ascii="Funnel Sans" w:eastAsia="Times New Roman" w:hAnsi="Funnel Sans" w:cs="Times New Roman"/>
          <w:b/>
          <w:bCs/>
          <w:kern w:val="0"/>
          <w:sz w:val="22"/>
          <w:szCs w:val="22"/>
          <w:lang w:eastAsia="en-GB"/>
          <w14:ligatures w14:val="none"/>
        </w:rPr>
      </w:pPr>
      <w:r w:rsidRPr="00814442">
        <w:rPr>
          <w:rFonts w:ascii="Funnel Sans" w:eastAsia="Times New Roman" w:hAnsi="Funnel Sans" w:cs="Times New Roman"/>
          <w:b/>
          <w:bCs/>
          <w:kern w:val="0"/>
          <w:sz w:val="22"/>
          <w:szCs w:val="22"/>
          <w:lang w:eastAsia="en-GB"/>
          <w14:ligatures w14:val="none"/>
        </w:rPr>
        <w:t xml:space="preserve">Quantitative </w:t>
      </w:r>
      <w:r w:rsidR="00814442" w:rsidRPr="00814442">
        <w:rPr>
          <w:rFonts w:ascii="Funnel Sans" w:eastAsia="Times New Roman" w:hAnsi="Funnel Sans" w:cs="Times New Roman"/>
          <w:b/>
          <w:bCs/>
          <w:kern w:val="0"/>
          <w:sz w:val="22"/>
          <w:szCs w:val="22"/>
          <w:lang w:eastAsia="en-GB"/>
          <w14:ligatures w14:val="none"/>
        </w:rPr>
        <w:t xml:space="preserve">human </w:t>
      </w:r>
      <w:r w:rsidRPr="00814442">
        <w:rPr>
          <w:rFonts w:ascii="Funnel Sans" w:eastAsia="Times New Roman" w:hAnsi="Funnel Sans" w:cs="Times New Roman"/>
          <w:b/>
          <w:bCs/>
          <w:kern w:val="0"/>
          <w:sz w:val="22"/>
          <w:szCs w:val="22"/>
          <w:lang w:eastAsia="en-GB"/>
          <w14:ligatures w14:val="none"/>
        </w:rPr>
        <w:t xml:space="preserve">dosimetry with </w:t>
      </w:r>
      <w:r w:rsidR="00750833" w:rsidRPr="00750833">
        <w:rPr>
          <w:rFonts w:ascii="Funnel Sans" w:eastAsia="Times New Roman" w:hAnsi="Funnel Sans" w:cs="Times New Roman"/>
          <w:b/>
          <w:bCs/>
          <w:kern w:val="0"/>
          <w:sz w:val="22"/>
          <w:szCs w:val="22"/>
          <w:vertAlign w:val="superscript"/>
          <w:lang w:eastAsia="en-GB"/>
          <w14:ligatures w14:val="none"/>
        </w:rPr>
        <w:t>177</w:t>
      </w:r>
      <w:r w:rsidR="00750833" w:rsidRPr="00DA6D44">
        <w:rPr>
          <w:rFonts w:ascii="Funnel Sans" w:eastAsia="Times New Roman" w:hAnsi="Funnel Sans" w:cs="Times New Roman"/>
          <w:b/>
          <w:bCs/>
          <w:kern w:val="0"/>
          <w:sz w:val="22"/>
          <w:szCs w:val="22"/>
          <w:lang w:eastAsia="en-GB"/>
          <w14:ligatures w14:val="none"/>
        </w:rPr>
        <w:t>Lu</w:t>
      </w:r>
      <w:r w:rsidRPr="00814442">
        <w:rPr>
          <w:rFonts w:ascii="Funnel Sans" w:eastAsia="Times New Roman" w:hAnsi="Funnel Sans" w:cs="Times New Roman"/>
          <w:b/>
          <w:bCs/>
          <w:kern w:val="0"/>
          <w:sz w:val="22"/>
          <w:szCs w:val="22"/>
          <w:lang w:eastAsia="en-GB"/>
          <w14:ligatures w14:val="none"/>
        </w:rPr>
        <w:t xml:space="preserve"> in Ph 0</w:t>
      </w:r>
    </w:p>
    <w:p w14:paraId="482B2A05" w14:textId="2AF6ED43" w:rsidR="007B5401" w:rsidRPr="00075789" w:rsidRDefault="00075789" w:rsidP="0045211A">
      <w:pPr>
        <w:jc w:val="both"/>
        <w:rPr>
          <w:rFonts w:ascii="Funnel Sans" w:eastAsia="Times New Roman" w:hAnsi="Funnel Sans" w:cs="Times New Roman"/>
          <w:b/>
          <w:bCs/>
          <w:kern w:val="0"/>
          <w:sz w:val="22"/>
          <w:szCs w:val="22"/>
          <w:lang w:eastAsia="en-GB"/>
          <w14:ligatures w14:val="none"/>
        </w:rPr>
      </w:pPr>
      <w:r>
        <w:rPr>
          <w:noProof/>
        </w:rPr>
        <w:drawing>
          <wp:inline distT="0" distB="0" distL="0" distR="0" wp14:anchorId="34CB54B3" wp14:editId="2A070FC1">
            <wp:extent cx="5943600" cy="3343275"/>
            <wp:effectExtent l="0" t="0" r="0" b="9525"/>
            <wp:docPr id="10982652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642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43275"/>
                    </a:xfrm>
                    <a:prstGeom prst="rect">
                      <a:avLst/>
                    </a:prstGeom>
                  </pic:spPr>
                </pic:pic>
              </a:graphicData>
            </a:graphic>
          </wp:inline>
        </w:drawing>
      </w:r>
    </w:p>
    <w:p w14:paraId="42868CA9" w14:textId="6491050D" w:rsidR="003A349F" w:rsidRPr="00075789" w:rsidRDefault="00814442" w:rsidP="0045211A">
      <w:pPr>
        <w:jc w:val="both"/>
        <w:rPr>
          <w:rFonts w:ascii="Funnel Sans" w:eastAsia="Times New Roman" w:hAnsi="Funnel Sans" w:cs="Times New Roman"/>
          <w:kern w:val="0"/>
          <w:sz w:val="22"/>
          <w:szCs w:val="22"/>
          <w:lang w:eastAsia="en-GB"/>
          <w14:ligatures w14:val="none"/>
        </w:rPr>
      </w:pPr>
      <w:r>
        <w:rPr>
          <w:rFonts w:ascii="Funnel Sans" w:eastAsia="Times New Roman" w:hAnsi="Funnel Sans" w:cs="Times New Roman"/>
          <w:kern w:val="0"/>
          <w:sz w:val="22"/>
          <w:szCs w:val="22"/>
          <w:lang w:eastAsia="en-GB"/>
          <w14:ligatures w14:val="none"/>
        </w:rPr>
        <w:t xml:space="preserve">Above is the Ph 0 design. </w:t>
      </w:r>
      <w:r w:rsidR="003A349F" w:rsidRPr="00075789">
        <w:rPr>
          <w:rFonts w:ascii="Funnel Sans" w:eastAsia="Times New Roman" w:hAnsi="Funnel Sans" w:cs="Times New Roman"/>
          <w:kern w:val="0"/>
          <w:sz w:val="22"/>
          <w:szCs w:val="22"/>
          <w:lang w:eastAsia="en-GB"/>
          <w14:ligatures w14:val="none"/>
        </w:rPr>
        <w:t>The study runs two sequential cohorts: (i) a Candidate Selection Cohort of 3 patients per peptide across 3–5 candidates, evaluated against pre-specified criteria for tumor uptake, retention, organ-at-risk washout, and predicted absorbed dose; (ii) a Candidate Dosimetry Cohort of 6 additional patients per passing candidate to refine dosimetry and select the lead. This operates under FDA's Exploratory IND (</w:t>
      </w:r>
      <w:hyperlink r:id="rId17" w:history="1">
        <w:r w:rsidR="000F79EC">
          <w:rPr>
            <w:rStyle w:val="Hyperlink"/>
            <w:rFonts w:ascii="Funnel Sans" w:eastAsia="Times New Roman" w:hAnsi="Funnel Sans" w:cs="Times New Roman"/>
            <w:kern w:val="0"/>
            <w:sz w:val="22"/>
            <w:szCs w:val="22"/>
            <w:lang w:eastAsia="en-GB"/>
            <w14:ligatures w14:val="none"/>
          </w:rPr>
          <w:t>link</w:t>
        </w:r>
      </w:hyperlink>
      <w:r w:rsidR="003A349F" w:rsidRPr="00075789">
        <w:rPr>
          <w:rFonts w:ascii="Funnel Sans" w:eastAsia="Times New Roman" w:hAnsi="Funnel Sans" w:cs="Times New Roman"/>
          <w:kern w:val="0"/>
          <w:sz w:val="22"/>
          <w:szCs w:val="22"/>
          <w:lang w:eastAsia="en-GB"/>
          <w14:ligatures w14:val="none"/>
        </w:rPr>
        <w:t xml:space="preserve">) and Microdose Radiopharmaceutical </w:t>
      </w:r>
      <w:r w:rsidR="003A349F" w:rsidRPr="00075789">
        <w:rPr>
          <w:rFonts w:ascii="Funnel Sans" w:eastAsia="Times New Roman" w:hAnsi="Funnel Sans" w:cs="Times New Roman"/>
          <w:kern w:val="0"/>
          <w:sz w:val="22"/>
          <w:szCs w:val="22"/>
          <w:lang w:eastAsia="en-GB"/>
          <w14:ligatures w14:val="none"/>
        </w:rPr>
        <w:lastRenderedPageBreak/>
        <w:t>Diagnostic Drugs (</w:t>
      </w:r>
      <w:hyperlink r:id="rId18" w:history="1">
        <w:r w:rsidR="000F79EC">
          <w:rPr>
            <w:rStyle w:val="Hyperlink"/>
            <w:rFonts w:ascii="Funnel Sans" w:eastAsia="Times New Roman" w:hAnsi="Funnel Sans" w:cs="Times New Roman"/>
            <w:kern w:val="0"/>
            <w:sz w:val="22"/>
            <w:szCs w:val="22"/>
            <w:lang w:eastAsia="en-GB"/>
            <w14:ligatures w14:val="none"/>
          </w:rPr>
          <w:t>link</w:t>
        </w:r>
      </w:hyperlink>
      <w:r w:rsidR="003A349F" w:rsidRPr="00075789">
        <w:rPr>
          <w:rFonts w:ascii="Funnel Sans" w:eastAsia="Times New Roman" w:hAnsi="Funnel Sans" w:cs="Times New Roman"/>
          <w:kern w:val="0"/>
          <w:sz w:val="22"/>
          <w:szCs w:val="22"/>
          <w:lang w:eastAsia="en-GB"/>
          <w14:ligatures w14:val="none"/>
        </w:rPr>
        <w:t>) frameworks. Because the cold mass is at microdose levels, the clinically relevant toxicity signal at this stage is radiation, not pharmacologic.</w:t>
      </w:r>
    </w:p>
    <w:p w14:paraId="2188765F" w14:textId="2BEB9B98" w:rsidR="007B5D03" w:rsidRPr="006769F7" w:rsidRDefault="00750833" w:rsidP="0045211A">
      <w:pPr>
        <w:jc w:val="both"/>
        <w:rPr>
          <w:rFonts w:ascii="Funnel Sans" w:eastAsia="Times New Roman" w:hAnsi="Funnel Sans" w:cs="Times New Roman"/>
          <w:kern w:val="0"/>
          <w:sz w:val="22"/>
          <w:szCs w:val="22"/>
          <w:lang w:eastAsia="en-GB"/>
          <w14:ligatures w14:val="none"/>
        </w:rPr>
      </w:pPr>
      <w:r w:rsidRPr="00750833">
        <w:rPr>
          <w:rFonts w:ascii="Funnel Sans" w:eastAsia="Times New Roman" w:hAnsi="Funnel Sans" w:cs="Times New Roman"/>
          <w:kern w:val="0"/>
          <w:sz w:val="22"/>
          <w:szCs w:val="22"/>
          <w:vertAlign w:val="superscript"/>
          <w:lang w:eastAsia="en-GB"/>
          <w14:ligatures w14:val="none"/>
        </w:rPr>
        <w:t>177</w:t>
      </w:r>
      <w:r w:rsidRPr="00DA6D44">
        <w:rPr>
          <w:rFonts w:ascii="Funnel Sans" w:eastAsia="Times New Roman" w:hAnsi="Funnel Sans" w:cs="Times New Roman"/>
          <w:kern w:val="0"/>
          <w:sz w:val="22"/>
          <w:szCs w:val="22"/>
          <w:lang w:eastAsia="en-GB"/>
          <w14:ligatures w14:val="none"/>
        </w:rPr>
        <w:t>Lu</w:t>
      </w:r>
      <w:r w:rsidR="007B5D03" w:rsidRPr="006769F7">
        <w:rPr>
          <w:rFonts w:ascii="Funnel Sans" w:eastAsia="Times New Roman" w:hAnsi="Funnel Sans" w:cs="Times New Roman"/>
          <w:kern w:val="0"/>
          <w:sz w:val="22"/>
          <w:szCs w:val="22"/>
          <w:lang w:eastAsia="en-GB"/>
          <w14:ligatures w14:val="none"/>
        </w:rPr>
        <w:t xml:space="preserve"> is used as the Ph0 imaging isotope because its gamma emissions are well-suited to quantitative SPECT, allowing us to capture the full biodistribution and time-activity curves out to </w:t>
      </w:r>
      <w:r w:rsidR="007B5D03" w:rsidRPr="006769F7">
        <w:rPr>
          <w:rFonts w:ascii="Cambria Math" w:eastAsia="Times New Roman" w:hAnsi="Cambria Math" w:cs="Cambria Math"/>
          <w:kern w:val="0"/>
          <w:sz w:val="22"/>
          <w:szCs w:val="22"/>
          <w:lang w:eastAsia="en-GB"/>
          <w14:ligatures w14:val="none"/>
        </w:rPr>
        <w:t>≥</w:t>
      </w:r>
      <w:r w:rsidR="007B5D03" w:rsidRPr="006769F7">
        <w:rPr>
          <w:rFonts w:ascii="Funnel Sans" w:eastAsia="Times New Roman" w:hAnsi="Funnel Sans" w:cs="Times New Roman"/>
          <w:kern w:val="0"/>
          <w:sz w:val="22"/>
          <w:szCs w:val="22"/>
          <w:lang w:eastAsia="en-GB"/>
          <w14:ligatures w14:val="none"/>
        </w:rPr>
        <w:t>7 days for each organ at risk and for tumor.</w:t>
      </w:r>
      <w:r w:rsidR="001D0A39">
        <w:rPr>
          <w:rFonts w:ascii="Funnel Sans" w:eastAsia="Times New Roman" w:hAnsi="Funnel Sans" w:cs="Times New Roman"/>
          <w:kern w:val="0"/>
          <w:sz w:val="22"/>
          <w:szCs w:val="22"/>
          <w:lang w:eastAsia="en-GB"/>
          <w14:ligatures w14:val="none"/>
        </w:rPr>
        <w:t xml:space="preserve"> </w:t>
      </w:r>
      <w:r w:rsidR="00AD47F3" w:rsidRPr="006769F7">
        <w:rPr>
          <w:rFonts w:ascii="Funnel Sans" w:eastAsia="Times New Roman" w:hAnsi="Funnel Sans" w:cs="Times New Roman"/>
          <w:kern w:val="0"/>
          <w:sz w:val="22"/>
          <w:szCs w:val="22"/>
          <w:lang w:eastAsia="en-GB"/>
          <w14:ligatures w14:val="none"/>
        </w:rPr>
        <w:t xml:space="preserve">Because the targeting vector, not the radiometal, drives pharmacokinetics, the </w:t>
      </w:r>
      <w:r w:rsidRPr="00750833">
        <w:rPr>
          <w:rFonts w:ascii="Funnel Sans" w:eastAsia="Times New Roman" w:hAnsi="Funnel Sans" w:cs="Times New Roman"/>
          <w:kern w:val="0"/>
          <w:sz w:val="22"/>
          <w:szCs w:val="22"/>
          <w:vertAlign w:val="superscript"/>
          <w:lang w:eastAsia="en-GB"/>
          <w14:ligatures w14:val="none"/>
        </w:rPr>
        <w:t>177</w:t>
      </w:r>
      <w:r w:rsidRPr="00DA6D44">
        <w:rPr>
          <w:rFonts w:ascii="Funnel Sans" w:eastAsia="Times New Roman" w:hAnsi="Funnel Sans" w:cs="Times New Roman"/>
          <w:kern w:val="0"/>
          <w:sz w:val="22"/>
          <w:szCs w:val="22"/>
          <w:lang w:eastAsia="en-GB"/>
          <w14:ligatures w14:val="none"/>
        </w:rPr>
        <w:t>Lu</w:t>
      </w:r>
      <w:r w:rsidR="00AD47F3" w:rsidRPr="006769F7">
        <w:rPr>
          <w:rFonts w:ascii="Funnel Sans" w:eastAsia="Times New Roman" w:hAnsi="Funnel Sans" w:cs="Times New Roman"/>
          <w:kern w:val="0"/>
          <w:sz w:val="22"/>
          <w:szCs w:val="22"/>
          <w:lang w:eastAsia="en-GB"/>
          <w14:ligatures w14:val="none"/>
        </w:rPr>
        <w:t xml:space="preserve"> time-activity data accurately represent how the molecule distributes and clears in humans. </w:t>
      </w:r>
      <w:r w:rsidR="00AD47F3">
        <w:rPr>
          <w:rFonts w:ascii="Funnel Sans" w:eastAsia="Times New Roman" w:hAnsi="Funnel Sans" w:cs="Times New Roman"/>
          <w:kern w:val="0"/>
          <w:sz w:val="22"/>
          <w:szCs w:val="22"/>
          <w:lang w:eastAsia="en-GB"/>
          <w14:ligatures w14:val="none"/>
        </w:rPr>
        <w:t xml:space="preserve"> </w:t>
      </w:r>
      <w:r w:rsidR="001D0A39">
        <w:rPr>
          <w:rFonts w:ascii="Funnel Sans" w:eastAsia="Times New Roman" w:hAnsi="Funnel Sans" w:cs="Times New Roman"/>
          <w:kern w:val="0"/>
          <w:sz w:val="22"/>
          <w:szCs w:val="22"/>
          <w:lang w:eastAsia="en-GB"/>
          <w14:ligatures w14:val="none"/>
        </w:rPr>
        <w:t xml:space="preserve">Further, </w:t>
      </w:r>
      <w:r w:rsidRPr="00750833">
        <w:rPr>
          <w:rFonts w:ascii="Funnel Sans" w:eastAsia="Times New Roman" w:hAnsi="Funnel Sans" w:cs="Times New Roman"/>
          <w:kern w:val="0"/>
          <w:sz w:val="22"/>
          <w:szCs w:val="22"/>
          <w:vertAlign w:val="superscript"/>
          <w:lang w:eastAsia="en-GB"/>
          <w14:ligatures w14:val="none"/>
        </w:rPr>
        <w:t>177</w:t>
      </w:r>
      <w:r w:rsidRPr="00DA6D44">
        <w:rPr>
          <w:rFonts w:ascii="Funnel Sans" w:eastAsia="Times New Roman" w:hAnsi="Funnel Sans" w:cs="Times New Roman"/>
          <w:kern w:val="0"/>
          <w:sz w:val="22"/>
          <w:szCs w:val="22"/>
          <w:lang w:eastAsia="en-GB"/>
          <w14:ligatures w14:val="none"/>
        </w:rPr>
        <w:t>Lu</w:t>
      </w:r>
      <w:r w:rsidR="00897229" w:rsidRPr="006769F7">
        <w:rPr>
          <w:rFonts w:ascii="Funnel Sans" w:eastAsia="Times New Roman" w:hAnsi="Funnel Sans" w:cs="Times New Roman"/>
          <w:kern w:val="0"/>
          <w:sz w:val="22"/>
          <w:szCs w:val="22"/>
          <w:lang w:eastAsia="en-GB"/>
          <w14:ligatures w14:val="none"/>
        </w:rPr>
        <w:t xml:space="preserve"> is also used </w:t>
      </w:r>
      <w:r w:rsidR="001D0A39">
        <w:rPr>
          <w:rFonts w:ascii="Funnel Sans" w:eastAsia="Times New Roman" w:hAnsi="Funnel Sans" w:cs="Times New Roman"/>
          <w:kern w:val="0"/>
          <w:sz w:val="22"/>
          <w:szCs w:val="22"/>
          <w:lang w:eastAsia="en-GB"/>
          <w14:ligatures w14:val="none"/>
        </w:rPr>
        <w:t xml:space="preserve">easily </w:t>
      </w:r>
      <w:r w:rsidR="00897229" w:rsidRPr="006769F7">
        <w:rPr>
          <w:rFonts w:ascii="Funnel Sans" w:eastAsia="Times New Roman" w:hAnsi="Funnel Sans" w:cs="Times New Roman"/>
          <w:kern w:val="0"/>
          <w:sz w:val="22"/>
          <w:szCs w:val="22"/>
          <w:lang w:eastAsia="en-GB"/>
          <w14:ligatures w14:val="none"/>
        </w:rPr>
        <w:t xml:space="preserve">because </w:t>
      </w:r>
      <w:r w:rsidR="00EC2D5C" w:rsidRPr="006769F7">
        <w:rPr>
          <w:rFonts w:ascii="Funnel Sans" w:eastAsia="Times New Roman" w:hAnsi="Funnel Sans" w:cs="Times New Roman"/>
          <w:kern w:val="0"/>
          <w:sz w:val="22"/>
          <w:szCs w:val="22"/>
          <w:lang w:eastAsia="en-GB"/>
          <w14:ligatures w14:val="none"/>
        </w:rPr>
        <w:t>it has a US DMF, MA in EU</w:t>
      </w:r>
      <w:r w:rsidR="003B613D">
        <w:rPr>
          <w:rFonts w:ascii="Funnel Sans" w:eastAsia="Times New Roman" w:hAnsi="Funnel Sans" w:cs="Times New Roman"/>
          <w:kern w:val="0"/>
          <w:sz w:val="22"/>
          <w:szCs w:val="22"/>
          <w:lang w:eastAsia="en-GB"/>
          <w14:ligatures w14:val="none"/>
        </w:rPr>
        <w:t xml:space="preserve">. </w:t>
      </w:r>
      <w:r w:rsidR="00E45230" w:rsidRPr="006769F7">
        <w:rPr>
          <w:rFonts w:ascii="Funnel Sans" w:eastAsia="Times New Roman" w:hAnsi="Funnel Sans" w:cs="Times New Roman"/>
          <w:kern w:val="0"/>
          <w:sz w:val="22"/>
          <w:szCs w:val="22"/>
          <w:lang w:eastAsia="en-GB"/>
          <w14:ligatures w14:val="none"/>
        </w:rPr>
        <w:t xml:space="preserve">Therefore, toxicity can </w:t>
      </w:r>
      <w:r w:rsidR="003B613D">
        <w:rPr>
          <w:rFonts w:ascii="Funnel Sans" w:eastAsia="Times New Roman" w:hAnsi="Funnel Sans" w:cs="Times New Roman"/>
          <w:kern w:val="0"/>
          <w:sz w:val="22"/>
          <w:szCs w:val="22"/>
          <w:lang w:eastAsia="en-GB"/>
          <w14:ligatures w14:val="none"/>
        </w:rPr>
        <w:t xml:space="preserve">accurately </w:t>
      </w:r>
      <w:r w:rsidR="00E45230" w:rsidRPr="006769F7">
        <w:rPr>
          <w:rFonts w:ascii="Funnel Sans" w:eastAsia="Times New Roman" w:hAnsi="Funnel Sans" w:cs="Times New Roman"/>
          <w:kern w:val="0"/>
          <w:sz w:val="22"/>
          <w:szCs w:val="22"/>
          <w:lang w:eastAsia="en-GB"/>
          <w14:ligatures w14:val="none"/>
        </w:rPr>
        <w:t>be predicted based on biodist</w:t>
      </w:r>
      <w:r w:rsidR="0016397E" w:rsidRPr="006769F7">
        <w:rPr>
          <w:rFonts w:ascii="Funnel Sans" w:eastAsia="Times New Roman" w:hAnsi="Funnel Sans" w:cs="Times New Roman"/>
          <w:kern w:val="0"/>
          <w:sz w:val="22"/>
          <w:szCs w:val="22"/>
          <w:lang w:eastAsia="en-GB"/>
          <w14:ligatures w14:val="none"/>
        </w:rPr>
        <w:t>ribution,</w:t>
      </w:r>
      <w:r w:rsidR="00E45230" w:rsidRPr="006769F7">
        <w:rPr>
          <w:rFonts w:ascii="Funnel Sans" w:eastAsia="Times New Roman" w:hAnsi="Funnel Sans" w:cs="Times New Roman"/>
          <w:kern w:val="0"/>
          <w:sz w:val="22"/>
          <w:szCs w:val="22"/>
          <w:lang w:eastAsia="en-GB"/>
          <w14:ligatures w14:val="none"/>
        </w:rPr>
        <w:t xml:space="preserve"> PK and dosimetry of the </w:t>
      </w:r>
      <w:r w:rsidRPr="00750833">
        <w:rPr>
          <w:rFonts w:ascii="Funnel Sans" w:eastAsia="Times New Roman" w:hAnsi="Funnel Sans" w:cs="Times New Roman"/>
          <w:kern w:val="0"/>
          <w:sz w:val="22"/>
          <w:szCs w:val="22"/>
          <w:vertAlign w:val="superscript"/>
          <w:lang w:eastAsia="en-GB"/>
          <w14:ligatures w14:val="none"/>
        </w:rPr>
        <w:t>177</w:t>
      </w:r>
      <w:r w:rsidRPr="00DA6D44">
        <w:rPr>
          <w:rFonts w:ascii="Funnel Sans" w:eastAsia="Times New Roman" w:hAnsi="Funnel Sans" w:cs="Times New Roman"/>
          <w:kern w:val="0"/>
          <w:sz w:val="22"/>
          <w:szCs w:val="22"/>
          <w:lang w:eastAsia="en-GB"/>
          <w14:ligatures w14:val="none"/>
        </w:rPr>
        <w:t>Lu</w:t>
      </w:r>
      <w:r w:rsidR="003B613D">
        <w:rPr>
          <w:rFonts w:ascii="Funnel Sans" w:eastAsia="Times New Roman" w:hAnsi="Funnel Sans" w:cs="Times New Roman"/>
          <w:kern w:val="0"/>
          <w:sz w:val="22"/>
          <w:szCs w:val="22"/>
          <w:lang w:eastAsia="en-GB"/>
          <w14:ligatures w14:val="none"/>
        </w:rPr>
        <w:t xml:space="preserve"> agent</w:t>
      </w:r>
      <w:r w:rsidR="00E45230" w:rsidRPr="006769F7">
        <w:rPr>
          <w:rFonts w:ascii="Funnel Sans" w:eastAsia="Times New Roman" w:hAnsi="Funnel Sans" w:cs="Times New Roman"/>
          <w:kern w:val="0"/>
          <w:sz w:val="22"/>
          <w:szCs w:val="22"/>
          <w:lang w:eastAsia="en-GB"/>
          <w14:ligatures w14:val="none"/>
        </w:rPr>
        <w:t>.</w:t>
      </w:r>
    </w:p>
    <w:p w14:paraId="0B31E79E" w14:textId="54BDE973" w:rsidR="007B5D03" w:rsidRPr="004A188B" w:rsidRDefault="00814442" w:rsidP="0045211A">
      <w:pPr>
        <w:jc w:val="both"/>
        <w:rPr>
          <w:rFonts w:ascii="Funnel Sans" w:eastAsia="Times New Roman" w:hAnsi="Funnel Sans" w:cs="Times New Roman"/>
          <w:kern w:val="0"/>
          <w:sz w:val="22"/>
          <w:szCs w:val="22"/>
          <w:lang w:val="en-GB" w:eastAsia="en-GB"/>
          <w14:ligatures w14:val="none"/>
        </w:rPr>
      </w:pPr>
      <w:r>
        <w:rPr>
          <w:rFonts w:ascii="Funnel Sans" w:eastAsia="Times New Roman" w:hAnsi="Funnel Sans" w:cs="Times New Roman"/>
          <w:b/>
          <w:bCs/>
          <w:kern w:val="0"/>
          <w:sz w:val="22"/>
          <w:szCs w:val="22"/>
          <w:lang w:val="en-GB" w:eastAsia="en-GB"/>
          <w14:ligatures w14:val="none"/>
        </w:rPr>
        <w:t xml:space="preserve">(2) </w:t>
      </w:r>
      <w:r w:rsidR="00F55700">
        <w:rPr>
          <w:rFonts w:ascii="Funnel Sans" w:eastAsia="Times New Roman" w:hAnsi="Funnel Sans" w:cs="Times New Roman"/>
          <w:b/>
          <w:bCs/>
          <w:kern w:val="0"/>
          <w:sz w:val="22"/>
          <w:szCs w:val="22"/>
          <w:lang w:val="en-GB" w:eastAsia="en-GB"/>
          <w14:ligatures w14:val="none"/>
        </w:rPr>
        <w:t>Ensuring a</w:t>
      </w:r>
      <w:r w:rsidR="007B5D03" w:rsidRPr="004A188B">
        <w:rPr>
          <w:rFonts w:ascii="Funnel Sans" w:eastAsia="Times New Roman" w:hAnsi="Funnel Sans" w:cs="Times New Roman"/>
          <w:b/>
          <w:bCs/>
          <w:kern w:val="0"/>
          <w:sz w:val="22"/>
          <w:szCs w:val="22"/>
          <w:lang w:val="en-GB" w:eastAsia="en-GB"/>
          <w14:ligatures w14:val="none"/>
        </w:rPr>
        <w:t xml:space="preserve">ccurate SPECT </w:t>
      </w:r>
      <w:r w:rsidR="00F55700">
        <w:rPr>
          <w:rFonts w:ascii="Funnel Sans" w:eastAsia="Times New Roman" w:hAnsi="Funnel Sans" w:cs="Times New Roman"/>
          <w:b/>
          <w:bCs/>
          <w:kern w:val="0"/>
          <w:sz w:val="22"/>
          <w:szCs w:val="22"/>
          <w:lang w:val="en-GB" w:eastAsia="en-GB"/>
          <w14:ligatures w14:val="none"/>
        </w:rPr>
        <w:t>q</w:t>
      </w:r>
      <w:r w:rsidR="007B5D03" w:rsidRPr="004A188B">
        <w:rPr>
          <w:rFonts w:ascii="Funnel Sans" w:eastAsia="Times New Roman" w:hAnsi="Funnel Sans" w:cs="Times New Roman"/>
          <w:b/>
          <w:bCs/>
          <w:kern w:val="0"/>
          <w:sz w:val="22"/>
          <w:szCs w:val="22"/>
          <w:lang w:val="en-GB" w:eastAsia="en-GB"/>
          <w14:ligatures w14:val="none"/>
        </w:rPr>
        <w:t xml:space="preserve">uantification </w:t>
      </w:r>
      <w:r>
        <w:rPr>
          <w:rFonts w:ascii="Funnel Sans" w:eastAsia="Times New Roman" w:hAnsi="Funnel Sans" w:cs="Times New Roman"/>
          <w:b/>
          <w:bCs/>
          <w:kern w:val="0"/>
          <w:sz w:val="22"/>
          <w:szCs w:val="22"/>
          <w:lang w:val="en-GB" w:eastAsia="en-GB"/>
          <w14:ligatures w14:val="none"/>
        </w:rPr>
        <w:t xml:space="preserve">in Ph 0 </w:t>
      </w:r>
      <w:r w:rsidR="00F55700">
        <w:rPr>
          <w:rFonts w:ascii="Funnel Sans" w:eastAsia="Times New Roman" w:hAnsi="Funnel Sans" w:cs="Times New Roman"/>
          <w:b/>
          <w:bCs/>
          <w:kern w:val="0"/>
          <w:sz w:val="22"/>
          <w:szCs w:val="22"/>
          <w:lang w:val="en-GB" w:eastAsia="en-GB"/>
          <w14:ligatures w14:val="none"/>
        </w:rPr>
        <w:t xml:space="preserve">increased prediction accuracy </w:t>
      </w:r>
      <w:r>
        <w:rPr>
          <w:rFonts w:ascii="Funnel Sans" w:eastAsia="Times New Roman" w:hAnsi="Funnel Sans" w:cs="Times New Roman"/>
          <w:b/>
          <w:bCs/>
          <w:kern w:val="0"/>
          <w:sz w:val="22"/>
          <w:szCs w:val="22"/>
          <w:lang w:val="en-GB" w:eastAsia="en-GB"/>
          <w14:ligatures w14:val="none"/>
        </w:rPr>
        <w:t xml:space="preserve"> </w:t>
      </w:r>
    </w:p>
    <w:p w14:paraId="3E13A863" w14:textId="2A684141" w:rsidR="00080766" w:rsidRPr="004A188B" w:rsidRDefault="007B5D03" w:rsidP="0045211A">
      <w:pPr>
        <w:jc w:val="both"/>
        <w:rPr>
          <w:rFonts w:ascii="Funnel Sans" w:eastAsia="Times New Roman" w:hAnsi="Funnel Sans" w:cs="Times New Roman"/>
          <w:kern w:val="0"/>
          <w:sz w:val="22"/>
          <w:szCs w:val="22"/>
          <w:lang w:val="en-GB" w:eastAsia="en-GB"/>
          <w14:ligatures w14:val="none"/>
        </w:rPr>
      </w:pPr>
      <w:r w:rsidRPr="004A188B">
        <w:rPr>
          <w:rFonts w:ascii="Funnel Sans" w:eastAsia="Times New Roman" w:hAnsi="Funnel Sans" w:cs="Times New Roman"/>
          <w:kern w:val="0"/>
          <w:sz w:val="22"/>
          <w:szCs w:val="22"/>
          <w:lang w:val="en-GB" w:eastAsia="en-GB"/>
          <w14:ligatures w14:val="none"/>
        </w:rPr>
        <w:t>Accurate</w:t>
      </w:r>
      <w:r w:rsidR="00500FBD">
        <w:rPr>
          <w:rFonts w:ascii="Funnel Sans" w:eastAsia="Times New Roman" w:hAnsi="Funnel Sans" w:cs="Times New Roman"/>
          <w:kern w:val="0"/>
          <w:sz w:val="22"/>
          <w:szCs w:val="22"/>
          <w:lang w:val="en-GB" w:eastAsia="en-GB"/>
          <w14:ligatures w14:val="none"/>
        </w:rPr>
        <w:t xml:space="preserve"> dosimetry </w:t>
      </w:r>
      <w:r w:rsidRPr="004A188B">
        <w:rPr>
          <w:rFonts w:ascii="Funnel Sans" w:eastAsia="Times New Roman" w:hAnsi="Funnel Sans" w:cs="Times New Roman"/>
          <w:kern w:val="0"/>
          <w:sz w:val="22"/>
          <w:szCs w:val="22"/>
          <w:lang w:val="en-GB" w:eastAsia="en-GB"/>
          <w14:ligatures w14:val="none"/>
        </w:rPr>
        <w:t xml:space="preserve">prediction is only meaningful if the underlying SPECT quantification is itself accurate. </w:t>
      </w:r>
      <w:r w:rsidR="001E7EC3">
        <w:rPr>
          <w:rFonts w:ascii="Funnel Sans" w:eastAsia="Times New Roman" w:hAnsi="Funnel Sans" w:cs="Times New Roman"/>
          <w:kern w:val="0"/>
          <w:sz w:val="22"/>
          <w:szCs w:val="22"/>
          <w:lang w:val="en-GB" w:eastAsia="en-GB"/>
          <w14:ligatures w14:val="none"/>
        </w:rPr>
        <w:t xml:space="preserve">We have developed a site </w:t>
      </w:r>
      <w:r w:rsidR="00261FA0">
        <w:rPr>
          <w:rFonts w:ascii="Funnel Sans" w:eastAsia="Times New Roman" w:hAnsi="Funnel Sans" w:cs="Times New Roman"/>
          <w:kern w:val="0"/>
          <w:sz w:val="22"/>
          <w:szCs w:val="22"/>
          <w:lang w:val="en-GB" w:eastAsia="en-GB"/>
          <w14:ligatures w14:val="none"/>
        </w:rPr>
        <w:t xml:space="preserve">feasibility </w:t>
      </w:r>
      <w:r w:rsidR="004E15CD">
        <w:rPr>
          <w:rFonts w:ascii="Funnel Sans" w:eastAsia="Times New Roman" w:hAnsi="Funnel Sans" w:cs="Times New Roman"/>
          <w:kern w:val="0"/>
          <w:sz w:val="22"/>
          <w:szCs w:val="22"/>
          <w:lang w:val="en-GB" w:eastAsia="en-GB"/>
          <w14:ligatures w14:val="none"/>
        </w:rPr>
        <w:t xml:space="preserve">assessment </w:t>
      </w:r>
      <w:r w:rsidR="001E7EC3">
        <w:rPr>
          <w:rFonts w:ascii="Funnel Sans" w:eastAsia="Times New Roman" w:hAnsi="Funnel Sans" w:cs="Times New Roman"/>
          <w:kern w:val="0"/>
          <w:sz w:val="22"/>
          <w:szCs w:val="22"/>
          <w:lang w:val="en-GB" w:eastAsia="en-GB"/>
          <w14:ligatures w14:val="none"/>
        </w:rPr>
        <w:t xml:space="preserve">protocol that includes </w:t>
      </w:r>
      <w:r w:rsidR="00261FA0">
        <w:rPr>
          <w:rFonts w:ascii="Funnel Sans" w:eastAsia="Times New Roman" w:hAnsi="Funnel Sans" w:cs="Times New Roman"/>
          <w:kern w:val="0"/>
          <w:sz w:val="22"/>
          <w:szCs w:val="22"/>
          <w:lang w:val="en-GB" w:eastAsia="en-GB"/>
          <w14:ligatures w14:val="none"/>
        </w:rPr>
        <w:t>confirming three</w:t>
      </w:r>
      <w:r w:rsidR="001E7EC3">
        <w:rPr>
          <w:rFonts w:ascii="Funnel Sans" w:eastAsia="Times New Roman" w:hAnsi="Funnel Sans" w:cs="Times New Roman"/>
          <w:kern w:val="0"/>
          <w:sz w:val="22"/>
          <w:szCs w:val="22"/>
          <w:lang w:val="en-GB" w:eastAsia="en-GB"/>
          <w14:ligatures w14:val="none"/>
        </w:rPr>
        <w:t xml:space="preserve"> calibration steps of SPECT/CT scanners to </w:t>
      </w:r>
      <w:r w:rsidRPr="004A188B">
        <w:rPr>
          <w:rFonts w:ascii="Funnel Sans" w:eastAsia="Times New Roman" w:hAnsi="Funnel Sans" w:cs="Times New Roman"/>
          <w:kern w:val="0"/>
          <w:sz w:val="22"/>
          <w:szCs w:val="22"/>
          <w:lang w:val="en-GB" w:eastAsia="en-GB"/>
          <w14:ligatures w14:val="none"/>
        </w:rPr>
        <w:t>ensures activity concentration (Bq/mL) is recovered corr</w:t>
      </w:r>
      <w:r w:rsidR="000F79EC">
        <w:rPr>
          <w:rFonts w:ascii="Funnel Sans" w:eastAsia="Times New Roman" w:hAnsi="Funnel Sans" w:cs="Times New Roman"/>
          <w:kern w:val="0"/>
          <w:sz w:val="22"/>
          <w:szCs w:val="22"/>
          <w:lang w:val="en-GB" w:eastAsia="en-GB"/>
          <w14:ligatures w14:val="none"/>
        </w:rPr>
        <w:t>ect</w:t>
      </w:r>
      <w:r w:rsidRPr="004A188B">
        <w:rPr>
          <w:rFonts w:ascii="Funnel Sans" w:eastAsia="Times New Roman" w:hAnsi="Funnel Sans" w:cs="Times New Roman"/>
          <w:kern w:val="0"/>
          <w:sz w:val="22"/>
          <w:szCs w:val="22"/>
          <w:lang w:val="en-GB" w:eastAsia="en-GB"/>
          <w14:ligatures w14:val="none"/>
        </w:rPr>
        <w:t>ly at the voxel level:</w:t>
      </w:r>
      <w:r w:rsidR="001E7EC3">
        <w:rPr>
          <w:rFonts w:ascii="Funnel Sans" w:eastAsia="Times New Roman" w:hAnsi="Funnel Sans" w:cs="Times New Roman"/>
          <w:kern w:val="0"/>
          <w:sz w:val="22"/>
          <w:szCs w:val="22"/>
          <w:lang w:val="en-GB" w:eastAsia="en-GB"/>
          <w14:ligatures w14:val="none"/>
        </w:rPr>
        <w:t xml:space="preserve"> </w:t>
      </w:r>
      <w:r w:rsidR="00261FA0">
        <w:rPr>
          <w:rFonts w:ascii="Funnel Sans" w:eastAsia="Times New Roman" w:hAnsi="Funnel Sans" w:cs="Times New Roman"/>
          <w:kern w:val="0"/>
          <w:sz w:val="22"/>
          <w:szCs w:val="22"/>
          <w:lang w:val="en-GB" w:eastAsia="en-GB"/>
          <w14:ligatures w14:val="none"/>
        </w:rPr>
        <w:t xml:space="preserve">(a) </w:t>
      </w:r>
      <w:r w:rsidR="001E7EC3">
        <w:rPr>
          <w:rFonts w:ascii="Funnel Sans" w:eastAsia="Times New Roman" w:hAnsi="Funnel Sans" w:cs="Times New Roman"/>
          <w:kern w:val="0"/>
          <w:sz w:val="22"/>
          <w:szCs w:val="22"/>
          <w:lang w:val="en-GB" w:eastAsia="en-GB"/>
          <w14:ligatures w14:val="none"/>
        </w:rPr>
        <w:t>scanner calibration,</w:t>
      </w:r>
      <w:r w:rsidR="00261FA0">
        <w:rPr>
          <w:rFonts w:ascii="Funnel Sans" w:eastAsia="Times New Roman" w:hAnsi="Funnel Sans" w:cs="Times New Roman"/>
          <w:kern w:val="0"/>
          <w:sz w:val="22"/>
          <w:szCs w:val="22"/>
          <w:lang w:val="en-GB" w:eastAsia="en-GB"/>
          <w14:ligatures w14:val="none"/>
        </w:rPr>
        <w:t xml:space="preserve"> (b)</w:t>
      </w:r>
      <w:r w:rsidR="001E7EC3">
        <w:rPr>
          <w:rFonts w:ascii="Funnel Sans" w:eastAsia="Times New Roman" w:hAnsi="Funnel Sans" w:cs="Times New Roman"/>
          <w:kern w:val="0"/>
          <w:sz w:val="22"/>
          <w:szCs w:val="22"/>
          <w:lang w:val="en-GB" w:eastAsia="en-GB"/>
          <w14:ligatures w14:val="none"/>
        </w:rPr>
        <w:t xml:space="preserve"> isotope-specific calibration &amp; </w:t>
      </w:r>
      <w:r w:rsidR="00261FA0">
        <w:rPr>
          <w:rFonts w:ascii="Funnel Sans" w:eastAsia="Times New Roman" w:hAnsi="Funnel Sans" w:cs="Times New Roman"/>
          <w:kern w:val="0"/>
          <w:sz w:val="22"/>
          <w:szCs w:val="22"/>
          <w:lang w:val="en-GB" w:eastAsia="en-GB"/>
          <w14:ligatures w14:val="none"/>
        </w:rPr>
        <w:t xml:space="preserve">(c) </w:t>
      </w:r>
      <w:r w:rsidR="001E7EC3">
        <w:rPr>
          <w:rFonts w:ascii="Funnel Sans" w:eastAsia="Times New Roman" w:hAnsi="Funnel Sans" w:cs="Times New Roman"/>
          <w:kern w:val="0"/>
          <w:sz w:val="22"/>
          <w:szCs w:val="22"/>
          <w:lang w:val="en-GB" w:eastAsia="en-GB"/>
          <w14:ligatures w14:val="none"/>
        </w:rPr>
        <w:t>volumetric phantom calibration. Centers using Lutath</w:t>
      </w:r>
      <w:r w:rsidR="00396115">
        <w:rPr>
          <w:rFonts w:ascii="Funnel Sans" w:eastAsia="Times New Roman" w:hAnsi="Funnel Sans" w:cs="Times New Roman"/>
          <w:kern w:val="0"/>
          <w:sz w:val="22"/>
          <w:szCs w:val="22"/>
          <w:lang w:val="en-GB" w:eastAsia="en-GB"/>
          <w14:ligatures w14:val="none"/>
        </w:rPr>
        <w:t>e</w:t>
      </w:r>
      <w:r w:rsidR="001E7EC3">
        <w:rPr>
          <w:rFonts w:ascii="Funnel Sans" w:eastAsia="Times New Roman" w:hAnsi="Funnel Sans" w:cs="Times New Roman"/>
          <w:kern w:val="0"/>
          <w:sz w:val="22"/>
          <w:szCs w:val="22"/>
          <w:lang w:val="en-GB" w:eastAsia="en-GB"/>
          <w14:ligatures w14:val="none"/>
        </w:rPr>
        <w:t xml:space="preserve">ra or Pluvicto will have already calibrated their SPECT/CT for </w:t>
      </w:r>
      <w:r w:rsidR="00750833" w:rsidRPr="00750833">
        <w:rPr>
          <w:rFonts w:ascii="Funnel Sans" w:eastAsia="Times New Roman" w:hAnsi="Funnel Sans" w:cs="Times New Roman"/>
          <w:kern w:val="0"/>
          <w:sz w:val="22"/>
          <w:szCs w:val="22"/>
          <w:vertAlign w:val="superscript"/>
          <w:lang w:val="en-GB" w:eastAsia="en-GB"/>
          <w14:ligatures w14:val="none"/>
        </w:rPr>
        <w:t>177</w:t>
      </w:r>
      <w:r w:rsidR="00750833" w:rsidRPr="00DA6D44">
        <w:rPr>
          <w:rFonts w:ascii="Funnel Sans" w:eastAsia="Times New Roman" w:hAnsi="Funnel Sans" w:cs="Times New Roman"/>
          <w:kern w:val="0"/>
          <w:sz w:val="22"/>
          <w:szCs w:val="22"/>
          <w:lang w:val="en-GB" w:eastAsia="en-GB"/>
          <w14:ligatures w14:val="none"/>
        </w:rPr>
        <w:t>Lu</w:t>
      </w:r>
      <w:r w:rsidR="001E7EC3">
        <w:rPr>
          <w:rFonts w:ascii="Funnel Sans" w:eastAsia="Times New Roman" w:hAnsi="Funnel Sans" w:cs="Times New Roman"/>
          <w:kern w:val="0"/>
          <w:sz w:val="22"/>
          <w:szCs w:val="22"/>
          <w:lang w:val="en-GB" w:eastAsia="en-GB"/>
          <w14:ligatures w14:val="none"/>
        </w:rPr>
        <w:t>, creating efficiency.</w:t>
      </w:r>
      <w:r w:rsidR="00261FA0">
        <w:rPr>
          <w:rFonts w:ascii="Funnel Sans" w:eastAsia="Times New Roman" w:hAnsi="Funnel Sans" w:cs="Times New Roman"/>
          <w:kern w:val="0"/>
          <w:sz w:val="22"/>
          <w:szCs w:val="22"/>
          <w:lang w:val="en-GB" w:eastAsia="en-GB"/>
          <w14:ligatures w14:val="none"/>
        </w:rPr>
        <w:t xml:space="preserve"> </w:t>
      </w:r>
      <w:r w:rsidR="00080766" w:rsidRPr="00500FBD">
        <w:rPr>
          <w:rFonts w:ascii="Funnel Sans" w:eastAsia="Times New Roman" w:hAnsi="Funnel Sans" w:cs="Times New Roman"/>
          <w:kern w:val="0"/>
          <w:sz w:val="22"/>
          <w:szCs w:val="22"/>
          <w:lang w:val="en-GB" w:eastAsia="en-GB"/>
          <w14:ligatures w14:val="none"/>
        </w:rPr>
        <w:t xml:space="preserve">With </w:t>
      </w:r>
      <w:r w:rsidR="00080766">
        <w:rPr>
          <w:rFonts w:ascii="Funnel Sans" w:eastAsia="Times New Roman" w:hAnsi="Funnel Sans" w:cs="Times New Roman"/>
          <w:kern w:val="0"/>
          <w:sz w:val="22"/>
          <w:szCs w:val="22"/>
          <w:lang w:val="en-GB" w:eastAsia="en-GB"/>
          <w14:ligatures w14:val="none"/>
        </w:rPr>
        <w:t>all three calibrations</w:t>
      </w:r>
      <w:r w:rsidR="00080766" w:rsidRPr="00500FBD">
        <w:rPr>
          <w:rFonts w:ascii="Funnel Sans" w:eastAsia="Times New Roman" w:hAnsi="Funnel Sans" w:cs="Times New Roman"/>
          <w:kern w:val="0"/>
          <w:sz w:val="22"/>
          <w:szCs w:val="22"/>
          <w:lang w:val="en-GB" w:eastAsia="en-GB"/>
          <w14:ligatures w14:val="none"/>
        </w:rPr>
        <w:t xml:space="preserve"> in place, kidney absorbed-dose accuracy is typically ~10% (1 SD</w:t>
      </w:r>
      <w:r w:rsidR="005C0371">
        <w:rPr>
          <w:rFonts w:ascii="Funnel Sans" w:eastAsia="Times New Roman" w:hAnsi="Funnel Sans" w:cs="Times New Roman"/>
          <w:kern w:val="0"/>
          <w:sz w:val="22"/>
          <w:szCs w:val="22"/>
          <w:lang w:val="en-GB" w:eastAsia="en-GB"/>
          <w14:ligatures w14:val="none"/>
        </w:rPr>
        <w:t>, similar for other large organs</w:t>
      </w:r>
      <w:r w:rsidR="002D4A89" w:rsidRPr="00500FBD">
        <w:rPr>
          <w:rFonts w:ascii="Funnel Sans" w:eastAsia="Times New Roman" w:hAnsi="Funnel Sans" w:cs="Times New Roman"/>
          <w:kern w:val="0"/>
          <w:sz w:val="22"/>
          <w:szCs w:val="22"/>
          <w:lang w:val="en-GB" w:eastAsia="en-GB"/>
          <w14:ligatures w14:val="none"/>
        </w:rPr>
        <w:t>)</w:t>
      </w:r>
      <w:r w:rsidR="002D4A89">
        <w:rPr>
          <w:rFonts w:ascii="Funnel Sans" w:eastAsia="Times New Roman" w:hAnsi="Funnel Sans" w:cs="Times New Roman"/>
          <w:kern w:val="0"/>
          <w:sz w:val="22"/>
          <w:szCs w:val="22"/>
          <w:lang w:val="en-GB" w:eastAsia="en-GB"/>
          <w14:ligatures w14:val="none"/>
        </w:rPr>
        <w:t xml:space="preserve">, </w:t>
      </w:r>
      <w:r w:rsidR="002D4A89" w:rsidRPr="00500FBD">
        <w:rPr>
          <w:rFonts w:ascii="Funnel Sans" w:eastAsia="Times New Roman" w:hAnsi="Funnel Sans" w:cs="Times New Roman"/>
          <w:kern w:val="0"/>
          <w:sz w:val="22"/>
          <w:szCs w:val="22"/>
          <w:lang w:val="en-GB" w:eastAsia="en-GB"/>
          <w14:ligatures w14:val="none"/>
        </w:rPr>
        <w:t>translating</w:t>
      </w:r>
      <w:r w:rsidR="00080766" w:rsidRPr="00500FBD">
        <w:rPr>
          <w:rFonts w:ascii="Funnel Sans" w:eastAsia="Times New Roman" w:hAnsi="Funnel Sans" w:cs="Times New Roman"/>
          <w:kern w:val="0"/>
          <w:sz w:val="22"/>
          <w:szCs w:val="22"/>
          <w:lang w:val="en-GB" w:eastAsia="en-GB"/>
          <w14:ligatures w14:val="none"/>
        </w:rPr>
        <w:t xml:space="preserve"> the 23 Gy EBRT limit to 23 ±2.5 Gy, </w:t>
      </w:r>
      <w:r w:rsidR="00E435E8">
        <w:rPr>
          <w:rFonts w:ascii="Funnel Sans" w:eastAsia="Times New Roman" w:hAnsi="Funnel Sans" w:cs="Times New Roman"/>
          <w:kern w:val="0"/>
          <w:sz w:val="22"/>
          <w:szCs w:val="22"/>
          <w:lang w:val="en-GB" w:eastAsia="en-GB"/>
          <w14:ligatures w14:val="none"/>
        </w:rPr>
        <w:t>where the accuracy is well within the FDA tolerance for exposure</w:t>
      </w:r>
      <w:r w:rsidR="00080766" w:rsidRPr="00500FBD">
        <w:rPr>
          <w:rFonts w:ascii="Funnel Sans" w:eastAsia="Times New Roman" w:hAnsi="Funnel Sans" w:cs="Times New Roman"/>
          <w:kern w:val="0"/>
          <w:sz w:val="22"/>
          <w:szCs w:val="22"/>
          <w:lang w:val="en-GB" w:eastAsia="en-GB"/>
          <w14:ligatures w14:val="none"/>
        </w:rPr>
        <w:t>.</w:t>
      </w:r>
    </w:p>
    <w:p w14:paraId="148F485B" w14:textId="3D59E671" w:rsidR="007B5D03" w:rsidRPr="004A188B" w:rsidRDefault="00917DC9" w:rsidP="0045211A">
      <w:pPr>
        <w:jc w:val="both"/>
        <w:rPr>
          <w:rFonts w:ascii="Funnel Sans" w:eastAsia="Times New Roman" w:hAnsi="Funnel Sans" w:cs="Times New Roman"/>
          <w:kern w:val="0"/>
          <w:sz w:val="22"/>
          <w:szCs w:val="22"/>
          <w:lang w:val="en-GB" w:eastAsia="en-GB"/>
          <w14:ligatures w14:val="none"/>
        </w:rPr>
      </w:pPr>
      <w:r>
        <w:rPr>
          <w:rFonts w:ascii="Funnel Sans" w:eastAsia="Times New Roman" w:hAnsi="Funnel Sans" w:cs="Times New Roman"/>
          <w:b/>
          <w:bCs/>
          <w:kern w:val="0"/>
          <w:sz w:val="22"/>
          <w:szCs w:val="22"/>
          <w:lang w:val="en-GB" w:eastAsia="en-GB"/>
          <w14:ligatures w14:val="none"/>
        </w:rPr>
        <w:t xml:space="preserve">(3) </w:t>
      </w:r>
      <w:r w:rsidR="00DA561D">
        <w:rPr>
          <w:rFonts w:ascii="Funnel Sans" w:eastAsia="Times New Roman" w:hAnsi="Funnel Sans" w:cs="Times New Roman"/>
          <w:b/>
          <w:bCs/>
          <w:kern w:val="0"/>
          <w:sz w:val="22"/>
          <w:szCs w:val="22"/>
          <w:lang w:val="en-GB" w:eastAsia="en-GB"/>
          <w14:ligatures w14:val="none"/>
        </w:rPr>
        <w:t xml:space="preserve">Validated dosimetry modelling approaches allow extrapolation from </w:t>
      </w:r>
      <w:r w:rsidR="00750833" w:rsidRPr="00750833">
        <w:rPr>
          <w:rFonts w:ascii="Funnel Sans" w:eastAsia="Times New Roman" w:hAnsi="Funnel Sans" w:cs="Times New Roman"/>
          <w:b/>
          <w:bCs/>
          <w:kern w:val="0"/>
          <w:sz w:val="22"/>
          <w:szCs w:val="22"/>
          <w:vertAlign w:val="superscript"/>
          <w:lang w:val="en-GB" w:eastAsia="en-GB"/>
          <w14:ligatures w14:val="none"/>
        </w:rPr>
        <w:t>177</w:t>
      </w:r>
      <w:r w:rsidR="00750833" w:rsidRPr="00DA6D44">
        <w:rPr>
          <w:rFonts w:ascii="Funnel Sans" w:eastAsia="Times New Roman" w:hAnsi="Funnel Sans" w:cs="Times New Roman"/>
          <w:b/>
          <w:bCs/>
          <w:kern w:val="0"/>
          <w:sz w:val="22"/>
          <w:szCs w:val="22"/>
          <w:lang w:val="en-GB" w:eastAsia="en-GB"/>
          <w14:ligatures w14:val="none"/>
        </w:rPr>
        <w:t>Lu</w:t>
      </w:r>
      <w:r w:rsidR="00DA561D">
        <w:rPr>
          <w:rFonts w:ascii="Funnel Sans" w:eastAsia="Times New Roman" w:hAnsi="Funnel Sans" w:cs="Times New Roman"/>
          <w:b/>
          <w:bCs/>
          <w:kern w:val="0"/>
          <w:sz w:val="22"/>
          <w:szCs w:val="22"/>
          <w:lang w:val="en-GB" w:eastAsia="en-GB"/>
          <w14:ligatures w14:val="none"/>
        </w:rPr>
        <w:t xml:space="preserve"> data to Ph 1 starting doses for </w:t>
      </w:r>
      <w:r w:rsidR="00750833" w:rsidRPr="00750833">
        <w:rPr>
          <w:rFonts w:ascii="Funnel Sans" w:eastAsia="Times New Roman" w:hAnsi="Funnel Sans" w:cs="Times New Roman"/>
          <w:b/>
          <w:bCs/>
          <w:kern w:val="0"/>
          <w:sz w:val="22"/>
          <w:szCs w:val="22"/>
          <w:vertAlign w:val="superscript"/>
          <w:lang w:val="en-GB" w:eastAsia="en-GB"/>
          <w14:ligatures w14:val="none"/>
        </w:rPr>
        <w:t>225</w:t>
      </w:r>
      <w:r w:rsidR="00750833" w:rsidRPr="00DA6D44">
        <w:rPr>
          <w:rFonts w:ascii="Funnel Sans" w:eastAsia="Times New Roman" w:hAnsi="Funnel Sans" w:cs="Times New Roman"/>
          <w:b/>
          <w:bCs/>
          <w:kern w:val="0"/>
          <w:sz w:val="22"/>
          <w:szCs w:val="22"/>
          <w:lang w:val="en-GB" w:eastAsia="en-GB"/>
          <w14:ligatures w14:val="none"/>
        </w:rPr>
        <w:t>Ac</w:t>
      </w:r>
    </w:p>
    <w:p w14:paraId="70DAD7F3" w14:textId="52FA1FDD" w:rsidR="00C310C6" w:rsidRDefault="007B5D03" w:rsidP="0045211A">
      <w:pPr>
        <w:jc w:val="both"/>
        <w:rPr>
          <w:rFonts w:ascii="Funnel Sans" w:eastAsia="Times New Roman" w:hAnsi="Funnel Sans" w:cs="Times New Roman"/>
          <w:kern w:val="0"/>
          <w:sz w:val="22"/>
          <w:szCs w:val="22"/>
          <w:lang w:val="en-GB" w:eastAsia="en-GB"/>
          <w14:ligatures w14:val="none"/>
        </w:rPr>
      </w:pPr>
      <w:r w:rsidRPr="004A188B">
        <w:rPr>
          <w:rFonts w:ascii="Funnel Sans" w:eastAsia="Times New Roman" w:hAnsi="Funnel Sans" w:cs="Times New Roman"/>
          <w:kern w:val="0"/>
          <w:sz w:val="22"/>
          <w:szCs w:val="22"/>
          <w:lang w:val="en-GB" w:eastAsia="en-GB"/>
          <w14:ligatures w14:val="none"/>
        </w:rPr>
        <w:t xml:space="preserve">The </w:t>
      </w:r>
      <w:r w:rsidR="00750833" w:rsidRPr="00750833">
        <w:rPr>
          <w:rFonts w:ascii="Funnel Sans" w:eastAsia="Times New Roman" w:hAnsi="Funnel Sans" w:cs="Times New Roman"/>
          <w:kern w:val="0"/>
          <w:sz w:val="22"/>
          <w:szCs w:val="22"/>
          <w:vertAlign w:val="superscript"/>
          <w:lang w:val="en-GB" w:eastAsia="en-GB"/>
          <w14:ligatures w14:val="none"/>
        </w:rPr>
        <w:t>177</w:t>
      </w:r>
      <w:r w:rsidR="00750833" w:rsidRPr="00DA6D44">
        <w:rPr>
          <w:rFonts w:ascii="Funnel Sans" w:eastAsia="Times New Roman" w:hAnsi="Funnel Sans" w:cs="Times New Roman"/>
          <w:kern w:val="0"/>
          <w:sz w:val="22"/>
          <w:szCs w:val="22"/>
          <w:lang w:val="en-GB" w:eastAsia="en-GB"/>
          <w14:ligatures w14:val="none"/>
        </w:rPr>
        <w:t>Lu</w:t>
      </w:r>
      <w:r w:rsidRPr="004A188B">
        <w:rPr>
          <w:rFonts w:ascii="Funnel Sans" w:eastAsia="Times New Roman" w:hAnsi="Funnel Sans" w:cs="Times New Roman"/>
          <w:kern w:val="0"/>
          <w:sz w:val="22"/>
          <w:szCs w:val="22"/>
          <w:lang w:val="en-GB" w:eastAsia="en-GB"/>
          <w14:ligatures w14:val="none"/>
        </w:rPr>
        <w:t xml:space="preserve">-derived time-activity curves and organ/tumor residence times are the patient-specific input from which </w:t>
      </w:r>
      <w:r w:rsidRPr="009B5290">
        <w:rPr>
          <w:rFonts w:ascii="Funnel Sans" w:eastAsia="Times New Roman" w:hAnsi="Funnel Sans" w:cs="Times New Roman"/>
          <w:kern w:val="0"/>
          <w:sz w:val="22"/>
          <w:szCs w:val="22"/>
          <w:lang w:val="en-GB" w:eastAsia="en-GB"/>
          <w14:ligatures w14:val="none"/>
        </w:rPr>
        <w:t xml:space="preserve">we calculate predicted </w:t>
      </w:r>
      <w:r w:rsidR="00750833" w:rsidRPr="00750833">
        <w:rPr>
          <w:rFonts w:ascii="Funnel Sans" w:eastAsia="Times New Roman" w:hAnsi="Funnel Sans" w:cs="Times New Roman"/>
          <w:kern w:val="0"/>
          <w:sz w:val="22"/>
          <w:szCs w:val="22"/>
          <w:vertAlign w:val="superscript"/>
          <w:lang w:val="en-GB" w:eastAsia="en-GB"/>
          <w14:ligatures w14:val="none"/>
        </w:rPr>
        <w:t>225</w:t>
      </w:r>
      <w:r w:rsidR="00750833" w:rsidRPr="00DA6D44">
        <w:rPr>
          <w:rFonts w:ascii="Funnel Sans" w:eastAsia="Times New Roman" w:hAnsi="Funnel Sans" w:cs="Times New Roman"/>
          <w:kern w:val="0"/>
          <w:sz w:val="22"/>
          <w:szCs w:val="22"/>
          <w:lang w:val="en-GB" w:eastAsia="en-GB"/>
          <w14:ligatures w14:val="none"/>
        </w:rPr>
        <w:t>Ac</w:t>
      </w:r>
      <w:r w:rsidRPr="009B5290">
        <w:rPr>
          <w:rFonts w:ascii="Funnel Sans" w:eastAsia="Times New Roman" w:hAnsi="Funnel Sans" w:cs="Times New Roman"/>
          <w:kern w:val="0"/>
          <w:sz w:val="22"/>
          <w:szCs w:val="22"/>
          <w:lang w:val="en-GB" w:eastAsia="en-GB"/>
          <w14:ligatures w14:val="none"/>
        </w:rPr>
        <w:t xml:space="preserve"> dosimetry</w:t>
      </w:r>
      <w:r w:rsidR="00A23947" w:rsidRPr="009B5290">
        <w:rPr>
          <w:rFonts w:ascii="Funnel Sans" w:eastAsia="Times New Roman" w:hAnsi="Funnel Sans" w:cs="Times New Roman"/>
          <w:kern w:val="0"/>
          <w:sz w:val="22"/>
          <w:szCs w:val="22"/>
          <w:lang w:val="en-GB" w:eastAsia="en-GB"/>
          <w14:ligatures w14:val="none"/>
        </w:rPr>
        <w:t xml:space="preserve"> using established </w:t>
      </w:r>
      <w:r w:rsidR="000B0021" w:rsidRPr="009B5290">
        <w:rPr>
          <w:rFonts w:ascii="Funnel Sans" w:eastAsia="Times New Roman" w:hAnsi="Funnel Sans" w:cs="Times New Roman"/>
          <w:kern w:val="0"/>
          <w:sz w:val="22"/>
          <w:szCs w:val="22"/>
          <w:lang w:val="en-GB" w:eastAsia="en-GB"/>
          <w14:ligatures w14:val="none"/>
        </w:rPr>
        <w:t>&amp; accurate methods</w:t>
      </w:r>
      <w:r w:rsidRPr="009B5290">
        <w:rPr>
          <w:rFonts w:ascii="Funnel Sans" w:eastAsia="Times New Roman" w:hAnsi="Funnel Sans" w:cs="Times New Roman"/>
          <w:kern w:val="0"/>
          <w:sz w:val="22"/>
          <w:szCs w:val="22"/>
          <w:lang w:val="en-GB" w:eastAsia="en-GB"/>
          <w14:ligatures w14:val="none"/>
        </w:rPr>
        <w:t xml:space="preserve">. Because peptide pharmacokinetics are driven by the vector and not the radiometal, the </w:t>
      </w:r>
      <w:r w:rsidR="00750833" w:rsidRPr="00750833">
        <w:rPr>
          <w:rFonts w:ascii="Funnel Sans" w:eastAsia="Times New Roman" w:hAnsi="Funnel Sans" w:cs="Times New Roman"/>
          <w:kern w:val="0"/>
          <w:sz w:val="22"/>
          <w:szCs w:val="22"/>
          <w:vertAlign w:val="superscript"/>
          <w:lang w:val="en-GB" w:eastAsia="en-GB"/>
          <w14:ligatures w14:val="none"/>
        </w:rPr>
        <w:t>177</w:t>
      </w:r>
      <w:r w:rsidR="00750833" w:rsidRPr="00DA6D44">
        <w:rPr>
          <w:rFonts w:ascii="Funnel Sans" w:eastAsia="Times New Roman" w:hAnsi="Funnel Sans" w:cs="Times New Roman"/>
          <w:kern w:val="0"/>
          <w:sz w:val="22"/>
          <w:szCs w:val="22"/>
          <w:lang w:val="en-GB" w:eastAsia="en-GB"/>
          <w14:ligatures w14:val="none"/>
        </w:rPr>
        <w:t>Lu</w:t>
      </w:r>
      <w:r w:rsidRPr="009B5290">
        <w:rPr>
          <w:rFonts w:ascii="Funnel Sans" w:eastAsia="Times New Roman" w:hAnsi="Funnel Sans" w:cs="Times New Roman"/>
          <w:kern w:val="0"/>
          <w:sz w:val="22"/>
          <w:szCs w:val="22"/>
          <w:lang w:val="en-GB" w:eastAsia="en-GB"/>
          <w14:ligatures w14:val="none"/>
        </w:rPr>
        <w:t xml:space="preserve"> residence times are re-weighted by the </w:t>
      </w:r>
      <w:r w:rsidR="00750833" w:rsidRPr="00750833">
        <w:rPr>
          <w:rFonts w:ascii="Funnel Sans" w:eastAsia="Times New Roman" w:hAnsi="Funnel Sans" w:cs="Times New Roman"/>
          <w:kern w:val="0"/>
          <w:sz w:val="22"/>
          <w:szCs w:val="22"/>
          <w:vertAlign w:val="superscript"/>
          <w:lang w:val="en-GB" w:eastAsia="en-GB"/>
          <w14:ligatures w14:val="none"/>
        </w:rPr>
        <w:t>225</w:t>
      </w:r>
      <w:r w:rsidR="00750833" w:rsidRPr="00DA6D44">
        <w:rPr>
          <w:rFonts w:ascii="Funnel Sans" w:eastAsia="Times New Roman" w:hAnsi="Funnel Sans" w:cs="Times New Roman"/>
          <w:kern w:val="0"/>
          <w:sz w:val="22"/>
          <w:szCs w:val="22"/>
          <w:lang w:val="en-GB" w:eastAsia="en-GB"/>
          <w14:ligatures w14:val="none"/>
        </w:rPr>
        <w:t>Ac</w:t>
      </w:r>
      <w:r w:rsidRPr="009B5290">
        <w:rPr>
          <w:rFonts w:ascii="Funnel Sans" w:eastAsia="Times New Roman" w:hAnsi="Funnel Sans" w:cs="Times New Roman"/>
          <w:kern w:val="0"/>
          <w:sz w:val="22"/>
          <w:szCs w:val="22"/>
          <w:lang w:val="en-GB" w:eastAsia="en-GB"/>
          <w14:ligatures w14:val="none"/>
        </w:rPr>
        <w:t xml:space="preserve"> decay scheme and emission energies (alpha plus daughters) to project </w:t>
      </w:r>
      <w:r w:rsidR="00750833" w:rsidRPr="00750833">
        <w:rPr>
          <w:rFonts w:ascii="Funnel Sans" w:eastAsia="Times New Roman" w:hAnsi="Funnel Sans" w:cs="Funnel Sans"/>
          <w:kern w:val="0"/>
          <w:sz w:val="22"/>
          <w:szCs w:val="22"/>
          <w:vertAlign w:val="superscript"/>
          <w:lang w:val="en-GB" w:eastAsia="en-GB"/>
          <w14:ligatures w14:val="none"/>
        </w:rPr>
        <w:t>225</w:t>
      </w:r>
      <w:r w:rsidR="00750833" w:rsidRPr="00DA6D44">
        <w:rPr>
          <w:rFonts w:ascii="Funnel Sans" w:eastAsia="Times New Roman" w:hAnsi="Funnel Sans" w:cs="Funnel Sans"/>
          <w:kern w:val="0"/>
          <w:sz w:val="22"/>
          <w:szCs w:val="22"/>
          <w:lang w:val="en-GB" w:eastAsia="en-GB"/>
          <w14:ligatures w14:val="none"/>
        </w:rPr>
        <w:t>Ac</w:t>
      </w:r>
      <w:r w:rsidRPr="009B5290">
        <w:rPr>
          <w:rFonts w:ascii="Funnel Sans" w:eastAsia="Times New Roman" w:hAnsi="Funnel Sans" w:cs="Times New Roman"/>
          <w:kern w:val="0"/>
          <w:sz w:val="22"/>
          <w:szCs w:val="22"/>
          <w:lang w:val="en-GB" w:eastAsia="en-GB"/>
          <w14:ligatures w14:val="none"/>
        </w:rPr>
        <w:t xml:space="preserve"> Gy/GBq for each organ at risk and for tumor. </w:t>
      </w:r>
      <w:r w:rsidR="00697CF9">
        <w:rPr>
          <w:rFonts w:ascii="Funnel Sans" w:eastAsia="Times New Roman" w:hAnsi="Funnel Sans" w:cs="Times New Roman"/>
          <w:kern w:val="0"/>
          <w:sz w:val="22"/>
          <w:szCs w:val="22"/>
          <w:lang w:val="en-GB" w:eastAsia="en-GB"/>
          <w14:ligatures w14:val="none"/>
        </w:rPr>
        <w:t xml:space="preserve">This enables </w:t>
      </w:r>
      <w:r w:rsidR="00A00383">
        <w:rPr>
          <w:rFonts w:ascii="Funnel Sans" w:eastAsia="Times New Roman" w:hAnsi="Funnel Sans" w:cs="Times New Roman"/>
          <w:kern w:val="0"/>
          <w:sz w:val="22"/>
          <w:szCs w:val="22"/>
          <w:lang w:val="en-GB" w:eastAsia="en-GB"/>
          <w14:ligatures w14:val="none"/>
        </w:rPr>
        <w:t xml:space="preserve">us to define a therapeutic window </w:t>
      </w:r>
      <w:r w:rsidR="006D28F9">
        <w:rPr>
          <w:rFonts w:ascii="Funnel Sans" w:eastAsia="Times New Roman" w:hAnsi="Funnel Sans" w:cs="Times New Roman"/>
          <w:kern w:val="0"/>
          <w:sz w:val="22"/>
          <w:szCs w:val="22"/>
          <w:lang w:val="en-GB" w:eastAsia="en-GB"/>
          <w14:ligatures w14:val="none"/>
        </w:rPr>
        <w:t xml:space="preserve">that does not exceed accepted EBRT critical dose limits from the Ph 0 data. </w:t>
      </w:r>
      <w:r w:rsidR="00996088" w:rsidRPr="009B5290">
        <w:rPr>
          <w:rFonts w:ascii="Funnel Sans" w:eastAsia="Times New Roman" w:hAnsi="Funnel Sans" w:cs="Times New Roman"/>
          <w:kern w:val="0"/>
          <w:sz w:val="22"/>
          <w:szCs w:val="22"/>
          <w:lang w:val="en-GB" w:eastAsia="en-GB"/>
          <w14:ligatures w14:val="none"/>
        </w:rPr>
        <w:t>Because th</w:t>
      </w:r>
      <w:r w:rsidR="008B1973" w:rsidRPr="009B5290">
        <w:rPr>
          <w:rFonts w:ascii="Funnel Sans" w:eastAsia="Times New Roman" w:hAnsi="Funnel Sans" w:cs="Times New Roman"/>
          <w:kern w:val="0"/>
          <w:sz w:val="22"/>
          <w:szCs w:val="22"/>
          <w:lang w:val="en-GB" w:eastAsia="en-GB"/>
          <w14:ligatures w14:val="none"/>
        </w:rPr>
        <w:t>is re-weighting is standa</w:t>
      </w:r>
      <w:r w:rsidR="008B1973">
        <w:rPr>
          <w:rFonts w:ascii="Funnel Sans" w:eastAsia="Times New Roman" w:hAnsi="Funnel Sans" w:cs="Times New Roman"/>
          <w:kern w:val="0"/>
          <w:sz w:val="22"/>
          <w:szCs w:val="22"/>
          <w:lang w:val="en-GB" w:eastAsia="en-GB"/>
          <w14:ligatures w14:val="none"/>
        </w:rPr>
        <w:t>rd in RLT</w:t>
      </w:r>
      <w:r w:rsidR="006D28F9">
        <w:rPr>
          <w:rFonts w:ascii="Funnel Sans" w:eastAsia="Times New Roman" w:hAnsi="Funnel Sans" w:cs="Times New Roman"/>
          <w:kern w:val="0"/>
          <w:sz w:val="22"/>
          <w:szCs w:val="22"/>
          <w:lang w:val="en-GB" w:eastAsia="en-GB"/>
          <w14:ligatures w14:val="none"/>
        </w:rPr>
        <w:t xml:space="preserve">, </w:t>
      </w:r>
      <w:r w:rsidR="008B1973">
        <w:rPr>
          <w:rFonts w:ascii="Funnel Sans" w:eastAsia="Times New Roman" w:hAnsi="Funnel Sans" w:cs="Times New Roman"/>
          <w:kern w:val="0"/>
          <w:sz w:val="22"/>
          <w:szCs w:val="22"/>
          <w:lang w:val="en-GB" w:eastAsia="en-GB"/>
          <w14:ligatures w14:val="none"/>
        </w:rPr>
        <w:t>driven by physics,</w:t>
      </w:r>
      <w:r w:rsidR="006D28F9">
        <w:rPr>
          <w:rFonts w:ascii="Funnel Sans" w:eastAsia="Times New Roman" w:hAnsi="Funnel Sans" w:cs="Times New Roman"/>
          <w:kern w:val="0"/>
          <w:sz w:val="22"/>
          <w:szCs w:val="22"/>
          <w:lang w:val="en-GB" w:eastAsia="en-GB"/>
          <w14:ligatures w14:val="none"/>
        </w:rPr>
        <w:t xml:space="preserve"> and enables definition of a therapeutic window directly,</w:t>
      </w:r>
      <w:r w:rsidR="008B1973">
        <w:rPr>
          <w:rFonts w:ascii="Funnel Sans" w:eastAsia="Times New Roman" w:hAnsi="Funnel Sans" w:cs="Times New Roman"/>
          <w:kern w:val="0"/>
          <w:sz w:val="22"/>
          <w:szCs w:val="22"/>
          <w:lang w:val="en-GB" w:eastAsia="en-GB"/>
          <w14:ligatures w14:val="none"/>
        </w:rPr>
        <w:t xml:space="preserve"> we can justify a </w:t>
      </w:r>
      <w:r w:rsidR="007A5C8A">
        <w:rPr>
          <w:rFonts w:ascii="Funnel Sans" w:eastAsia="Times New Roman" w:hAnsi="Funnel Sans" w:cs="Times New Roman"/>
          <w:kern w:val="0"/>
          <w:sz w:val="22"/>
          <w:szCs w:val="22"/>
          <w:lang w:val="en-GB" w:eastAsia="en-GB"/>
          <w14:ligatures w14:val="none"/>
        </w:rPr>
        <w:t xml:space="preserve">specific, higher </w:t>
      </w:r>
      <w:r w:rsidR="00750833" w:rsidRPr="00750833">
        <w:rPr>
          <w:rFonts w:ascii="Funnel Sans" w:eastAsia="Times New Roman" w:hAnsi="Funnel Sans" w:cs="Times New Roman"/>
          <w:kern w:val="0"/>
          <w:sz w:val="22"/>
          <w:szCs w:val="22"/>
          <w:vertAlign w:val="superscript"/>
          <w:lang w:val="en-GB" w:eastAsia="en-GB"/>
          <w14:ligatures w14:val="none"/>
        </w:rPr>
        <w:t>225</w:t>
      </w:r>
      <w:r w:rsidR="00750833" w:rsidRPr="00DA6D44">
        <w:rPr>
          <w:rFonts w:ascii="Funnel Sans" w:eastAsia="Times New Roman" w:hAnsi="Funnel Sans" w:cs="Times New Roman"/>
          <w:kern w:val="0"/>
          <w:sz w:val="22"/>
          <w:szCs w:val="22"/>
          <w:lang w:val="en-GB" w:eastAsia="en-GB"/>
          <w14:ligatures w14:val="none"/>
        </w:rPr>
        <w:t>Ac</w:t>
      </w:r>
      <w:r w:rsidR="007A5C8A">
        <w:rPr>
          <w:rFonts w:ascii="Funnel Sans" w:eastAsia="Times New Roman" w:hAnsi="Funnel Sans" w:cs="Times New Roman"/>
          <w:kern w:val="0"/>
          <w:sz w:val="22"/>
          <w:szCs w:val="22"/>
          <w:lang w:val="en-GB" w:eastAsia="en-GB"/>
          <w14:ligatures w14:val="none"/>
        </w:rPr>
        <w:t xml:space="preserve"> </w:t>
      </w:r>
      <w:commentRangeStart w:id="13"/>
      <w:r w:rsidR="000415CB">
        <w:rPr>
          <w:rFonts w:ascii="Funnel Sans" w:eastAsia="Times New Roman" w:hAnsi="Funnel Sans" w:cs="Times New Roman"/>
          <w:kern w:val="0"/>
          <w:sz w:val="22"/>
          <w:szCs w:val="22"/>
          <w:lang w:val="en-GB" w:eastAsia="en-GB"/>
          <w14:ligatures w14:val="none"/>
        </w:rPr>
        <w:t xml:space="preserve">more relevant </w:t>
      </w:r>
      <w:commentRangeEnd w:id="13"/>
      <w:r w:rsidR="000415CB">
        <w:rPr>
          <w:rStyle w:val="CommentReference"/>
          <w:rFonts w:ascii="Funnel Sans" w:eastAsia="Times New Roman" w:hAnsi="Funnel Sans" w:cs="Times New Roman"/>
          <w:kern w:val="0"/>
          <w:sz w:val="22"/>
          <w:szCs w:val="22"/>
          <w:lang w:val="en-GB" w:eastAsia="en-GB"/>
          <w14:ligatures w14:val="none"/>
        </w:rPr>
        <w:commentReference w:id="13"/>
      </w:r>
      <w:r w:rsidR="007A5C8A">
        <w:rPr>
          <w:rFonts w:ascii="Funnel Sans" w:eastAsia="Times New Roman" w:hAnsi="Funnel Sans" w:cs="Times New Roman"/>
          <w:kern w:val="0"/>
          <w:sz w:val="22"/>
          <w:szCs w:val="22"/>
          <w:lang w:val="en-GB" w:eastAsia="en-GB"/>
          <w14:ligatures w14:val="none"/>
        </w:rPr>
        <w:t xml:space="preserve">starting dose </w:t>
      </w:r>
      <w:r w:rsidR="00A24E58">
        <w:rPr>
          <w:rFonts w:ascii="Funnel Sans" w:eastAsia="Times New Roman" w:hAnsi="Funnel Sans" w:cs="Times New Roman"/>
          <w:kern w:val="0"/>
          <w:sz w:val="22"/>
          <w:szCs w:val="22"/>
          <w:lang w:val="en-GB" w:eastAsia="en-GB"/>
          <w14:ligatures w14:val="none"/>
        </w:rPr>
        <w:t xml:space="preserve">vs. if we had no human data on the molecule. </w:t>
      </w:r>
    </w:p>
    <w:p w14:paraId="192AC04F" w14:textId="2DF39583" w:rsidR="003F12C0" w:rsidRPr="00C310C6" w:rsidRDefault="00C557BE" w:rsidP="0045211A">
      <w:pPr>
        <w:jc w:val="both"/>
        <w:rPr>
          <w:rFonts w:ascii="Funnel Sans" w:eastAsia="Times New Roman" w:hAnsi="Funnel Sans" w:cs="Times New Roman"/>
          <w:kern w:val="0"/>
          <w:sz w:val="22"/>
          <w:szCs w:val="22"/>
          <w:lang w:val="en-GB" w:eastAsia="en-GB"/>
          <w14:ligatures w14:val="none"/>
        </w:rPr>
      </w:pPr>
      <w:r>
        <w:rPr>
          <w:rFonts w:ascii="Funnel Sans" w:eastAsia="Times New Roman" w:hAnsi="Funnel Sans" w:cs="Times New Roman"/>
          <w:kern w:val="0"/>
          <w:sz w:val="22"/>
          <w:szCs w:val="22"/>
          <w:lang w:val="en-GB" w:eastAsia="en-GB"/>
          <w14:ligatures w14:val="none"/>
        </w:rPr>
        <w:t xml:space="preserve">While these approaches are established for </w:t>
      </w:r>
      <w:r w:rsidR="006B221D">
        <w:rPr>
          <w:rFonts w:ascii="Funnel Sans" w:eastAsia="Times New Roman" w:hAnsi="Funnel Sans" w:cs="Times New Roman"/>
          <w:kern w:val="0"/>
          <w:sz w:val="22"/>
          <w:szCs w:val="22"/>
          <w:lang w:val="en-GB" w:eastAsia="en-GB"/>
          <w14:ligatures w14:val="none"/>
        </w:rPr>
        <w:t>acute</w:t>
      </w:r>
      <w:r>
        <w:rPr>
          <w:rFonts w:ascii="Funnel Sans" w:eastAsia="Times New Roman" w:hAnsi="Funnel Sans" w:cs="Times New Roman"/>
          <w:kern w:val="0"/>
          <w:sz w:val="22"/>
          <w:szCs w:val="22"/>
          <w:lang w:val="en-GB" w:eastAsia="en-GB"/>
          <w14:ligatures w14:val="none"/>
        </w:rPr>
        <w:t xml:space="preserve"> toxicities and initiation of Ph 1 studies, prediction of </w:t>
      </w:r>
      <w:r w:rsidR="00116A2A">
        <w:rPr>
          <w:rFonts w:ascii="Funnel Sans" w:eastAsia="Times New Roman" w:hAnsi="Funnel Sans" w:cs="Times New Roman"/>
          <w:kern w:val="0"/>
          <w:sz w:val="22"/>
          <w:szCs w:val="22"/>
          <w:lang w:val="en-GB" w:eastAsia="en-GB"/>
          <w14:ligatures w14:val="none"/>
        </w:rPr>
        <w:t>long-term</w:t>
      </w:r>
      <w:r w:rsidR="00C310C6">
        <w:rPr>
          <w:rFonts w:ascii="Funnel Sans" w:eastAsia="Times New Roman" w:hAnsi="Funnel Sans" w:cs="Times New Roman"/>
          <w:kern w:val="0"/>
          <w:sz w:val="22"/>
          <w:szCs w:val="22"/>
          <w:lang w:val="en-GB" w:eastAsia="en-GB"/>
          <w14:ligatures w14:val="none"/>
        </w:rPr>
        <w:t xml:space="preserve"> toxicity from Ph 0 data would be highly appealing in derisking assets.</w:t>
      </w:r>
      <w:r w:rsidR="00C310C6" w:rsidRPr="004A188B">
        <w:rPr>
          <w:rFonts w:ascii="Funnel Sans" w:hAnsi="Funnel Sans"/>
          <w:color w:val="000000"/>
          <w:sz w:val="22"/>
          <w:szCs w:val="22"/>
        </w:rPr>
        <w:t xml:space="preserve"> To address these gaps, Sego is developing an in silico Ph1 platform</w:t>
      </w:r>
      <w:r w:rsidR="00C310C6">
        <w:rPr>
          <w:rFonts w:ascii="Funnel Sans" w:hAnsi="Funnel Sans"/>
          <w:color w:val="000000"/>
          <w:sz w:val="22"/>
          <w:szCs w:val="22"/>
        </w:rPr>
        <w:t xml:space="preserve"> </w:t>
      </w:r>
      <w:r w:rsidR="00C310C6" w:rsidRPr="004A188B">
        <w:rPr>
          <w:rFonts w:ascii="Funnel Sans" w:hAnsi="Funnel Sans"/>
          <w:color w:val="000000"/>
          <w:sz w:val="22"/>
          <w:szCs w:val="22"/>
        </w:rPr>
        <w:t>trained on historical RLT patient datasets and combined with our Ph0 dosimetry</w:t>
      </w:r>
      <w:r w:rsidR="00C310C6">
        <w:rPr>
          <w:rFonts w:ascii="Funnel Sans" w:hAnsi="Funnel Sans"/>
          <w:color w:val="000000"/>
          <w:sz w:val="22"/>
          <w:szCs w:val="22"/>
        </w:rPr>
        <w:t xml:space="preserve"> </w:t>
      </w:r>
      <w:r w:rsidR="00C310C6" w:rsidRPr="004A188B">
        <w:rPr>
          <w:rFonts w:ascii="Funnel Sans" w:hAnsi="Funnel Sans"/>
          <w:color w:val="000000"/>
          <w:sz w:val="22"/>
          <w:szCs w:val="22"/>
        </w:rPr>
        <w:t>to simulate dose escalation in virtual cohorts and inform efficacy</w:t>
      </w:r>
      <w:r w:rsidR="00C310C6">
        <w:rPr>
          <w:rFonts w:ascii="Funnel Sans" w:hAnsi="Funnel Sans"/>
          <w:color w:val="000000"/>
          <w:sz w:val="22"/>
          <w:szCs w:val="22"/>
        </w:rPr>
        <w:t xml:space="preserve"> and </w:t>
      </w:r>
      <w:r w:rsidR="00116A2A">
        <w:rPr>
          <w:rFonts w:ascii="Funnel Sans" w:hAnsi="Funnel Sans"/>
          <w:color w:val="000000"/>
          <w:sz w:val="22"/>
          <w:szCs w:val="22"/>
        </w:rPr>
        <w:t>long-term</w:t>
      </w:r>
      <w:r w:rsidR="00C310C6">
        <w:rPr>
          <w:rFonts w:ascii="Funnel Sans" w:hAnsi="Funnel Sans"/>
          <w:color w:val="000000"/>
          <w:sz w:val="22"/>
          <w:szCs w:val="22"/>
        </w:rPr>
        <w:t xml:space="preserve"> </w:t>
      </w:r>
      <w:r w:rsidR="00C310C6" w:rsidRPr="004A188B">
        <w:rPr>
          <w:rFonts w:ascii="Funnel Sans" w:hAnsi="Funnel Sans"/>
          <w:color w:val="000000"/>
          <w:sz w:val="22"/>
          <w:szCs w:val="22"/>
        </w:rPr>
        <w:t>tolerability</w:t>
      </w:r>
      <w:r w:rsidR="00C310C6">
        <w:rPr>
          <w:rFonts w:ascii="Funnel Sans" w:hAnsi="Funnel Sans"/>
          <w:color w:val="000000"/>
          <w:sz w:val="22"/>
          <w:szCs w:val="22"/>
        </w:rPr>
        <w:t>.</w:t>
      </w:r>
    </w:p>
    <w:p w14:paraId="4B440388" w14:textId="77777777" w:rsidR="003659D2" w:rsidRDefault="003659D2" w:rsidP="0045211A">
      <w:pPr>
        <w:jc w:val="both"/>
        <w:rPr>
          <w:rFonts w:ascii="Funnel Sans" w:hAnsi="Funnel Sans"/>
          <w:color w:val="156082"/>
          <w:sz w:val="22"/>
        </w:rPr>
      </w:pPr>
      <w:commentRangeStart w:id="14"/>
      <w:commentRangeStart w:id="15"/>
      <w:commentRangeStart w:id="16"/>
      <w:r w:rsidRPr="003659D2">
        <w:rPr>
          <w:rFonts w:ascii="Funnel Sans" w:hAnsi="Funnel Sans"/>
          <w:color w:val="156082"/>
          <w:sz w:val="22"/>
        </w:rPr>
        <w:lastRenderedPageBreak/>
        <w:t>After selecting a lead imaging molecule, how much more optimization is required for the final isotope and does this significantly change the properties observed at Ph0?</w:t>
      </w:r>
      <w:commentRangeEnd w:id="14"/>
      <w:r w:rsidR="00B054F6">
        <w:rPr>
          <w:rStyle w:val="CommentReference"/>
          <w:rFonts w:ascii="Funnel Sans" w:hAnsi="Funnel Sans"/>
          <w:color w:val="156082"/>
          <w:sz w:val="22"/>
          <w:szCs w:val="24"/>
        </w:rPr>
        <w:commentReference w:id="14"/>
      </w:r>
      <w:commentRangeEnd w:id="15"/>
      <w:r w:rsidR="006C7E43">
        <w:rPr>
          <w:rStyle w:val="CommentReference"/>
          <w:rFonts w:ascii="Funnel Sans" w:hAnsi="Funnel Sans"/>
          <w:color w:val="156082"/>
          <w:sz w:val="22"/>
          <w:szCs w:val="24"/>
        </w:rPr>
        <w:commentReference w:id="15"/>
      </w:r>
      <w:commentRangeEnd w:id="16"/>
      <w:r w:rsidR="004C1162">
        <w:rPr>
          <w:rStyle w:val="CommentReference"/>
          <w:rFonts w:ascii="Funnel Sans" w:hAnsi="Funnel Sans"/>
          <w:color w:val="156082"/>
          <w:sz w:val="22"/>
          <w:szCs w:val="24"/>
        </w:rPr>
        <w:commentReference w:id="16"/>
      </w:r>
    </w:p>
    <w:p w14:paraId="3E3ABBCE" w14:textId="53DC2387" w:rsidR="00C82F62" w:rsidRDefault="005C21E5" w:rsidP="0045211A">
      <w:pPr>
        <w:jc w:val="both"/>
        <w:rPr>
          <w:rFonts w:ascii="Funnel Sans" w:hAnsi="Funnel Sans"/>
          <w:color w:val="000000"/>
          <w:sz w:val="22"/>
        </w:rPr>
      </w:pPr>
      <w:r w:rsidRPr="005C21E5">
        <w:rPr>
          <w:rFonts w:ascii="Funnel Sans" w:hAnsi="Funnel Sans"/>
          <w:color w:val="000000"/>
          <w:sz w:val="22"/>
        </w:rPr>
        <w:t xml:space="preserve">The Ph 0 study uses </w:t>
      </w:r>
      <w:r w:rsidR="00750833" w:rsidRPr="00750833">
        <w:rPr>
          <w:rFonts w:ascii="Funnel Sans" w:hAnsi="Funnel Sans"/>
          <w:color w:val="000000"/>
          <w:sz w:val="22"/>
          <w:vertAlign w:val="superscript"/>
        </w:rPr>
        <w:t>177</w:t>
      </w:r>
      <w:r w:rsidR="00750833" w:rsidRPr="00DA6D44">
        <w:rPr>
          <w:rFonts w:ascii="Funnel Sans" w:hAnsi="Funnel Sans"/>
          <w:color w:val="000000"/>
          <w:sz w:val="22"/>
        </w:rPr>
        <w:t>Lu</w:t>
      </w:r>
      <w:r w:rsidRPr="005C21E5">
        <w:rPr>
          <w:rFonts w:ascii="Funnel Sans" w:hAnsi="Funnel Sans"/>
          <w:color w:val="000000"/>
          <w:sz w:val="22"/>
        </w:rPr>
        <w:t xml:space="preserve"> as the imaging isotope</w:t>
      </w:r>
      <w:r w:rsidR="00FF6B6F">
        <w:rPr>
          <w:rFonts w:ascii="Funnel Sans" w:hAnsi="Funnel Sans"/>
          <w:color w:val="000000"/>
          <w:sz w:val="22"/>
        </w:rPr>
        <w:t xml:space="preserve"> for the dosimetry cohort</w:t>
      </w:r>
      <w:r w:rsidRPr="005C21E5">
        <w:rPr>
          <w:rFonts w:ascii="Funnel Sans" w:hAnsi="Funnel Sans"/>
          <w:color w:val="000000"/>
          <w:sz w:val="22"/>
        </w:rPr>
        <w:t xml:space="preserve">. Switching to the </w:t>
      </w:r>
      <w:r w:rsidR="00FF6B6F">
        <w:rPr>
          <w:rFonts w:ascii="Funnel Sans" w:hAnsi="Funnel Sans"/>
          <w:color w:val="000000"/>
          <w:sz w:val="22"/>
        </w:rPr>
        <w:t xml:space="preserve">desired </w:t>
      </w:r>
      <w:r w:rsidRPr="005C21E5">
        <w:rPr>
          <w:rFonts w:ascii="Funnel Sans" w:hAnsi="Funnel Sans"/>
          <w:color w:val="000000"/>
          <w:sz w:val="22"/>
        </w:rPr>
        <w:t xml:space="preserve">therapeutic isotope,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5C21E5">
        <w:rPr>
          <w:rFonts w:ascii="Funnel Sans" w:hAnsi="Funnel Sans"/>
          <w:color w:val="000000"/>
          <w:sz w:val="22"/>
        </w:rPr>
        <w:t>, requires minimal further optimization because the peptide scaffold (affinity, internalization, clearance kinetics) does not change between isotopes</w:t>
      </w:r>
      <w:r w:rsidR="00ED795A">
        <w:rPr>
          <w:rFonts w:ascii="Funnel Sans" w:hAnsi="Funnel Sans"/>
          <w:color w:val="000000"/>
          <w:sz w:val="22"/>
        </w:rPr>
        <w:t xml:space="preserve"> as they are both 3+ lanthanides and chelator DOTA in the same way.</w:t>
      </w:r>
      <w:r w:rsidRPr="005C21E5">
        <w:rPr>
          <w:rFonts w:ascii="Funnel Sans" w:hAnsi="Funnel Sans"/>
          <w:color w:val="000000"/>
          <w:sz w:val="22"/>
        </w:rPr>
        <w:t xml:space="preserve"> PK properties observed at Phase 0 have proven predictive of therapeutic-dose behavior in Lutathera and Pluvicto. </w:t>
      </w:r>
    </w:p>
    <w:p w14:paraId="6441DA15" w14:textId="371B3D24" w:rsidR="00C82F62" w:rsidRDefault="00280B51" w:rsidP="0045211A">
      <w:pPr>
        <w:jc w:val="both"/>
        <w:rPr>
          <w:rFonts w:ascii="Funnel Sans" w:hAnsi="Funnel Sans"/>
          <w:color w:val="000000"/>
          <w:sz w:val="22"/>
        </w:rPr>
      </w:pPr>
      <w:r w:rsidRPr="00280B51">
        <w:rPr>
          <w:rFonts w:ascii="Funnel Sans" w:hAnsi="Funnel Sans"/>
          <w:color w:val="000000"/>
          <w:sz w:val="22"/>
        </w:rPr>
        <w:t xml:space="preserve">The primary variables are chelator compatibility, radiolabeling conditions, and formulation stability, all of which </w:t>
      </w:r>
      <w:r w:rsidR="00670A8B">
        <w:rPr>
          <w:rFonts w:ascii="Funnel Sans" w:hAnsi="Funnel Sans"/>
          <w:color w:val="000000"/>
          <w:sz w:val="22"/>
        </w:rPr>
        <w:t xml:space="preserve">will be explored </w:t>
      </w:r>
      <w:r w:rsidR="00C82F62">
        <w:rPr>
          <w:rFonts w:ascii="Funnel Sans" w:hAnsi="Funnel Sans"/>
          <w:color w:val="000000"/>
          <w:sz w:val="22"/>
        </w:rPr>
        <w:t>preclinically</w:t>
      </w:r>
      <w:r w:rsidR="00670A8B">
        <w:rPr>
          <w:rFonts w:ascii="Funnel Sans" w:hAnsi="Funnel Sans"/>
          <w:color w:val="000000"/>
          <w:sz w:val="22"/>
        </w:rPr>
        <w:t xml:space="preserve"> across different potential therapeutic isotopes in parallel (or in advance) of an FIH imaging study. </w:t>
      </w:r>
      <w:r w:rsidRPr="00280B51">
        <w:rPr>
          <w:rFonts w:ascii="Funnel Sans" w:hAnsi="Funnel Sans"/>
          <w:color w:val="000000"/>
          <w:sz w:val="22"/>
        </w:rPr>
        <w:t xml:space="preserve">To minimize the optimization gap between imaging and therapeutic isotope, Sego </w:t>
      </w:r>
      <w:r w:rsidR="00C82F62">
        <w:rPr>
          <w:rFonts w:ascii="Funnel Sans" w:hAnsi="Funnel Sans"/>
          <w:color w:val="000000"/>
          <w:sz w:val="22"/>
        </w:rPr>
        <w:t>will utilize</w:t>
      </w:r>
      <w:r w:rsidRPr="00280B51">
        <w:rPr>
          <w:rFonts w:ascii="Funnel Sans" w:hAnsi="Funnel Sans"/>
          <w:color w:val="000000"/>
          <w:sz w:val="22"/>
        </w:rPr>
        <w:t xml:space="preserve"> a single multi-radionuclide chelator (DOTA/DOTAGA derivatives) compatible with </w:t>
      </w:r>
      <w:r w:rsidR="00750833" w:rsidRPr="00DA6D44">
        <w:rPr>
          <w:rFonts w:ascii="Funnel Sans" w:hAnsi="Funnel Sans"/>
          <w:color w:val="000000"/>
          <w:sz w:val="22"/>
          <w:vertAlign w:val="superscript"/>
        </w:rPr>
        <w:t>68</w:t>
      </w:r>
      <w:r w:rsidR="00750833" w:rsidRPr="00DA6D44">
        <w:rPr>
          <w:rFonts w:ascii="Funnel Sans" w:hAnsi="Funnel Sans"/>
          <w:color w:val="000000"/>
          <w:sz w:val="22"/>
        </w:rPr>
        <w:t>Ga</w:t>
      </w:r>
      <w:r w:rsidRPr="00280B51">
        <w:rPr>
          <w:rFonts w:ascii="Funnel Sans" w:hAnsi="Funnel Sans"/>
          <w:color w:val="000000"/>
          <w:sz w:val="22"/>
        </w:rPr>
        <w:t xml:space="preserve">, </w:t>
      </w:r>
      <w:r w:rsidR="00750833" w:rsidRPr="00750833">
        <w:rPr>
          <w:rFonts w:ascii="Funnel Sans" w:hAnsi="Funnel Sans"/>
          <w:color w:val="000000"/>
          <w:sz w:val="22"/>
          <w:vertAlign w:val="superscript"/>
        </w:rPr>
        <w:t>177</w:t>
      </w:r>
      <w:r w:rsidR="00750833" w:rsidRPr="00DA6D44">
        <w:rPr>
          <w:rFonts w:ascii="Funnel Sans" w:hAnsi="Funnel Sans"/>
          <w:color w:val="000000"/>
          <w:sz w:val="22"/>
        </w:rPr>
        <w:t>Lu</w:t>
      </w:r>
      <w:r w:rsidRPr="00280B51">
        <w:rPr>
          <w:rFonts w:ascii="Funnel Sans" w:hAnsi="Funnel Sans"/>
          <w:color w:val="000000"/>
          <w:sz w:val="22"/>
        </w:rPr>
        <w:t xml:space="preserve">,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Pr="00280B51">
        <w:rPr>
          <w:rFonts w:ascii="Funnel Sans" w:hAnsi="Funnel Sans"/>
          <w:color w:val="000000"/>
          <w:sz w:val="22"/>
        </w:rPr>
        <w:t xml:space="preserve">, and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280B51">
        <w:rPr>
          <w:rFonts w:ascii="Funnel Sans" w:hAnsi="Funnel Sans"/>
          <w:color w:val="000000"/>
          <w:sz w:val="22"/>
        </w:rPr>
        <w:t xml:space="preserve">. This removes the chelator variable when switching isotopes and avoids separate manufacturing development for each pairing. </w:t>
      </w:r>
    </w:p>
    <w:p w14:paraId="33066A37" w14:textId="77777777" w:rsidR="003659D2" w:rsidRDefault="003659D2" w:rsidP="0045211A">
      <w:pPr>
        <w:jc w:val="both"/>
        <w:rPr>
          <w:rFonts w:ascii="Funnel Sans" w:hAnsi="Funnel Sans"/>
          <w:color w:val="156082"/>
          <w:sz w:val="22"/>
        </w:rPr>
      </w:pPr>
      <w:commentRangeStart w:id="18"/>
      <w:r w:rsidRPr="003659D2">
        <w:rPr>
          <w:rFonts w:ascii="Funnel Sans" w:hAnsi="Funnel Sans"/>
          <w:color w:val="156082"/>
          <w:sz w:val="22"/>
        </w:rPr>
        <w:t>How do you view the long-term positioning of RLTs in the oncology treatment paradigm? Do you foresee a future where RLTs routinely become first-line treatments? How do you imagine we will overcome current delivery challenges?</w:t>
      </w:r>
      <w:commentRangeEnd w:id="18"/>
      <w:r w:rsidR="00B054F6">
        <w:rPr>
          <w:rStyle w:val="CommentReference"/>
          <w:rFonts w:ascii="Funnel Sans" w:hAnsi="Funnel Sans"/>
          <w:color w:val="156082"/>
          <w:sz w:val="22"/>
          <w:szCs w:val="24"/>
        </w:rPr>
        <w:commentReference w:id="18"/>
      </w:r>
    </w:p>
    <w:p w14:paraId="1A910E58" w14:textId="65FD1392" w:rsidR="00F62678" w:rsidRPr="00280B51" w:rsidRDefault="00280B51" w:rsidP="0045211A">
      <w:pPr>
        <w:jc w:val="both"/>
        <w:rPr>
          <w:rFonts w:ascii="Funnel Sans" w:hAnsi="Funnel Sans"/>
          <w:color w:val="000000"/>
          <w:sz w:val="22"/>
        </w:rPr>
      </w:pPr>
      <w:r w:rsidRPr="00280B51">
        <w:rPr>
          <w:rFonts w:ascii="Funnel Sans" w:hAnsi="Funnel Sans"/>
          <w:color w:val="000000"/>
          <w:sz w:val="22"/>
        </w:rPr>
        <w:t xml:space="preserve">RLT </w:t>
      </w:r>
      <w:r w:rsidR="005C21E5" w:rsidRPr="005C21E5">
        <w:rPr>
          <w:rFonts w:ascii="Funnel Sans" w:hAnsi="Funnel Sans"/>
          <w:color w:val="000000"/>
          <w:sz w:val="22"/>
        </w:rPr>
        <w:t>will</w:t>
      </w:r>
      <w:r w:rsidR="00040999">
        <w:rPr>
          <w:rFonts w:ascii="Funnel Sans" w:hAnsi="Funnel Sans"/>
          <w:color w:val="000000"/>
          <w:sz w:val="22"/>
        </w:rPr>
        <w:t xml:space="preserve"> absolutely</w:t>
      </w:r>
      <w:r w:rsidR="005C21E5" w:rsidRPr="005C21E5">
        <w:rPr>
          <w:rFonts w:ascii="Funnel Sans" w:hAnsi="Funnel Sans"/>
          <w:color w:val="000000"/>
          <w:sz w:val="22"/>
        </w:rPr>
        <w:t xml:space="preserve"> become a backbone oncology modality, used earlier in the disease course and in combination. T</w:t>
      </w:r>
      <w:r w:rsidRPr="00280B51">
        <w:rPr>
          <w:rFonts w:ascii="Funnel Sans" w:hAnsi="Funnel Sans"/>
          <w:color w:val="000000"/>
          <w:sz w:val="22"/>
        </w:rPr>
        <w:t>he clinical logic for earlier use is straightforward: earlier-line patients have better organ function, a larger cumulative dose budget, and longer survival horizons, all of which amplify RLT's benefit-to-risk ratio.</w:t>
      </w:r>
      <w:r w:rsidR="00371946">
        <w:rPr>
          <w:rFonts w:ascii="Funnel Sans" w:hAnsi="Funnel Sans"/>
          <w:color w:val="000000"/>
          <w:sz w:val="22"/>
        </w:rPr>
        <w:t xml:space="preserve"> </w:t>
      </w:r>
      <w:r w:rsidR="00371946" w:rsidRPr="005C21E5">
        <w:rPr>
          <w:rFonts w:ascii="Funnel Sans" w:hAnsi="Funnel Sans"/>
          <w:color w:val="000000"/>
          <w:sz w:val="22"/>
        </w:rPr>
        <w:t>Lutathera and Pluvicto established the foundational validation</w:t>
      </w:r>
      <w:r w:rsidR="00371946">
        <w:rPr>
          <w:rFonts w:ascii="Funnel Sans" w:hAnsi="Funnel Sans"/>
          <w:color w:val="000000"/>
          <w:sz w:val="22"/>
        </w:rPr>
        <w:t xml:space="preserve"> and logistics, and we are watching Pluvicto move into earlier treatment lines in real time. </w:t>
      </w:r>
    </w:p>
    <w:p w14:paraId="1FB5C894" w14:textId="7BB293B0" w:rsidR="00280B51" w:rsidRPr="00280B51" w:rsidRDefault="0050642D" w:rsidP="0045211A">
      <w:pPr>
        <w:jc w:val="both"/>
        <w:rPr>
          <w:rFonts w:ascii="Funnel Sans" w:hAnsi="Funnel Sans"/>
          <w:color w:val="000000"/>
          <w:sz w:val="22"/>
        </w:rPr>
      </w:pPr>
      <w:r>
        <w:rPr>
          <w:rFonts w:ascii="Funnel Sans" w:hAnsi="Funnel Sans"/>
          <w:color w:val="000000"/>
          <w:sz w:val="22"/>
        </w:rPr>
        <w:t xml:space="preserve">Further, RLT’s are combinable with other therapies, allowing for creativity in dosing </w:t>
      </w:r>
      <w:r w:rsidR="0024387E">
        <w:rPr>
          <w:rFonts w:ascii="Funnel Sans" w:hAnsi="Funnel Sans"/>
          <w:color w:val="000000"/>
          <w:sz w:val="22"/>
        </w:rPr>
        <w:t>regimens</w:t>
      </w:r>
      <w:r>
        <w:rPr>
          <w:rFonts w:ascii="Funnel Sans" w:hAnsi="Funnel Sans"/>
          <w:color w:val="000000"/>
          <w:sz w:val="22"/>
        </w:rPr>
        <w:t xml:space="preserve"> &amp; </w:t>
      </w:r>
      <w:r w:rsidR="0024387E">
        <w:rPr>
          <w:rFonts w:ascii="Funnel Sans" w:hAnsi="Funnel Sans"/>
          <w:color w:val="000000"/>
          <w:sz w:val="22"/>
        </w:rPr>
        <w:t xml:space="preserve">placement in treatment paradigms. </w:t>
      </w:r>
      <w:r w:rsidR="00280B51" w:rsidRPr="00280B51">
        <w:rPr>
          <w:rFonts w:ascii="Funnel Sans" w:hAnsi="Funnel Sans"/>
          <w:color w:val="000000"/>
          <w:sz w:val="22"/>
        </w:rPr>
        <w:t xml:space="preserve">RLT's MOA </w:t>
      </w:r>
      <w:r w:rsidR="0024387E">
        <w:rPr>
          <w:rFonts w:ascii="Funnel Sans" w:hAnsi="Funnel Sans"/>
          <w:color w:val="000000"/>
          <w:sz w:val="22"/>
        </w:rPr>
        <w:t xml:space="preserve">of radiation-based DNA damage </w:t>
      </w:r>
      <w:r w:rsidR="00280B51" w:rsidRPr="00280B51">
        <w:rPr>
          <w:rFonts w:ascii="Funnel Sans" w:hAnsi="Funnel Sans"/>
          <w:color w:val="000000"/>
          <w:sz w:val="22"/>
        </w:rPr>
        <w:t xml:space="preserve">is orthogonal to most oncology drug classes. </w:t>
      </w:r>
      <w:r w:rsidR="005C21E5" w:rsidRPr="005C21E5">
        <w:rPr>
          <w:rFonts w:ascii="Funnel Sans" w:hAnsi="Funnel Sans"/>
          <w:color w:val="000000"/>
          <w:sz w:val="22"/>
        </w:rPr>
        <w:t xml:space="preserve">It drives toxicity </w:t>
      </w:r>
      <w:r w:rsidR="0024387E">
        <w:rPr>
          <w:rFonts w:ascii="Funnel Sans" w:hAnsi="Funnel Sans"/>
          <w:color w:val="000000"/>
          <w:sz w:val="22"/>
        </w:rPr>
        <w:t>in specific</w:t>
      </w:r>
      <w:r w:rsidR="005C21E5" w:rsidRPr="005C21E5">
        <w:rPr>
          <w:rFonts w:ascii="Funnel Sans" w:hAnsi="Funnel Sans"/>
          <w:color w:val="000000"/>
          <w:sz w:val="22"/>
        </w:rPr>
        <w:t xml:space="preserve"> organs at risk (kidney, bone marrow, salivary gland) rather than the systemic mechanisms that limit IO agents, ADCs, TKIs, and BiTEs. Toxicity overlap </w:t>
      </w:r>
      <w:r w:rsidR="0068311C">
        <w:rPr>
          <w:rFonts w:ascii="Funnel Sans" w:hAnsi="Funnel Sans"/>
          <w:color w:val="000000"/>
          <w:sz w:val="22"/>
        </w:rPr>
        <w:t xml:space="preserve">with other modalities </w:t>
      </w:r>
      <w:r w:rsidR="005C21E5" w:rsidRPr="005C21E5">
        <w:rPr>
          <w:rFonts w:ascii="Funnel Sans" w:hAnsi="Funnel Sans"/>
          <w:color w:val="000000"/>
          <w:sz w:val="22"/>
        </w:rPr>
        <w:t>is rare</w:t>
      </w:r>
      <w:r w:rsidR="0032781F">
        <w:rPr>
          <w:rFonts w:ascii="Funnel Sans" w:hAnsi="Funnel Sans"/>
          <w:color w:val="000000"/>
          <w:sz w:val="22"/>
        </w:rPr>
        <w:t xml:space="preserve">. The </w:t>
      </w:r>
      <w:r w:rsidR="0024387E">
        <w:rPr>
          <w:rFonts w:ascii="Funnel Sans" w:hAnsi="Funnel Sans"/>
          <w:color w:val="000000"/>
          <w:sz w:val="22"/>
        </w:rPr>
        <w:t>orthogonal</w:t>
      </w:r>
      <w:r w:rsidR="0032781F">
        <w:rPr>
          <w:rFonts w:ascii="Funnel Sans" w:hAnsi="Funnel Sans"/>
          <w:color w:val="000000"/>
          <w:sz w:val="22"/>
        </w:rPr>
        <w:t xml:space="preserve"> MOA and lack of overlapping toxicities</w:t>
      </w:r>
      <w:r w:rsidR="005C21E5" w:rsidRPr="005C21E5">
        <w:rPr>
          <w:rFonts w:ascii="Funnel Sans" w:hAnsi="Funnel Sans"/>
          <w:color w:val="000000"/>
          <w:sz w:val="22"/>
        </w:rPr>
        <w:t xml:space="preserve"> make RLT a practical combination partner: sequence it around chemotherapy cycles, pair it with IO agents in IO-primed tumors, or run it during TKI drug holidays.</w:t>
      </w:r>
      <w:r w:rsidR="00280B51" w:rsidRPr="00280B51">
        <w:rPr>
          <w:rFonts w:ascii="Funnel Sans" w:hAnsi="Funnel Sans"/>
          <w:color w:val="000000"/>
          <w:sz w:val="22"/>
        </w:rPr>
        <w:t xml:space="preserve"> Chemo-radiation is already SoC in multiple solid tumor settings; peptide RLT follows the same logic</w:t>
      </w:r>
      <w:r w:rsidR="0068311C">
        <w:rPr>
          <w:rFonts w:ascii="Funnel Sans" w:hAnsi="Funnel Sans"/>
          <w:color w:val="000000"/>
          <w:sz w:val="22"/>
        </w:rPr>
        <w:t>, with far fewer downsides to neighboring healthy tissue</w:t>
      </w:r>
      <w:r w:rsidR="00280B51" w:rsidRPr="00280B51">
        <w:rPr>
          <w:rFonts w:ascii="Funnel Sans" w:hAnsi="Funnel Sans"/>
          <w:color w:val="000000"/>
          <w:sz w:val="22"/>
        </w:rPr>
        <w:t>.</w:t>
      </w:r>
    </w:p>
    <w:p w14:paraId="019C2F6D" w14:textId="0DD2BAAD" w:rsidR="003659D2" w:rsidRDefault="00280B51" w:rsidP="0045211A">
      <w:pPr>
        <w:jc w:val="both"/>
        <w:rPr>
          <w:rFonts w:ascii="Funnel Sans" w:hAnsi="Funnel Sans"/>
          <w:color w:val="000000"/>
          <w:sz w:val="22"/>
        </w:rPr>
      </w:pPr>
      <w:r w:rsidRPr="00280B51">
        <w:rPr>
          <w:rFonts w:ascii="Funnel Sans" w:hAnsi="Funnel Sans"/>
          <w:color w:val="000000"/>
          <w:sz w:val="22"/>
        </w:rPr>
        <w:t xml:space="preserve">The delivery challenge is logistical and regulatory. Nusano adjacency solves the isotope access and scheduling fragility problem for Sego's clinical studies. Radiopharmacy network partnerships </w:t>
      </w:r>
      <w:r w:rsidR="008602F7" w:rsidRPr="008602F7">
        <w:rPr>
          <w:rFonts w:ascii="Funnel Sans" w:hAnsi="Funnel Sans"/>
          <w:color w:val="000000"/>
          <w:sz w:val="22"/>
        </w:rPr>
        <w:t>(</w:t>
      </w:r>
      <w:r w:rsidRPr="00280B51">
        <w:rPr>
          <w:rFonts w:ascii="Funnel Sans" w:hAnsi="Funnel Sans"/>
          <w:color w:val="000000"/>
          <w:sz w:val="22"/>
        </w:rPr>
        <w:t>a model the team has direct commercialization experience with from prior FDA-approved products</w:t>
      </w:r>
      <w:r w:rsidR="008602F7" w:rsidRPr="008602F7">
        <w:rPr>
          <w:rFonts w:ascii="Funnel Sans" w:hAnsi="Funnel Sans"/>
          <w:color w:val="000000"/>
          <w:sz w:val="22"/>
        </w:rPr>
        <w:t>)</w:t>
      </w:r>
      <w:r w:rsidRPr="00280B51">
        <w:rPr>
          <w:rFonts w:ascii="Funnel Sans" w:hAnsi="Funnel Sans"/>
          <w:color w:val="000000"/>
          <w:sz w:val="22"/>
        </w:rPr>
        <w:t xml:space="preserve"> solve the last-mile delivery problem at scale. Regulatory frameworks for </w:t>
      </w:r>
      <w:r w:rsidR="005340D6" w:rsidRPr="00280B51">
        <w:rPr>
          <w:rFonts w:ascii="Funnel Sans" w:hAnsi="Funnel Sans"/>
          <w:color w:val="000000"/>
          <w:sz w:val="22"/>
        </w:rPr>
        <w:t>theragnostic</w:t>
      </w:r>
      <w:r w:rsidRPr="00280B51">
        <w:rPr>
          <w:rFonts w:ascii="Funnel Sans" w:hAnsi="Funnel Sans"/>
          <w:color w:val="000000"/>
          <w:sz w:val="22"/>
        </w:rPr>
        <w:t xml:space="preserve"> companion diagnostics are maturing rapidly, with FDA's August 2025 draft guidance on dosimetry-based patient selection moving the field toward the quantitative framework Sego </w:t>
      </w:r>
      <w:r w:rsidRPr="00280B51">
        <w:rPr>
          <w:rFonts w:ascii="Funnel Sans" w:hAnsi="Funnel Sans"/>
          <w:color w:val="000000"/>
          <w:sz w:val="22"/>
        </w:rPr>
        <w:lastRenderedPageBreak/>
        <w:t>is already building.</w:t>
      </w:r>
      <w:r w:rsidR="008E6A96">
        <w:rPr>
          <w:rFonts w:ascii="Funnel Sans" w:hAnsi="Funnel Sans"/>
          <w:color w:val="000000"/>
          <w:sz w:val="22"/>
        </w:rPr>
        <w:t xml:space="preserve"> Hospital networks, including Utah’s Huntsman </w:t>
      </w:r>
      <w:r w:rsidR="009B3E33">
        <w:rPr>
          <w:rFonts w:ascii="Funnel Sans" w:hAnsi="Funnel Sans"/>
          <w:color w:val="000000"/>
          <w:sz w:val="22"/>
        </w:rPr>
        <w:t>Cancer Institute</w:t>
      </w:r>
      <w:r w:rsidR="008E6A96">
        <w:rPr>
          <w:rFonts w:ascii="Funnel Sans" w:hAnsi="Funnel Sans"/>
          <w:color w:val="000000"/>
          <w:sz w:val="22"/>
        </w:rPr>
        <w:t>, are investing rapidly in</w:t>
      </w:r>
      <w:r w:rsidR="009B3E33">
        <w:rPr>
          <w:rFonts w:ascii="Funnel Sans" w:hAnsi="Funnel Sans"/>
          <w:color w:val="000000"/>
          <w:sz w:val="22"/>
        </w:rPr>
        <w:t xml:space="preserve"> </w:t>
      </w:r>
      <w:r w:rsidR="005340D6">
        <w:rPr>
          <w:rFonts w:ascii="Funnel Sans" w:hAnsi="Funnel Sans"/>
          <w:color w:val="000000"/>
          <w:sz w:val="22"/>
        </w:rPr>
        <w:t>theragnostic</w:t>
      </w:r>
      <w:r w:rsidR="009B3E33">
        <w:rPr>
          <w:rFonts w:ascii="Funnel Sans" w:hAnsi="Funnel Sans"/>
          <w:color w:val="000000"/>
          <w:sz w:val="22"/>
        </w:rPr>
        <w:t xml:space="preserve"> centers &amp; treatment suites. Taken together,</w:t>
      </w:r>
      <w:r w:rsidR="008E6A96">
        <w:rPr>
          <w:rFonts w:ascii="Funnel Sans" w:hAnsi="Funnel Sans"/>
          <w:color w:val="000000"/>
          <w:sz w:val="22"/>
        </w:rPr>
        <w:t xml:space="preserve"> </w:t>
      </w:r>
      <w:r w:rsidR="009B3E33">
        <w:rPr>
          <w:rFonts w:ascii="Funnel Sans" w:hAnsi="Funnel Sans"/>
          <w:color w:val="000000"/>
          <w:sz w:val="22"/>
        </w:rPr>
        <w:t>f</w:t>
      </w:r>
      <w:r w:rsidRPr="00280B51">
        <w:rPr>
          <w:rFonts w:ascii="Funnel Sans" w:hAnsi="Funnel Sans"/>
          <w:color w:val="000000"/>
          <w:sz w:val="22"/>
        </w:rPr>
        <w:t>irst-line positioning is feasible within this decade for the right targets and indications.</w:t>
      </w:r>
    </w:p>
    <w:p w14:paraId="66B43071" w14:textId="251C3D7A" w:rsidR="00274346" w:rsidRDefault="00816764" w:rsidP="0045211A">
      <w:pPr>
        <w:jc w:val="both"/>
        <w:rPr>
          <w:rFonts w:ascii="Funnel Sans" w:hAnsi="Funnel Sans"/>
          <w:color w:val="156082"/>
          <w:sz w:val="22"/>
        </w:rPr>
      </w:pPr>
      <w:commentRangeStart w:id="20"/>
      <w:r w:rsidRPr="00F95A29">
        <w:rPr>
          <w:rFonts w:ascii="Funnel Sans" w:hAnsi="Funnel Sans"/>
          <w:color w:val="156082"/>
          <w:sz w:val="22"/>
        </w:rPr>
        <w:t>What do you foresee as the biggest challenges in the molecule optimization process? Are there any parts of the process that have historically been bottlenecks in the development of approved therapies like Pluvicto and Lutathera?</w:t>
      </w:r>
      <w:commentRangeEnd w:id="20"/>
      <w:r w:rsidR="004C2B0E">
        <w:rPr>
          <w:rStyle w:val="CommentReference"/>
          <w:rFonts w:ascii="Funnel Sans" w:hAnsi="Funnel Sans"/>
          <w:color w:val="156082"/>
          <w:sz w:val="22"/>
          <w:szCs w:val="24"/>
        </w:rPr>
        <w:commentReference w:id="20"/>
      </w:r>
    </w:p>
    <w:p w14:paraId="7D777A54" w14:textId="25A61B45" w:rsidR="00274346" w:rsidRDefault="00274346" w:rsidP="0045211A">
      <w:pPr>
        <w:jc w:val="both"/>
        <w:rPr>
          <w:rFonts w:ascii="Funnel Sans" w:hAnsi="Funnel Sans"/>
          <w:color w:val="000000"/>
          <w:sz w:val="22"/>
        </w:rPr>
      </w:pPr>
      <w:r w:rsidRPr="00274346">
        <w:rPr>
          <w:rFonts w:ascii="Funnel Sans" w:hAnsi="Funnel Sans"/>
          <w:color w:val="000000"/>
          <w:sz w:val="22"/>
        </w:rPr>
        <w:t xml:space="preserve">The two structural challenges in RLT </w:t>
      </w:r>
      <w:r w:rsidR="002C1A2E">
        <w:rPr>
          <w:rFonts w:ascii="Funnel Sans" w:hAnsi="Funnel Sans"/>
          <w:color w:val="000000"/>
          <w:sz w:val="22"/>
        </w:rPr>
        <w:t xml:space="preserve">small </w:t>
      </w:r>
      <w:r w:rsidRPr="00274346">
        <w:rPr>
          <w:rFonts w:ascii="Funnel Sans" w:hAnsi="Funnel Sans"/>
          <w:color w:val="000000"/>
          <w:sz w:val="22"/>
        </w:rPr>
        <w:t>molecule</w:t>
      </w:r>
      <w:r w:rsidR="002C1A2E">
        <w:rPr>
          <w:rFonts w:ascii="Funnel Sans" w:hAnsi="Funnel Sans"/>
          <w:color w:val="000000"/>
          <w:sz w:val="22"/>
        </w:rPr>
        <w:t xml:space="preserve"> / peptide</w:t>
      </w:r>
      <w:r w:rsidRPr="00274346">
        <w:rPr>
          <w:rFonts w:ascii="Funnel Sans" w:hAnsi="Funnel Sans"/>
          <w:color w:val="000000"/>
          <w:sz w:val="22"/>
        </w:rPr>
        <w:t xml:space="preserve"> optimization are (i) over-optimizing ligand affinity in isolation rather than the whole molecule</w:t>
      </w:r>
      <w:r w:rsidR="002C1A2E">
        <w:rPr>
          <w:rFonts w:ascii="Funnel Sans" w:hAnsi="Funnel Sans"/>
          <w:color w:val="000000"/>
          <w:sz w:val="22"/>
        </w:rPr>
        <w:t xml:space="preserve"> and in the absence of PK</w:t>
      </w:r>
      <w:r w:rsidRPr="00274346">
        <w:rPr>
          <w:rFonts w:ascii="Funnel Sans" w:hAnsi="Funnel Sans"/>
          <w:color w:val="000000"/>
          <w:sz w:val="22"/>
        </w:rPr>
        <w:t>, and (ii) reliance on animal models that do not predict human pharmacokinetics.</w:t>
      </w:r>
    </w:p>
    <w:p w14:paraId="62A62EC7" w14:textId="1DFBE9E5" w:rsidR="00274346" w:rsidRDefault="00274346" w:rsidP="0045211A">
      <w:pPr>
        <w:jc w:val="both"/>
        <w:rPr>
          <w:rFonts w:ascii="Funnel Sans" w:hAnsi="Funnel Sans"/>
          <w:color w:val="000000"/>
          <w:sz w:val="22"/>
        </w:rPr>
      </w:pPr>
      <w:r w:rsidRPr="00B92E84">
        <w:rPr>
          <w:rFonts w:ascii="Funnel Sans" w:hAnsi="Funnel Sans"/>
          <w:i/>
          <w:color w:val="000000"/>
          <w:sz w:val="22"/>
        </w:rPr>
        <w:t>On whole-molecule performance</w:t>
      </w:r>
      <w:r w:rsidRPr="00274346">
        <w:rPr>
          <w:rFonts w:ascii="Funnel Sans" w:hAnsi="Funnel Sans"/>
          <w:color w:val="000000"/>
          <w:sz w:val="22"/>
        </w:rPr>
        <w:t>: the relevant unit is not the ligand alone but the full construct ligand, linker, and chelator, with the metal bound. Optimizing ligand affinity in isolation, and then appending the linker and chelator late, routinely produces candidates that perform well in binding assays and fail in vivo. The linker and chelator affect physicochemical properties (charge, lipophilicity, solubility), clearance kinetics, plasma stability, and intracellular behavior after internalization. Programs that treat these as afterthoughts, rather than co-optimizing from the start, waste cycles and narrow the compound set prematurely.</w:t>
      </w:r>
    </w:p>
    <w:p w14:paraId="31C518F9" w14:textId="3BD6D9CC" w:rsidR="00274346" w:rsidRDefault="00274346" w:rsidP="0045211A">
      <w:pPr>
        <w:jc w:val="both"/>
        <w:rPr>
          <w:rFonts w:ascii="Funnel Sans" w:hAnsi="Funnel Sans"/>
          <w:color w:val="000000"/>
          <w:sz w:val="22"/>
        </w:rPr>
      </w:pPr>
      <w:r w:rsidRPr="00B92E84">
        <w:rPr>
          <w:rFonts w:ascii="Funnel Sans" w:hAnsi="Funnel Sans"/>
          <w:i/>
          <w:color w:val="000000"/>
          <w:sz w:val="22"/>
        </w:rPr>
        <w:t>On animal predictability</w:t>
      </w:r>
      <w:r w:rsidRPr="00274346">
        <w:rPr>
          <w:rFonts w:ascii="Funnel Sans" w:hAnsi="Funnel Sans"/>
          <w:color w:val="000000"/>
          <w:sz w:val="22"/>
        </w:rPr>
        <w:t xml:space="preserve">: preclinical models are consistently poor at predicting human pharmacokinetics in RLT. Kidney uptake and retention is the clearest example: programs with low murine kidney exposure have observed higher human retention, and programs with high preclinical kidney signal have seen rapid clearance in patients. It means that hard go/no-go decisions based on mouse kidney data alone are </w:t>
      </w:r>
      <w:r>
        <w:rPr>
          <w:rFonts w:ascii="Funnel Sans" w:hAnsi="Funnel Sans"/>
          <w:color w:val="000000"/>
          <w:sz w:val="22"/>
        </w:rPr>
        <w:t xml:space="preserve">potentially </w:t>
      </w:r>
      <w:r w:rsidRPr="00274346">
        <w:rPr>
          <w:rFonts w:ascii="Funnel Sans" w:hAnsi="Funnel Sans"/>
          <w:color w:val="000000"/>
          <w:sz w:val="22"/>
        </w:rPr>
        <w:t xml:space="preserve">unreliable, and that the field has historically </w:t>
      </w:r>
      <w:r w:rsidR="000D09F1" w:rsidRPr="00274346">
        <w:rPr>
          <w:rFonts w:ascii="Funnel Sans" w:hAnsi="Funnel Sans"/>
          <w:color w:val="000000"/>
          <w:sz w:val="22"/>
        </w:rPr>
        <w:t>commit</w:t>
      </w:r>
      <w:r w:rsidR="000D09F1">
        <w:rPr>
          <w:rFonts w:ascii="Funnel Sans" w:hAnsi="Funnel Sans"/>
          <w:color w:val="000000"/>
          <w:sz w:val="22"/>
        </w:rPr>
        <w:t>ted</w:t>
      </w:r>
      <w:r w:rsidRPr="00274346">
        <w:rPr>
          <w:rFonts w:ascii="Funnel Sans" w:hAnsi="Funnel Sans"/>
          <w:color w:val="000000"/>
          <w:sz w:val="22"/>
        </w:rPr>
        <w:t xml:space="preserve"> to a single lead before having human evidence of its safety margin.</w:t>
      </w:r>
    </w:p>
    <w:p w14:paraId="3505ABE1" w14:textId="77777777" w:rsidR="00274346" w:rsidRDefault="00274346" w:rsidP="0045211A">
      <w:pPr>
        <w:jc w:val="both"/>
        <w:rPr>
          <w:rFonts w:ascii="Funnel Sans" w:hAnsi="Funnel Sans"/>
          <w:color w:val="000000"/>
          <w:sz w:val="22"/>
        </w:rPr>
      </w:pPr>
      <w:r w:rsidRPr="00274346">
        <w:rPr>
          <w:rFonts w:ascii="Funnel Sans" w:hAnsi="Funnel Sans"/>
          <w:color w:val="000000"/>
          <w:sz w:val="22"/>
        </w:rPr>
        <w:t>How Sego mitigates both:</w:t>
      </w:r>
    </w:p>
    <w:p w14:paraId="01F82526" w14:textId="018D3E4D" w:rsidR="00274346" w:rsidRDefault="00274346" w:rsidP="0045211A">
      <w:pPr>
        <w:jc w:val="both"/>
        <w:rPr>
          <w:rFonts w:ascii="Funnel Sans" w:hAnsi="Funnel Sans"/>
          <w:color w:val="000000"/>
          <w:sz w:val="22"/>
        </w:rPr>
      </w:pPr>
      <w:r w:rsidRPr="00274346">
        <w:rPr>
          <w:rFonts w:ascii="Funnel Sans" w:hAnsi="Funnel Sans"/>
          <w:color w:val="000000"/>
          <w:sz w:val="22"/>
        </w:rPr>
        <w:t>First, we co-optimize the whole molecule from day one. Cold optimization is structured around full ligand-linker-chelator conjugates loaded with a cold metal, not bare ligands. ICP-MS-based multiplexed in vivo PK allows us to screen many constructs simultaneously for tumor and kidney uptake without radiolabeling — we run this across diverse compound series. This surfaces whole-molecule performance issues early, before committing to radiosynthesis.</w:t>
      </w:r>
    </w:p>
    <w:p w14:paraId="0CFE7936" w14:textId="0A144AE7" w:rsidR="00274346" w:rsidRDefault="00274346" w:rsidP="0045211A">
      <w:pPr>
        <w:jc w:val="both"/>
        <w:rPr>
          <w:rFonts w:ascii="Funnel Sans" w:hAnsi="Funnel Sans"/>
          <w:color w:val="000000"/>
          <w:sz w:val="22"/>
        </w:rPr>
      </w:pPr>
      <w:r w:rsidRPr="00274346">
        <w:rPr>
          <w:rFonts w:ascii="Funnel Sans" w:hAnsi="Funnel Sans"/>
          <w:color w:val="000000"/>
          <w:sz w:val="22"/>
        </w:rPr>
        <w:t xml:space="preserve">Second, </w:t>
      </w:r>
      <w:r w:rsidR="00F1320D">
        <w:rPr>
          <w:rFonts w:ascii="Funnel Sans" w:hAnsi="Funnel Sans"/>
          <w:color w:val="000000"/>
          <w:sz w:val="22"/>
        </w:rPr>
        <w:t xml:space="preserve">we apply </w:t>
      </w:r>
      <w:r w:rsidRPr="00274346">
        <w:rPr>
          <w:rFonts w:ascii="Funnel Sans" w:hAnsi="Funnel Sans"/>
          <w:color w:val="000000"/>
          <w:sz w:val="22"/>
        </w:rPr>
        <w:t xml:space="preserve">explicit stage-gate criteria at every transition. No-go criteria at </w:t>
      </w:r>
      <w:r w:rsidR="00F1320D">
        <w:rPr>
          <w:rFonts w:ascii="Funnel Sans" w:hAnsi="Funnel Sans"/>
          <w:color w:val="000000"/>
          <w:sz w:val="22"/>
        </w:rPr>
        <w:t>H2L</w:t>
      </w:r>
      <w:r w:rsidRPr="00274346">
        <w:rPr>
          <w:rFonts w:ascii="Funnel Sans" w:hAnsi="Funnel Sans"/>
          <w:color w:val="000000"/>
          <w:sz w:val="22"/>
        </w:rPr>
        <w:t xml:space="preserve"> cover affinity, selectivity, physicochemical properties, and cellular behavior. No-go criteria at </w:t>
      </w:r>
      <w:r w:rsidR="00F1320D">
        <w:rPr>
          <w:rFonts w:ascii="Funnel Sans" w:hAnsi="Funnel Sans"/>
          <w:color w:val="000000"/>
          <w:sz w:val="22"/>
        </w:rPr>
        <w:t>LO</w:t>
      </w:r>
      <w:r w:rsidRPr="00274346">
        <w:rPr>
          <w:rFonts w:ascii="Funnel Sans" w:hAnsi="Funnel Sans"/>
          <w:color w:val="000000"/>
          <w:sz w:val="22"/>
        </w:rPr>
        <w:t xml:space="preserve"> cover </w:t>
      </w:r>
      <w:r w:rsidR="00F1320D">
        <w:rPr>
          <w:rFonts w:ascii="Funnel Sans" w:hAnsi="Funnel Sans"/>
          <w:color w:val="000000"/>
          <w:sz w:val="22"/>
        </w:rPr>
        <w:t xml:space="preserve">early in vivo behavior of compounds leveraging ICP-MS studies to </w:t>
      </w:r>
      <w:r w:rsidR="00192433">
        <w:rPr>
          <w:rFonts w:ascii="Funnel Sans" w:hAnsi="Funnel Sans"/>
          <w:color w:val="000000"/>
          <w:sz w:val="22"/>
        </w:rPr>
        <w:t>get a strong grasp of SAR in vivo</w:t>
      </w:r>
      <w:r w:rsidR="00F1320D">
        <w:rPr>
          <w:rFonts w:ascii="Funnel Sans" w:hAnsi="Funnel Sans"/>
          <w:color w:val="000000"/>
          <w:sz w:val="22"/>
        </w:rPr>
        <w:t xml:space="preserve">. In FIH enabling, we </w:t>
      </w:r>
      <w:r w:rsidR="00192433">
        <w:rPr>
          <w:rFonts w:ascii="Funnel Sans" w:hAnsi="Funnel Sans"/>
          <w:color w:val="000000"/>
          <w:sz w:val="22"/>
        </w:rPr>
        <w:t>directly quantify and gate on dosimetry</w:t>
      </w:r>
      <w:r w:rsidRPr="00274346">
        <w:rPr>
          <w:rFonts w:ascii="Funnel Sans" w:hAnsi="Funnel Sans"/>
          <w:color w:val="000000"/>
          <w:sz w:val="22"/>
        </w:rPr>
        <w:t xml:space="preserve">. Candidates that fail </w:t>
      </w:r>
      <w:r w:rsidR="00146B49">
        <w:rPr>
          <w:rFonts w:ascii="Funnel Sans" w:hAnsi="Funnel Sans"/>
          <w:color w:val="000000"/>
          <w:sz w:val="22"/>
        </w:rPr>
        <w:t>these</w:t>
      </w:r>
      <w:r w:rsidR="00146B49" w:rsidRPr="00274346">
        <w:rPr>
          <w:rFonts w:ascii="Funnel Sans" w:hAnsi="Funnel Sans"/>
          <w:color w:val="000000"/>
          <w:sz w:val="22"/>
        </w:rPr>
        <w:t xml:space="preserve"> </w:t>
      </w:r>
      <w:r w:rsidRPr="00274346">
        <w:rPr>
          <w:rFonts w:ascii="Funnel Sans" w:hAnsi="Funnel Sans"/>
          <w:color w:val="000000"/>
          <w:sz w:val="22"/>
        </w:rPr>
        <w:t>gate</w:t>
      </w:r>
      <w:r w:rsidR="00146B49">
        <w:rPr>
          <w:rFonts w:ascii="Funnel Sans" w:hAnsi="Funnel Sans"/>
          <w:color w:val="000000"/>
          <w:sz w:val="22"/>
        </w:rPr>
        <w:t>s</w:t>
      </w:r>
      <w:r w:rsidRPr="00274346">
        <w:rPr>
          <w:rFonts w:ascii="Funnel Sans" w:hAnsi="Funnel Sans"/>
          <w:color w:val="000000"/>
          <w:sz w:val="22"/>
        </w:rPr>
        <w:t xml:space="preserve"> are cut</w:t>
      </w:r>
      <w:r w:rsidR="00192433">
        <w:rPr>
          <w:rFonts w:ascii="Funnel Sans" w:hAnsi="Funnel Sans"/>
          <w:color w:val="000000"/>
          <w:sz w:val="22"/>
        </w:rPr>
        <w:t>. The intention of these gates is to surface a set of 3-5 molecules with divers</w:t>
      </w:r>
      <w:r w:rsidR="00227A51">
        <w:rPr>
          <w:rFonts w:ascii="Funnel Sans" w:hAnsi="Funnel Sans"/>
          <w:color w:val="000000"/>
          <w:sz w:val="22"/>
        </w:rPr>
        <w:t xml:space="preserve">e properties </w:t>
      </w:r>
      <w:r w:rsidR="00AC0A07">
        <w:rPr>
          <w:rFonts w:ascii="Funnel Sans" w:hAnsi="Funnel Sans"/>
          <w:color w:val="000000"/>
          <w:sz w:val="22"/>
        </w:rPr>
        <w:t>for FIH imaging studies</w:t>
      </w:r>
      <w:r w:rsidR="00227A51">
        <w:rPr>
          <w:rFonts w:ascii="Funnel Sans" w:hAnsi="Funnel Sans"/>
          <w:color w:val="000000"/>
          <w:sz w:val="22"/>
        </w:rPr>
        <w:t>.</w:t>
      </w:r>
    </w:p>
    <w:p w14:paraId="38947976" w14:textId="40A31B32" w:rsidR="00816764" w:rsidRPr="00274346" w:rsidRDefault="00274346" w:rsidP="0045211A">
      <w:pPr>
        <w:jc w:val="both"/>
        <w:rPr>
          <w:rFonts w:ascii="Funnel Sans" w:hAnsi="Funnel Sans"/>
          <w:color w:val="000000"/>
          <w:sz w:val="22"/>
        </w:rPr>
      </w:pPr>
      <w:r w:rsidRPr="00274346">
        <w:rPr>
          <w:rFonts w:ascii="Funnel Sans" w:hAnsi="Funnel Sans"/>
          <w:color w:val="000000"/>
          <w:sz w:val="22"/>
        </w:rPr>
        <w:t>Third, we resolve animal predictability at the source by getting into humans with a diverse molecule set. The Phase 0 design carries 3–5 candidates from distinct chemical series into first-</w:t>
      </w:r>
      <w:r w:rsidRPr="00274346">
        <w:rPr>
          <w:rFonts w:ascii="Funnel Sans" w:hAnsi="Funnel Sans"/>
          <w:color w:val="000000"/>
          <w:sz w:val="22"/>
        </w:rPr>
        <w:lastRenderedPageBreak/>
        <w:t>in-human imaging simultaneously. Human tumor uptake, organ-at-risk dosimetry, and clearance kinetics select the development candidate. We do not commit to a single lead on preclinical data and hope it translates;</w:t>
      </w:r>
      <w:r w:rsidR="006A714A">
        <w:rPr>
          <w:rFonts w:ascii="Funnel Sans" w:hAnsi="Funnel Sans"/>
          <w:color w:val="000000"/>
          <w:sz w:val="22"/>
        </w:rPr>
        <w:t xml:space="preserve"> </w:t>
      </w:r>
      <w:r w:rsidR="00DA583B">
        <w:rPr>
          <w:rFonts w:ascii="Funnel Sans" w:hAnsi="Funnel Sans"/>
          <w:color w:val="000000"/>
          <w:sz w:val="22"/>
        </w:rPr>
        <w:t>instead,</w:t>
      </w:r>
      <w:r w:rsidR="006A714A">
        <w:rPr>
          <w:rFonts w:ascii="Funnel Sans" w:hAnsi="Funnel Sans"/>
          <w:color w:val="000000"/>
          <w:sz w:val="22"/>
        </w:rPr>
        <w:t xml:space="preserve"> </w:t>
      </w:r>
      <w:r w:rsidR="008644BC">
        <w:rPr>
          <w:rFonts w:ascii="Funnel Sans" w:hAnsi="Funnel Sans"/>
          <w:color w:val="000000"/>
          <w:sz w:val="22"/>
        </w:rPr>
        <w:t xml:space="preserve">we use FIH data on multiple molecules for a single target to pick the best one. </w:t>
      </w:r>
    </w:p>
    <w:p w14:paraId="7BD47D42" w14:textId="4A062724" w:rsidR="003659D2" w:rsidRDefault="003659D2" w:rsidP="0045211A">
      <w:pPr>
        <w:jc w:val="both"/>
        <w:rPr>
          <w:rFonts w:ascii="Funnel Sans" w:hAnsi="Funnel Sans"/>
          <w:color w:val="156082"/>
          <w:sz w:val="22"/>
        </w:rPr>
      </w:pPr>
      <w:commentRangeStart w:id="23"/>
      <w:r w:rsidRPr="003659D2">
        <w:rPr>
          <w:rFonts w:ascii="Funnel Sans" w:hAnsi="Funnel Sans"/>
          <w:color w:val="156082"/>
          <w:sz w:val="22"/>
        </w:rPr>
        <w:t>Can you project what a Series A raise would look like and what outcomes it would fund to?</w:t>
      </w:r>
      <w:commentRangeEnd w:id="23"/>
      <w:r w:rsidR="004C2B0E">
        <w:rPr>
          <w:rStyle w:val="CommentReference"/>
          <w:rFonts w:ascii="Funnel Sans" w:hAnsi="Funnel Sans"/>
          <w:color w:val="156082"/>
          <w:sz w:val="22"/>
          <w:szCs w:val="24"/>
        </w:rPr>
        <w:commentReference w:id="23"/>
      </w:r>
    </w:p>
    <w:p w14:paraId="2924BBF3" w14:textId="6B24897D" w:rsidR="00C96D20" w:rsidRDefault="00C96D20" w:rsidP="0045211A">
      <w:pPr>
        <w:jc w:val="both"/>
        <w:rPr>
          <w:rFonts w:ascii="Funnel Sans" w:hAnsi="Funnel Sans"/>
          <w:color w:val="000000"/>
          <w:sz w:val="22"/>
        </w:rPr>
      </w:pPr>
      <w:r>
        <w:rPr>
          <w:noProof/>
        </w:rPr>
        <w:drawing>
          <wp:inline distT="0" distB="0" distL="0" distR="0" wp14:anchorId="73BB693B" wp14:editId="119B81E5">
            <wp:extent cx="5943600" cy="3343275"/>
            <wp:effectExtent l="0" t="0" r="0" b="9525"/>
            <wp:docPr id="4973286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86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343275"/>
                    </a:xfrm>
                    <a:prstGeom prst="rect">
                      <a:avLst/>
                    </a:prstGeom>
                  </pic:spPr>
                </pic:pic>
              </a:graphicData>
            </a:graphic>
          </wp:inline>
        </w:drawing>
      </w:r>
    </w:p>
    <w:p w14:paraId="3E531098" w14:textId="5102617F" w:rsidR="001B622B" w:rsidRDefault="00A855BD" w:rsidP="0045211A">
      <w:pPr>
        <w:jc w:val="both"/>
        <w:rPr>
          <w:rFonts w:ascii="Funnel Sans" w:hAnsi="Funnel Sans"/>
          <w:color w:val="000000"/>
          <w:sz w:val="22"/>
        </w:rPr>
      </w:pPr>
      <w:r>
        <w:rPr>
          <w:rFonts w:ascii="Funnel Sans" w:hAnsi="Funnel Sans"/>
          <w:color w:val="000000"/>
          <w:sz w:val="22"/>
        </w:rPr>
        <w:t>We</w:t>
      </w:r>
      <w:r w:rsidR="00F243E8">
        <w:rPr>
          <w:rFonts w:ascii="Funnel Sans" w:hAnsi="Funnel Sans"/>
          <w:color w:val="000000"/>
          <w:sz w:val="22"/>
        </w:rPr>
        <w:t xml:space="preserve"> expect to raise a Series A of $150M which will support </w:t>
      </w:r>
      <w:r w:rsidR="004F44C1">
        <w:rPr>
          <w:rFonts w:ascii="Funnel Sans" w:hAnsi="Funnel Sans"/>
          <w:color w:val="000000"/>
          <w:sz w:val="22"/>
        </w:rPr>
        <w:t xml:space="preserve">2-4 programs in clinical development, replenishing the preclinical pipeline with new programs &amp; </w:t>
      </w:r>
      <w:r w:rsidR="00074847">
        <w:rPr>
          <w:rFonts w:ascii="Funnel Sans" w:hAnsi="Funnel Sans"/>
          <w:color w:val="000000"/>
          <w:sz w:val="22"/>
        </w:rPr>
        <w:t xml:space="preserve">potentially </w:t>
      </w:r>
      <w:r w:rsidR="004F44C1">
        <w:rPr>
          <w:rFonts w:ascii="Funnel Sans" w:hAnsi="Funnel Sans"/>
          <w:color w:val="000000"/>
          <w:sz w:val="22"/>
        </w:rPr>
        <w:t>building out of additional internal GMP capabilities to support Ph 2 and Ph 3 clinical development</w:t>
      </w:r>
      <w:r w:rsidR="00FC0EBC">
        <w:rPr>
          <w:rFonts w:ascii="Funnel Sans" w:hAnsi="Funnel Sans"/>
          <w:color w:val="000000"/>
          <w:sz w:val="22"/>
        </w:rPr>
        <w:t xml:space="preserve"> (this activity may also be conducted at a CDMO)</w:t>
      </w:r>
      <w:r w:rsidR="004F44C1">
        <w:rPr>
          <w:rFonts w:ascii="Funnel Sans" w:hAnsi="Funnel Sans"/>
          <w:color w:val="000000"/>
          <w:sz w:val="22"/>
        </w:rPr>
        <w:t xml:space="preserve">. We anticipate that 2 programs will reach clinical efficacy readouts (Ph 1/2) and </w:t>
      </w:r>
      <w:r w:rsidR="003E4435">
        <w:rPr>
          <w:rFonts w:ascii="Funnel Sans" w:hAnsi="Funnel Sans"/>
          <w:color w:val="000000"/>
          <w:sz w:val="22"/>
        </w:rPr>
        <w:t>2 additional programs will enter FIH studies, financed by the Series A. Clinical efficacy data generated during the Series A will be highly valuable</w:t>
      </w:r>
      <w:r w:rsidR="0078149A">
        <w:rPr>
          <w:rFonts w:ascii="Funnel Sans" w:hAnsi="Funnel Sans"/>
          <w:color w:val="000000"/>
          <w:sz w:val="22"/>
        </w:rPr>
        <w:t xml:space="preserve"> and transactable based on </w:t>
      </w:r>
      <w:r w:rsidR="00E442C5">
        <w:rPr>
          <w:rFonts w:ascii="Funnel Sans" w:hAnsi="Funnel Sans"/>
          <w:color w:val="000000"/>
          <w:sz w:val="22"/>
        </w:rPr>
        <w:t>recent RLT benchmarked transactions</w:t>
      </w:r>
      <w:r w:rsidR="00457C7E">
        <w:rPr>
          <w:rFonts w:ascii="Funnel Sans" w:hAnsi="Funnel Sans"/>
          <w:color w:val="000000"/>
          <w:sz w:val="22"/>
        </w:rPr>
        <w:t xml:space="preserve">. For </w:t>
      </w:r>
      <w:r w:rsidR="00224AD0">
        <w:rPr>
          <w:rFonts w:ascii="Funnel Sans" w:hAnsi="Funnel Sans"/>
          <w:color w:val="000000"/>
          <w:sz w:val="22"/>
        </w:rPr>
        <w:t>example,</w:t>
      </w:r>
      <w:r w:rsidR="00457C7E">
        <w:rPr>
          <w:rFonts w:ascii="Funnel Sans" w:hAnsi="Funnel Sans"/>
          <w:color w:val="000000"/>
          <w:sz w:val="22"/>
        </w:rPr>
        <w:t xml:space="preserve"> RayzeBio was sold for $4.1B with Ph 1 data on SSTR2, and Fusion </w:t>
      </w:r>
      <w:r w:rsidR="00FA711E">
        <w:rPr>
          <w:rFonts w:ascii="Funnel Sans" w:hAnsi="Funnel Sans"/>
          <w:color w:val="000000"/>
          <w:sz w:val="22"/>
        </w:rPr>
        <w:t xml:space="preserve">for $2.4B with Ph 1 data on PSMA. Notably, </w:t>
      </w:r>
      <w:r w:rsidR="00933A82">
        <w:rPr>
          <w:rFonts w:ascii="Funnel Sans" w:hAnsi="Funnel Sans"/>
          <w:color w:val="000000"/>
          <w:sz w:val="22"/>
        </w:rPr>
        <w:t>both</w:t>
      </w:r>
      <w:r w:rsidR="00FA711E">
        <w:rPr>
          <w:rFonts w:ascii="Funnel Sans" w:hAnsi="Funnel Sans"/>
          <w:color w:val="000000"/>
          <w:sz w:val="22"/>
        </w:rPr>
        <w:t xml:space="preserve"> were fast follow programs, and data on one of Sego’s novel targets may prove even more valuable to investors or potential BD partners.</w:t>
      </w:r>
    </w:p>
    <w:p w14:paraId="5D248AFB" w14:textId="0E00367E" w:rsidR="003659D2" w:rsidRDefault="003659D2" w:rsidP="0045211A">
      <w:pPr>
        <w:jc w:val="both"/>
        <w:rPr>
          <w:rFonts w:ascii="Funnel Sans" w:hAnsi="Funnel Sans"/>
          <w:color w:val="156082"/>
          <w:sz w:val="22"/>
        </w:rPr>
      </w:pPr>
      <w:commentRangeStart w:id="25"/>
      <w:r w:rsidRPr="003659D2">
        <w:rPr>
          <w:rFonts w:ascii="Funnel Sans" w:hAnsi="Funnel Sans"/>
          <w:color w:val="156082"/>
          <w:sz w:val="22"/>
        </w:rPr>
        <w:t>Do you have plans to expand isotope use to others apart from Actinium and Terbium? How do you view the evolving landscape of isotope options in radiopharma and how would this enable or limit BD partners?</w:t>
      </w:r>
      <w:commentRangeEnd w:id="25"/>
      <w:r w:rsidR="004C2B0E">
        <w:rPr>
          <w:rStyle w:val="CommentReference"/>
          <w:rFonts w:ascii="Funnel Sans" w:hAnsi="Funnel Sans"/>
          <w:color w:val="156082"/>
          <w:sz w:val="22"/>
          <w:szCs w:val="24"/>
        </w:rPr>
        <w:commentReference w:id="25"/>
      </w:r>
    </w:p>
    <w:p w14:paraId="0F2C9BC3" w14:textId="0C40FB21" w:rsidR="00280B51" w:rsidRPr="00280B51" w:rsidRDefault="00750833" w:rsidP="0045211A">
      <w:pPr>
        <w:jc w:val="both"/>
        <w:rPr>
          <w:rFonts w:ascii="Funnel Sans" w:hAnsi="Funnel Sans"/>
          <w:color w:val="000000"/>
          <w:sz w:val="22"/>
        </w:rPr>
      </w:pPr>
      <w:r w:rsidRPr="00750833">
        <w:rPr>
          <w:rFonts w:ascii="Funnel Sans" w:hAnsi="Funnel Sans"/>
          <w:color w:val="000000"/>
          <w:sz w:val="22"/>
          <w:vertAlign w:val="superscript"/>
        </w:rPr>
        <w:t>225</w:t>
      </w:r>
      <w:r w:rsidRPr="00DA6D44">
        <w:rPr>
          <w:rFonts w:ascii="Funnel Sans" w:hAnsi="Funnel Sans"/>
          <w:color w:val="000000"/>
          <w:sz w:val="22"/>
        </w:rPr>
        <w:t>Ac</w:t>
      </w:r>
      <w:r w:rsidR="00280B51" w:rsidRPr="00280B51">
        <w:rPr>
          <w:rFonts w:ascii="Funnel Sans" w:hAnsi="Funnel Sans"/>
          <w:color w:val="000000"/>
          <w:sz w:val="22"/>
        </w:rPr>
        <w:t xml:space="preserve"> and </w:t>
      </w:r>
      <w:r w:rsidRPr="00750833">
        <w:rPr>
          <w:rFonts w:ascii="Funnel Sans" w:hAnsi="Funnel Sans"/>
          <w:color w:val="000000"/>
          <w:sz w:val="22"/>
          <w:vertAlign w:val="superscript"/>
        </w:rPr>
        <w:t>161</w:t>
      </w:r>
      <w:r w:rsidRPr="00DA6D44">
        <w:rPr>
          <w:rFonts w:ascii="Funnel Sans" w:hAnsi="Funnel Sans"/>
          <w:color w:val="000000"/>
          <w:sz w:val="22"/>
        </w:rPr>
        <w:t>Tb</w:t>
      </w:r>
      <w:r w:rsidR="00280B51" w:rsidRPr="00280B51">
        <w:rPr>
          <w:rFonts w:ascii="Funnel Sans" w:hAnsi="Funnel Sans"/>
          <w:color w:val="000000"/>
          <w:sz w:val="22"/>
        </w:rPr>
        <w:t xml:space="preserve"> are Sego's primary therapeutic isotopes; </w:t>
      </w:r>
      <w:r w:rsidRPr="00750833">
        <w:rPr>
          <w:rFonts w:ascii="Funnel Sans" w:hAnsi="Funnel Sans"/>
          <w:color w:val="000000"/>
          <w:sz w:val="22"/>
          <w:vertAlign w:val="superscript"/>
        </w:rPr>
        <w:t>68</w:t>
      </w:r>
      <w:r w:rsidRPr="00DA6D44">
        <w:rPr>
          <w:rFonts w:ascii="Funnel Sans" w:hAnsi="Funnel Sans"/>
          <w:color w:val="000000"/>
          <w:sz w:val="22"/>
        </w:rPr>
        <w:t>Ga</w:t>
      </w:r>
      <w:r w:rsidR="00280B51" w:rsidRPr="00280B51">
        <w:rPr>
          <w:rFonts w:ascii="Funnel Sans" w:hAnsi="Funnel Sans"/>
          <w:color w:val="000000"/>
          <w:sz w:val="22"/>
        </w:rPr>
        <w:t xml:space="preserve"> and </w:t>
      </w:r>
      <w:r w:rsidRPr="00750833">
        <w:rPr>
          <w:rFonts w:ascii="Funnel Sans" w:hAnsi="Funnel Sans"/>
          <w:color w:val="000000"/>
          <w:sz w:val="22"/>
          <w:vertAlign w:val="superscript"/>
        </w:rPr>
        <w:t>177</w:t>
      </w:r>
      <w:r w:rsidRPr="00DA6D44">
        <w:rPr>
          <w:rFonts w:ascii="Funnel Sans" w:hAnsi="Funnel Sans"/>
          <w:color w:val="000000"/>
          <w:sz w:val="22"/>
        </w:rPr>
        <w:t>Lu</w:t>
      </w:r>
      <w:r w:rsidR="00280B51" w:rsidRPr="00280B51">
        <w:rPr>
          <w:rFonts w:ascii="Funnel Sans" w:hAnsi="Funnel Sans"/>
          <w:color w:val="000000"/>
          <w:sz w:val="22"/>
        </w:rPr>
        <w:t xml:space="preserve"> are the paired imaging and benchmarking isotopes. We are not planning to expand into additional isotopes in the near term, and the rationale is deliberate rather than a resource constraint.</w:t>
      </w:r>
    </w:p>
    <w:p w14:paraId="1E424BD6" w14:textId="33488F4E" w:rsidR="00280B51" w:rsidRPr="00280B51" w:rsidRDefault="00750833" w:rsidP="0045211A">
      <w:pPr>
        <w:jc w:val="both"/>
        <w:rPr>
          <w:rFonts w:ascii="Funnel Sans" w:hAnsi="Funnel Sans"/>
          <w:color w:val="000000"/>
          <w:sz w:val="22"/>
        </w:rPr>
      </w:pPr>
      <w:r w:rsidRPr="00750833">
        <w:rPr>
          <w:rFonts w:ascii="Funnel Sans" w:hAnsi="Funnel Sans"/>
          <w:color w:val="000000"/>
          <w:sz w:val="22"/>
          <w:vertAlign w:val="superscript"/>
        </w:rPr>
        <w:lastRenderedPageBreak/>
        <w:t>225</w:t>
      </w:r>
      <w:r w:rsidRPr="00DA6D44">
        <w:rPr>
          <w:rFonts w:ascii="Funnel Sans" w:hAnsi="Funnel Sans"/>
          <w:color w:val="000000"/>
          <w:sz w:val="22"/>
        </w:rPr>
        <w:t>Ac</w:t>
      </w:r>
      <w:r w:rsidR="00280B51" w:rsidRPr="00280B51">
        <w:rPr>
          <w:rFonts w:ascii="Funnel Sans" w:hAnsi="Funnel Sans"/>
          <w:color w:val="000000"/>
          <w:sz w:val="22"/>
        </w:rPr>
        <w:t xml:space="preserve">'s alpha emission provides 4 alpha-decay daughters per chain, a </w:t>
      </w:r>
      <w:r w:rsidR="005C21E5" w:rsidRPr="005C21E5">
        <w:rPr>
          <w:rFonts w:ascii="Funnel Sans" w:hAnsi="Funnel Sans"/>
          <w:color w:val="000000"/>
          <w:sz w:val="22"/>
        </w:rPr>
        <w:t xml:space="preserve">kill density no beta emitter can match. </w:t>
      </w:r>
      <w:r w:rsidRPr="00750833">
        <w:rPr>
          <w:rFonts w:ascii="Funnel Sans" w:hAnsi="Funnel Sans"/>
          <w:color w:val="000000"/>
          <w:sz w:val="22"/>
          <w:vertAlign w:val="superscript"/>
        </w:rPr>
        <w:t>161</w:t>
      </w:r>
      <w:r w:rsidRPr="00DA6D44">
        <w:rPr>
          <w:rFonts w:ascii="Funnel Sans" w:hAnsi="Funnel Sans"/>
          <w:color w:val="000000"/>
          <w:sz w:val="22"/>
        </w:rPr>
        <w:t>Tb</w:t>
      </w:r>
      <w:r w:rsidR="005C21E5" w:rsidRPr="005C21E5">
        <w:rPr>
          <w:rFonts w:ascii="Funnel Sans" w:hAnsi="Funnel Sans"/>
          <w:color w:val="000000"/>
          <w:sz w:val="22"/>
        </w:rPr>
        <w:t xml:space="preserve"> adds a beta-plus-Auger combination with twice the per-GBq tumor absorbed dose of </w:t>
      </w:r>
      <w:r w:rsidRPr="00750833">
        <w:rPr>
          <w:rFonts w:ascii="Funnel Sans" w:hAnsi="Funnel Sans"/>
          <w:color w:val="000000"/>
          <w:sz w:val="22"/>
          <w:vertAlign w:val="superscript"/>
        </w:rPr>
        <w:t>177</w:t>
      </w:r>
      <w:r w:rsidRPr="00DA6D44">
        <w:rPr>
          <w:rFonts w:ascii="Funnel Sans" w:hAnsi="Funnel Sans"/>
          <w:color w:val="000000"/>
          <w:sz w:val="22"/>
        </w:rPr>
        <w:t>Lu</w:t>
      </w:r>
      <w:r w:rsidR="005C21E5" w:rsidRPr="005C21E5">
        <w:rPr>
          <w:rFonts w:ascii="Funnel Sans" w:hAnsi="Funnel Sans"/>
          <w:color w:val="000000"/>
          <w:sz w:val="22"/>
        </w:rPr>
        <w:t xml:space="preserve"> in head-to-head PSMA dosimetry, suited</w:t>
      </w:r>
      <w:r w:rsidR="00280B51" w:rsidRPr="00280B51">
        <w:rPr>
          <w:rFonts w:ascii="Funnel Sans" w:hAnsi="Funnel Sans"/>
          <w:color w:val="000000"/>
          <w:sz w:val="22"/>
        </w:rPr>
        <w:t xml:space="preserve"> for indications with mixed disease burden including micrometastases and CTCs. Together, the two isotopes cover the full spectrum of clinical scenarios: alpha for high-copy-number, high-internalization targets where the therapeutic index supports it; </w:t>
      </w:r>
      <w:r w:rsidRPr="00750833">
        <w:rPr>
          <w:rFonts w:ascii="Funnel Sans" w:hAnsi="Funnel Sans"/>
          <w:color w:val="000000"/>
          <w:sz w:val="22"/>
          <w:vertAlign w:val="superscript"/>
        </w:rPr>
        <w:t>161</w:t>
      </w:r>
      <w:r w:rsidRPr="00DA6D44">
        <w:rPr>
          <w:rFonts w:ascii="Funnel Sans" w:hAnsi="Funnel Sans"/>
          <w:color w:val="000000"/>
          <w:sz w:val="22"/>
        </w:rPr>
        <w:t>Tb</w:t>
      </w:r>
      <w:r w:rsidR="00280B51" w:rsidRPr="00280B51">
        <w:rPr>
          <w:rFonts w:ascii="Funnel Sans" w:hAnsi="Funnel Sans"/>
          <w:color w:val="000000"/>
          <w:sz w:val="22"/>
        </w:rPr>
        <w:t xml:space="preserve"> where the on-target/off-tumor expression profile or disease burden distribution favors </w:t>
      </w:r>
      <w:r w:rsidR="00F27192" w:rsidRPr="00280B51">
        <w:rPr>
          <w:rFonts w:ascii="Funnel Sans" w:hAnsi="Funnel Sans"/>
          <w:color w:val="000000"/>
          <w:sz w:val="22"/>
        </w:rPr>
        <w:t>more</w:t>
      </w:r>
      <w:r w:rsidR="00280B51" w:rsidRPr="00280B51">
        <w:rPr>
          <w:rFonts w:ascii="Funnel Sans" w:hAnsi="Funnel Sans"/>
          <w:color w:val="000000"/>
          <w:sz w:val="22"/>
        </w:rPr>
        <w:t xml:space="preserve"> forgiving dosimetry. A single multi-radionuclide chelator (DOTA/DOTAGA) is compatible with all four, removing manufacturing complexity when switching across the pipeline.</w:t>
      </w:r>
    </w:p>
    <w:p w14:paraId="57899E37" w14:textId="350C88D7" w:rsidR="003659D2" w:rsidRDefault="00280B51" w:rsidP="0045211A">
      <w:pPr>
        <w:jc w:val="both"/>
        <w:rPr>
          <w:rFonts w:ascii="Funnel Sans" w:hAnsi="Funnel Sans"/>
          <w:color w:val="000000"/>
          <w:sz w:val="22"/>
        </w:rPr>
      </w:pPr>
      <w:r w:rsidRPr="00280B51">
        <w:rPr>
          <w:rFonts w:ascii="Funnel Sans" w:hAnsi="Funnel Sans"/>
          <w:color w:val="000000"/>
          <w:sz w:val="22"/>
        </w:rPr>
        <w:t xml:space="preserve">For BD partners, this two-isotope strategy is commercially enabling rather than limiting.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280B51">
        <w:rPr>
          <w:rFonts w:ascii="Funnel Sans" w:hAnsi="Funnel Sans"/>
          <w:color w:val="000000"/>
          <w:sz w:val="22"/>
        </w:rPr>
        <w:t xml:space="preserve"> and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Pr="00280B51">
        <w:rPr>
          <w:rFonts w:ascii="Funnel Sans" w:hAnsi="Funnel Sans"/>
          <w:color w:val="000000"/>
          <w:sz w:val="22"/>
        </w:rPr>
        <w:t xml:space="preserve"> are both actively characterized under FDA regulatory frameworks, and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Pr="00280B51">
        <w:rPr>
          <w:rFonts w:ascii="Funnel Sans" w:hAnsi="Funnel Sans"/>
          <w:color w:val="000000"/>
          <w:sz w:val="22"/>
        </w:rPr>
        <w:t xml:space="preserve"> in particular is attracting DMF filings from multiple global suppliers. Partners who want alpha exposure get a </w:t>
      </w:r>
      <w:r w:rsidR="00423C04" w:rsidRPr="00280B51">
        <w:rPr>
          <w:rFonts w:ascii="Funnel Sans" w:hAnsi="Funnel Sans"/>
          <w:color w:val="000000"/>
          <w:sz w:val="22"/>
        </w:rPr>
        <w:t>clinical stage</w:t>
      </w:r>
      <w:r w:rsidRPr="00280B51">
        <w:rPr>
          <w:rFonts w:ascii="Funnel Sans" w:hAnsi="Funnel Sans"/>
          <w:color w:val="000000"/>
          <w:sz w:val="22"/>
        </w:rPr>
        <w:t xml:space="preserve">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280B51">
        <w:rPr>
          <w:rFonts w:ascii="Funnel Sans" w:hAnsi="Funnel Sans"/>
          <w:color w:val="000000"/>
          <w:sz w:val="22"/>
        </w:rPr>
        <w:t xml:space="preserve"> program; partners building for broader market coverage get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Pr="00280B51">
        <w:rPr>
          <w:rFonts w:ascii="Funnel Sans" w:hAnsi="Funnel Sans"/>
          <w:color w:val="000000"/>
          <w:sz w:val="22"/>
        </w:rPr>
        <w:t>'s more favorable dosimetry profile at scale. The single-chelator architecture further simplifies tech transfer. Sego will reassess isotope expansion if a specific target or indication biology warrants it, but will not add isotopes ahead of that clinical driver.</w:t>
      </w:r>
    </w:p>
    <w:p w14:paraId="045DEFD8" w14:textId="39372FF4" w:rsidR="003659D2" w:rsidRDefault="003659D2" w:rsidP="0045211A">
      <w:pPr>
        <w:jc w:val="both"/>
        <w:rPr>
          <w:rFonts w:ascii="Funnel Sans" w:hAnsi="Funnel Sans"/>
          <w:color w:val="156082"/>
          <w:sz w:val="22"/>
        </w:rPr>
      </w:pPr>
      <w:commentRangeStart w:id="27"/>
      <w:r w:rsidRPr="003659D2">
        <w:rPr>
          <w:rFonts w:ascii="Funnel Sans" w:hAnsi="Funnel Sans"/>
          <w:color w:val="156082"/>
          <w:sz w:val="22"/>
        </w:rPr>
        <w:t xml:space="preserve">What is your opinion on shorter vs longer lived isotopes and </w:t>
      </w:r>
      <w:commentRangeStart w:id="28"/>
      <w:r w:rsidRPr="003659D2">
        <w:rPr>
          <w:rFonts w:ascii="Funnel Sans" w:hAnsi="Funnel Sans"/>
          <w:color w:val="156082"/>
          <w:sz w:val="22"/>
        </w:rPr>
        <w:t xml:space="preserve">balancing supply and waste chain </w:t>
      </w:r>
      <w:commentRangeEnd w:id="28"/>
      <w:r w:rsidR="002D4627" w:rsidRPr="003659D2">
        <w:rPr>
          <w:rStyle w:val="CommentReference"/>
          <w:rFonts w:ascii="Funnel Sans" w:hAnsi="Funnel Sans"/>
          <w:color w:val="156082"/>
          <w:sz w:val="22"/>
          <w:szCs w:val="24"/>
        </w:rPr>
        <w:commentReference w:id="28"/>
      </w:r>
      <w:r w:rsidRPr="003659D2">
        <w:rPr>
          <w:rFonts w:ascii="Funnel Sans" w:hAnsi="Funnel Sans"/>
          <w:color w:val="156082"/>
          <w:sz w:val="22"/>
        </w:rPr>
        <w:t>tradeoffs?</w:t>
      </w:r>
      <w:commentRangeEnd w:id="27"/>
      <w:r w:rsidR="004C2B0E">
        <w:rPr>
          <w:rStyle w:val="CommentReference"/>
          <w:rFonts w:ascii="Funnel Sans" w:hAnsi="Funnel Sans"/>
          <w:color w:val="156082"/>
          <w:sz w:val="22"/>
          <w:szCs w:val="24"/>
        </w:rPr>
        <w:commentReference w:id="27"/>
      </w:r>
    </w:p>
    <w:p w14:paraId="0874F1B7" w14:textId="4EDD648A" w:rsidR="00280B51" w:rsidRPr="00280B51" w:rsidRDefault="0064659B" w:rsidP="0045211A">
      <w:pPr>
        <w:jc w:val="both"/>
        <w:rPr>
          <w:rFonts w:ascii="Funnel Sans" w:hAnsi="Funnel Sans"/>
          <w:color w:val="000000"/>
          <w:sz w:val="22"/>
        </w:rPr>
      </w:pPr>
      <w:r w:rsidRPr="005C21E5">
        <w:rPr>
          <w:rFonts w:ascii="Funnel Sans" w:hAnsi="Funnel Sans"/>
          <w:color w:val="000000"/>
          <w:sz w:val="22"/>
        </w:rPr>
        <w:t xml:space="preserve">Lutathera and Pluvicto both use </w:t>
      </w:r>
      <w:r w:rsidRPr="00750833">
        <w:rPr>
          <w:rFonts w:ascii="Funnel Sans" w:hAnsi="Funnel Sans"/>
          <w:color w:val="000000"/>
          <w:sz w:val="22"/>
          <w:vertAlign w:val="superscript"/>
        </w:rPr>
        <w:t>177</w:t>
      </w:r>
      <w:r w:rsidRPr="00DA6D44">
        <w:rPr>
          <w:rFonts w:ascii="Funnel Sans" w:hAnsi="Funnel Sans"/>
          <w:color w:val="000000"/>
          <w:sz w:val="22"/>
        </w:rPr>
        <w:t>Lu</w:t>
      </w:r>
      <w:r w:rsidRPr="005C21E5">
        <w:rPr>
          <w:rFonts w:ascii="Funnel Sans" w:hAnsi="Funnel Sans"/>
          <w:color w:val="000000"/>
          <w:sz w:val="22"/>
        </w:rPr>
        <w:t xml:space="preserve"> (7.2-day half-life) and are approved and commercially </w:t>
      </w:r>
      <w:r>
        <w:rPr>
          <w:rFonts w:ascii="Funnel Sans" w:hAnsi="Funnel Sans"/>
          <w:color w:val="000000"/>
          <w:sz w:val="22"/>
        </w:rPr>
        <w:t>successful</w:t>
      </w:r>
      <w:r w:rsidRPr="005C21E5">
        <w:rPr>
          <w:rFonts w:ascii="Funnel Sans" w:hAnsi="Funnel Sans"/>
          <w:color w:val="000000"/>
          <w:sz w:val="22"/>
        </w:rPr>
        <w:t>. No approved RLT program has converged on a shorter-lived isotope</w:t>
      </w:r>
      <w:r>
        <w:rPr>
          <w:rFonts w:ascii="Funnel Sans" w:hAnsi="Funnel Sans"/>
          <w:color w:val="000000"/>
          <w:sz w:val="22"/>
        </w:rPr>
        <w:t xml:space="preserve">. </w:t>
      </w:r>
      <w:r w:rsidR="00280B51" w:rsidRPr="00280B51">
        <w:rPr>
          <w:rFonts w:ascii="Funnel Sans" w:hAnsi="Funnel Sans"/>
          <w:color w:val="000000"/>
          <w:sz w:val="22"/>
        </w:rPr>
        <w:t xml:space="preserve">Sego's </w:t>
      </w:r>
      <w:r w:rsidR="00C904F6" w:rsidRPr="00C904F6">
        <w:rPr>
          <w:rFonts w:ascii="Funnel Sans" w:hAnsi="Funnel Sans"/>
          <w:color w:val="000000"/>
          <w:sz w:val="22"/>
        </w:rPr>
        <w:t>position is that isotope selection should be driven by maximizing tumor dose while minimizing exposure to organs at risk</w:t>
      </w:r>
      <w:r w:rsidR="00280B51" w:rsidRPr="00280B51">
        <w:rPr>
          <w:rFonts w:ascii="Funnel Sans" w:hAnsi="Funnel Sans"/>
          <w:color w:val="000000"/>
          <w:sz w:val="22"/>
        </w:rPr>
        <w:t xml:space="preserve">. </w:t>
      </w:r>
    </w:p>
    <w:p w14:paraId="08BB3794" w14:textId="62868698" w:rsidR="00280B51" w:rsidRPr="00280B51" w:rsidRDefault="006E65B2" w:rsidP="0045211A">
      <w:pPr>
        <w:jc w:val="both"/>
        <w:rPr>
          <w:rFonts w:ascii="Funnel Sans" w:hAnsi="Funnel Sans"/>
          <w:color w:val="000000"/>
          <w:sz w:val="22"/>
        </w:rPr>
      </w:pPr>
      <w:r w:rsidRPr="006E65B2">
        <w:rPr>
          <w:rFonts w:ascii="Funnel Sans" w:hAnsi="Funnel Sans"/>
          <w:color w:val="000000"/>
          <w:sz w:val="22"/>
        </w:rPr>
        <w:t>Sego's small-molecule and cyclic-peptide constructs are</w:t>
      </w:r>
      <w:r w:rsidR="007E7615">
        <w:rPr>
          <w:rFonts w:ascii="Funnel Sans" w:hAnsi="Funnel Sans"/>
          <w:color w:val="000000"/>
          <w:sz w:val="22"/>
        </w:rPr>
        <w:t xml:space="preserve"> designed to be</w:t>
      </w:r>
      <w:r w:rsidRPr="006E65B2">
        <w:rPr>
          <w:rFonts w:ascii="Funnel Sans" w:hAnsi="Funnel Sans"/>
          <w:color w:val="000000"/>
          <w:sz w:val="22"/>
        </w:rPr>
        <w:t xml:space="preserve"> retained in the tumor and rapidly cleared renally</w:t>
      </w:r>
      <w:r w:rsidR="007E7615">
        <w:rPr>
          <w:rFonts w:ascii="Funnel Sans" w:hAnsi="Funnel Sans"/>
          <w:color w:val="000000"/>
          <w:sz w:val="22"/>
        </w:rPr>
        <w:t>.</w:t>
      </w:r>
      <w:r w:rsidRPr="006E65B2">
        <w:rPr>
          <w:rFonts w:ascii="Funnel Sans" w:hAnsi="Funnel Sans"/>
          <w:color w:val="000000"/>
          <w:sz w:val="22"/>
        </w:rPr>
        <w:t xml:space="preserve"> </w:t>
      </w:r>
      <w:r w:rsidR="007E7615">
        <w:rPr>
          <w:rFonts w:ascii="Funnel Sans" w:hAnsi="Funnel Sans"/>
          <w:color w:val="000000"/>
          <w:sz w:val="22"/>
        </w:rPr>
        <w:t xml:space="preserve">They </w:t>
      </w:r>
      <w:r w:rsidRPr="006E65B2">
        <w:rPr>
          <w:rFonts w:ascii="Funnel Sans" w:hAnsi="Funnel Sans"/>
          <w:color w:val="000000"/>
          <w:sz w:val="22"/>
        </w:rPr>
        <w:t>favor longer-lived isotopes that maximize cumulative tumor dose</w:t>
      </w:r>
      <w:r w:rsidR="00280B51" w:rsidRPr="00280B51">
        <w:rPr>
          <w:rFonts w:ascii="Funnel Sans" w:hAnsi="Funnel Sans"/>
          <w:color w:val="000000"/>
          <w:sz w:val="22"/>
        </w:rPr>
        <w:t xml:space="preserve">. </w:t>
      </w:r>
      <w:r w:rsidR="00253A33">
        <w:rPr>
          <w:rFonts w:ascii="Funnel Sans" w:hAnsi="Funnel Sans"/>
          <w:color w:val="000000"/>
          <w:sz w:val="22"/>
        </w:rPr>
        <w:t xml:space="preserve">A shorter-lived isotope, even with a higher dose rate, </w:t>
      </w:r>
      <w:r w:rsidR="000B2875">
        <w:rPr>
          <w:rFonts w:ascii="Funnel Sans" w:hAnsi="Funnel Sans"/>
          <w:color w:val="000000"/>
          <w:sz w:val="22"/>
        </w:rPr>
        <w:t>will</w:t>
      </w:r>
      <w:r w:rsidR="00253A33">
        <w:rPr>
          <w:rFonts w:ascii="Funnel Sans" w:hAnsi="Funnel Sans"/>
          <w:color w:val="000000"/>
          <w:sz w:val="22"/>
        </w:rPr>
        <w:t xml:space="preserve"> not deliver as much dose to the tumor </w:t>
      </w:r>
      <w:r w:rsidR="0098050E">
        <w:rPr>
          <w:rFonts w:ascii="Funnel Sans" w:hAnsi="Funnel Sans"/>
          <w:color w:val="000000"/>
          <w:sz w:val="22"/>
        </w:rPr>
        <w:t xml:space="preserve">compared to </w:t>
      </w:r>
      <w:r w:rsidR="00750833" w:rsidRPr="00DA6D44">
        <w:rPr>
          <w:rFonts w:ascii="Funnel Sans" w:hAnsi="Funnel Sans"/>
          <w:color w:val="000000"/>
          <w:sz w:val="22"/>
          <w:vertAlign w:val="superscript"/>
        </w:rPr>
        <w:t>225</w:t>
      </w:r>
      <w:r w:rsidR="00750833" w:rsidRPr="00DA6D44">
        <w:rPr>
          <w:rFonts w:ascii="Funnel Sans" w:hAnsi="Funnel Sans"/>
          <w:color w:val="000000"/>
          <w:sz w:val="22"/>
        </w:rPr>
        <w:t>Ac</w:t>
      </w:r>
      <w:r w:rsidR="00253A33">
        <w:rPr>
          <w:rFonts w:ascii="Funnel Sans" w:hAnsi="Funnel Sans"/>
          <w:color w:val="000000"/>
          <w:sz w:val="22"/>
        </w:rPr>
        <w:t xml:space="preserve">. </w:t>
      </w:r>
    </w:p>
    <w:p w14:paraId="5008DF3B" w14:textId="7CA614AB" w:rsidR="003659D2" w:rsidRDefault="00280B51" w:rsidP="0045211A">
      <w:pPr>
        <w:jc w:val="both"/>
        <w:rPr>
          <w:rFonts w:ascii="Funnel Sans" w:hAnsi="Funnel Sans"/>
          <w:color w:val="000000"/>
          <w:sz w:val="22"/>
        </w:rPr>
      </w:pPr>
      <w:r w:rsidRPr="00280B51">
        <w:rPr>
          <w:rFonts w:ascii="Funnel Sans" w:hAnsi="Funnel Sans"/>
          <w:color w:val="000000"/>
          <w:sz w:val="22"/>
        </w:rPr>
        <w:t xml:space="preserve">On supply and waste chain: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280B51">
        <w:rPr>
          <w:rFonts w:ascii="Funnel Sans" w:hAnsi="Funnel Sans"/>
          <w:color w:val="000000"/>
          <w:sz w:val="22"/>
        </w:rPr>
        <w:t xml:space="preserve"> supply </w:t>
      </w:r>
      <w:r w:rsidR="008760B5">
        <w:rPr>
          <w:rFonts w:ascii="Funnel Sans" w:hAnsi="Funnel Sans"/>
          <w:color w:val="000000"/>
          <w:sz w:val="22"/>
        </w:rPr>
        <w:t xml:space="preserve">had been </w:t>
      </w:r>
      <w:r w:rsidRPr="00280B51">
        <w:rPr>
          <w:rFonts w:ascii="Funnel Sans" w:hAnsi="Funnel Sans"/>
          <w:color w:val="000000"/>
          <w:sz w:val="22"/>
        </w:rPr>
        <w:t xml:space="preserve">recognized </w:t>
      </w:r>
      <w:r w:rsidR="008760B5">
        <w:rPr>
          <w:rFonts w:ascii="Funnel Sans" w:hAnsi="Funnel Sans"/>
          <w:color w:val="000000"/>
          <w:sz w:val="22"/>
        </w:rPr>
        <w:t>as a</w:t>
      </w:r>
      <w:r w:rsidRPr="00280B51">
        <w:rPr>
          <w:rFonts w:ascii="Funnel Sans" w:hAnsi="Funnel Sans"/>
          <w:color w:val="000000"/>
          <w:sz w:val="22"/>
        </w:rPr>
        <w:t xml:space="preserve"> bottleneck for the field, and Sego's strategic relationship with Nusano provides a structural advantage in access and scheduling.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Pr="00280B51">
        <w:rPr>
          <w:rFonts w:ascii="Funnel Sans" w:hAnsi="Funnel Sans"/>
          <w:color w:val="000000"/>
          <w:sz w:val="22"/>
        </w:rPr>
        <w:t xml:space="preserve"> supply has improved </w:t>
      </w:r>
      <w:r w:rsidR="005C21E5" w:rsidRPr="005C21E5">
        <w:rPr>
          <w:rFonts w:ascii="Funnel Sans" w:hAnsi="Funnel Sans"/>
          <w:color w:val="000000"/>
          <w:sz w:val="22"/>
        </w:rPr>
        <w:t>over</w:t>
      </w:r>
      <w:r w:rsidRPr="00280B51">
        <w:rPr>
          <w:rFonts w:ascii="Funnel Sans" w:hAnsi="Funnel Sans"/>
          <w:color w:val="000000"/>
          <w:sz w:val="22"/>
        </w:rPr>
        <w:t xml:space="preserve"> the past 12 months, with multiple suppliers pursuing cGMP qualification and DMF filings. Waste handling for both isotopes is governed by standard radioactive materials regulations and does not represent a differentiated operational challenge versus other therapeutic radionuclide programs.</w:t>
      </w:r>
    </w:p>
    <w:p w14:paraId="2D336098" w14:textId="1537759D" w:rsidR="003659D2" w:rsidRDefault="003659D2" w:rsidP="0045211A">
      <w:pPr>
        <w:jc w:val="both"/>
        <w:rPr>
          <w:rFonts w:ascii="Funnel Sans" w:hAnsi="Funnel Sans"/>
          <w:color w:val="156082"/>
          <w:sz w:val="22"/>
        </w:rPr>
      </w:pPr>
      <w:commentRangeStart w:id="32"/>
      <w:r w:rsidRPr="003659D2">
        <w:rPr>
          <w:rFonts w:ascii="Funnel Sans" w:hAnsi="Funnel Sans"/>
          <w:color w:val="156082"/>
          <w:sz w:val="22"/>
        </w:rPr>
        <w:t>Can you walk us through the characteristics of ACP3 and KLK2 that you believe will make for a differentiated asset from Pluvicto/PSMA? How will your ACP3/KLK2 molecule stack up against the ACP3/KLK2 RLTs that are already in clinical trials?</w:t>
      </w:r>
      <w:commentRangeEnd w:id="32"/>
      <w:r w:rsidR="004C2B0E">
        <w:rPr>
          <w:rStyle w:val="CommentReference"/>
          <w:rFonts w:ascii="Funnel Sans" w:hAnsi="Funnel Sans"/>
          <w:color w:val="156082"/>
          <w:sz w:val="22"/>
          <w:szCs w:val="24"/>
        </w:rPr>
        <w:commentReference w:id="32"/>
      </w:r>
    </w:p>
    <w:p w14:paraId="726FD626" w14:textId="38DCD0FD" w:rsidR="00280B51" w:rsidRPr="00280B51" w:rsidRDefault="003659D2" w:rsidP="0045211A">
      <w:pPr>
        <w:jc w:val="both"/>
        <w:rPr>
          <w:rFonts w:ascii="Funnel Sans" w:hAnsi="Funnel Sans"/>
          <w:color w:val="000000"/>
          <w:sz w:val="22"/>
        </w:rPr>
      </w:pPr>
      <w:r w:rsidRPr="003659D2">
        <w:rPr>
          <w:rFonts w:ascii="Funnel Sans" w:hAnsi="Funnel Sans"/>
          <w:color w:val="000000"/>
          <w:sz w:val="22"/>
        </w:rPr>
        <w:lastRenderedPageBreak/>
        <w:t>A</w:t>
      </w:r>
      <w:r w:rsidR="00280B51" w:rsidRPr="00280B51">
        <w:rPr>
          <w:rFonts w:ascii="Funnel Sans" w:hAnsi="Funnel Sans"/>
          <w:color w:val="000000"/>
          <w:sz w:val="22"/>
        </w:rPr>
        <w:t xml:space="preserve">CP3 and KLK2 </w:t>
      </w:r>
      <w:r w:rsidR="005C21E5" w:rsidRPr="005C21E5">
        <w:rPr>
          <w:rFonts w:ascii="Funnel Sans" w:hAnsi="Funnel Sans"/>
          <w:color w:val="000000"/>
          <w:sz w:val="22"/>
        </w:rPr>
        <w:t>differ</w:t>
      </w:r>
      <w:r w:rsidR="00280B51" w:rsidRPr="00280B51">
        <w:rPr>
          <w:rFonts w:ascii="Funnel Sans" w:hAnsi="Funnel Sans"/>
          <w:color w:val="000000"/>
          <w:sz w:val="22"/>
        </w:rPr>
        <w:t xml:space="preserve"> from Pluvicto/PSMA on three axes: expression profile</w:t>
      </w:r>
      <w:r w:rsidR="00147BE7">
        <w:rPr>
          <w:rFonts w:ascii="Funnel Sans" w:hAnsi="Funnel Sans"/>
          <w:color w:val="000000"/>
          <w:sz w:val="22"/>
        </w:rPr>
        <w:t xml:space="preserve"> across stages of PC</w:t>
      </w:r>
      <w:r w:rsidR="00280B51" w:rsidRPr="00280B51">
        <w:rPr>
          <w:rFonts w:ascii="Funnel Sans" w:hAnsi="Funnel Sans"/>
          <w:color w:val="000000"/>
          <w:sz w:val="22"/>
        </w:rPr>
        <w:t xml:space="preserve">, </w:t>
      </w:r>
      <w:r w:rsidR="00072623">
        <w:rPr>
          <w:rFonts w:ascii="Funnel Sans" w:hAnsi="Funnel Sans"/>
          <w:color w:val="000000"/>
          <w:sz w:val="22"/>
        </w:rPr>
        <w:t xml:space="preserve">target expression in </w:t>
      </w:r>
      <w:r w:rsidR="0034665E">
        <w:rPr>
          <w:rFonts w:ascii="Funnel Sans" w:hAnsi="Funnel Sans"/>
          <w:color w:val="000000"/>
          <w:sz w:val="22"/>
        </w:rPr>
        <w:t xml:space="preserve">healthy tissues and </w:t>
      </w:r>
      <w:r w:rsidR="00280B51" w:rsidRPr="00280B51">
        <w:rPr>
          <w:rFonts w:ascii="Funnel Sans" w:hAnsi="Funnel Sans"/>
          <w:color w:val="000000"/>
          <w:sz w:val="22"/>
        </w:rPr>
        <w:t>organs at risk, and therapeutic index. Both are expressed in PSMA-low and PSMA-negative prostate cancer patients (~15% of high-risk mCRPC), expanding the addressable population beyond Pluvicto's reach.</w:t>
      </w:r>
    </w:p>
    <w:p w14:paraId="2B56D657" w14:textId="4D44A271" w:rsidR="00280B51" w:rsidRPr="00280B51" w:rsidRDefault="00280B51" w:rsidP="0045211A">
      <w:pPr>
        <w:jc w:val="both"/>
        <w:rPr>
          <w:rFonts w:ascii="Funnel Sans" w:hAnsi="Funnel Sans"/>
          <w:color w:val="000000"/>
          <w:sz w:val="22"/>
        </w:rPr>
      </w:pPr>
      <w:r w:rsidRPr="007D54B3">
        <w:rPr>
          <w:rFonts w:ascii="Funnel Sans" w:hAnsi="Funnel Sans"/>
          <w:b/>
          <w:bCs/>
          <w:color w:val="000000"/>
          <w:sz w:val="22"/>
        </w:rPr>
        <w:t>ACP3</w:t>
      </w:r>
      <w:r w:rsidRPr="00280B51">
        <w:rPr>
          <w:rFonts w:ascii="Funnel Sans" w:hAnsi="Funnel Sans"/>
          <w:color w:val="000000"/>
          <w:sz w:val="22"/>
        </w:rPr>
        <w:t xml:space="preserve">: expression is maintained in ~95% of prostate cancer patients across disease stages, </w:t>
      </w:r>
      <w:r w:rsidR="00890DDA" w:rsidRPr="00890DDA">
        <w:rPr>
          <w:rFonts w:ascii="Funnel Sans" w:hAnsi="Funnel Sans"/>
          <w:color w:val="000000"/>
          <w:sz w:val="22"/>
        </w:rPr>
        <w:t xml:space="preserve">with </w:t>
      </w:r>
      <w:r w:rsidR="001A3E70">
        <w:rPr>
          <w:rFonts w:ascii="Funnel Sans" w:hAnsi="Funnel Sans"/>
          <w:color w:val="000000"/>
          <w:sz w:val="22"/>
        </w:rPr>
        <w:t>a lack of</w:t>
      </w:r>
      <w:r w:rsidR="001A3E70" w:rsidRPr="00890DDA">
        <w:rPr>
          <w:rFonts w:ascii="Funnel Sans" w:hAnsi="Funnel Sans"/>
          <w:color w:val="000000"/>
          <w:sz w:val="22"/>
        </w:rPr>
        <w:t xml:space="preserve"> </w:t>
      </w:r>
      <w:r w:rsidR="00890DDA" w:rsidRPr="00890DDA">
        <w:rPr>
          <w:rFonts w:ascii="Funnel Sans" w:hAnsi="Funnel Sans"/>
          <w:color w:val="000000"/>
          <w:sz w:val="22"/>
        </w:rPr>
        <w:t>expression in salivary gland and kidney, which are the tissues that drive Pluvicto's two dose-limiting toxicities</w:t>
      </w:r>
      <w:r w:rsidRPr="00280B51">
        <w:rPr>
          <w:rFonts w:ascii="Funnel Sans" w:hAnsi="Funnel Sans"/>
          <w:color w:val="000000"/>
          <w:sz w:val="22"/>
        </w:rPr>
        <w:t xml:space="preserve">. First-in-human imaging data shows strong tumor uptake with significantly </w:t>
      </w:r>
      <w:r w:rsidR="006932F8">
        <w:rPr>
          <w:rFonts w:ascii="Funnel Sans" w:hAnsi="Funnel Sans"/>
          <w:color w:val="000000"/>
          <w:sz w:val="22"/>
        </w:rPr>
        <w:t>enhanced</w:t>
      </w:r>
      <w:r w:rsidR="00CF52B8" w:rsidRPr="00280B51">
        <w:rPr>
          <w:rFonts w:ascii="Funnel Sans" w:hAnsi="Funnel Sans"/>
          <w:color w:val="000000"/>
          <w:sz w:val="22"/>
        </w:rPr>
        <w:t xml:space="preserve"> </w:t>
      </w:r>
      <w:r w:rsidRPr="00280B51">
        <w:rPr>
          <w:rFonts w:ascii="Funnel Sans" w:hAnsi="Funnel Sans"/>
          <w:color w:val="000000"/>
          <w:sz w:val="22"/>
        </w:rPr>
        <w:t xml:space="preserve">on-target/off-tumor uptake versus PSMA-targeted agents. BMS/RayzeBio's OncoACP3 program uses a non-internalizing small molecule, </w:t>
      </w:r>
      <w:r w:rsidR="008704F3">
        <w:rPr>
          <w:rFonts w:ascii="Funnel Sans" w:hAnsi="Funnel Sans"/>
          <w:color w:val="000000"/>
          <w:sz w:val="22"/>
        </w:rPr>
        <w:t>creating opportunity for Sego to deliver a more efficacious, internalizing molecule</w:t>
      </w:r>
      <w:r w:rsidRPr="00280B51">
        <w:rPr>
          <w:rFonts w:ascii="Funnel Sans" w:hAnsi="Funnel Sans"/>
          <w:color w:val="000000"/>
          <w:sz w:val="22"/>
        </w:rPr>
        <w:t xml:space="preserve"> where intracellular delivery </w:t>
      </w:r>
      <w:r w:rsidR="005C21E5" w:rsidRPr="005C21E5">
        <w:rPr>
          <w:rFonts w:ascii="Funnel Sans" w:hAnsi="Funnel Sans"/>
          <w:color w:val="000000"/>
          <w:sz w:val="22"/>
        </w:rPr>
        <w:t>amplifi</w:t>
      </w:r>
      <w:r w:rsidRPr="00280B51">
        <w:rPr>
          <w:rFonts w:ascii="Funnel Sans" w:hAnsi="Funnel Sans"/>
          <w:color w:val="000000"/>
          <w:sz w:val="22"/>
        </w:rPr>
        <w:t>es Auger and alpha-emission DNA-damage kinetics</w:t>
      </w:r>
      <w:r w:rsidR="008704F3">
        <w:rPr>
          <w:rFonts w:ascii="Funnel Sans" w:hAnsi="Funnel Sans"/>
          <w:color w:val="000000"/>
          <w:sz w:val="22"/>
        </w:rPr>
        <w:t xml:space="preserve"> of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008704F3">
        <w:rPr>
          <w:rFonts w:ascii="Funnel Sans" w:hAnsi="Funnel Sans"/>
          <w:color w:val="000000"/>
          <w:sz w:val="22"/>
        </w:rPr>
        <w:t xml:space="preserve"> and/or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Pr="00280B51">
        <w:rPr>
          <w:rFonts w:ascii="Funnel Sans" w:hAnsi="Funnel Sans"/>
          <w:color w:val="000000"/>
          <w:sz w:val="22"/>
        </w:rPr>
        <w:t xml:space="preserve">. </w:t>
      </w:r>
      <w:r w:rsidR="00781C6E">
        <w:rPr>
          <w:rFonts w:ascii="Funnel Sans" w:hAnsi="Funnel Sans"/>
          <w:color w:val="000000"/>
          <w:sz w:val="22"/>
        </w:rPr>
        <w:t xml:space="preserve">Furthermore, we are </w:t>
      </w:r>
      <w:r w:rsidR="00894A84">
        <w:rPr>
          <w:rFonts w:ascii="Funnel Sans" w:hAnsi="Funnel Sans"/>
          <w:color w:val="000000"/>
          <w:sz w:val="22"/>
        </w:rPr>
        <w:t xml:space="preserve">developing potential covalent binders to ACP3 that </w:t>
      </w:r>
      <w:r w:rsidR="00BB475D">
        <w:rPr>
          <w:rFonts w:ascii="Funnel Sans" w:hAnsi="Funnel Sans"/>
          <w:color w:val="000000"/>
          <w:sz w:val="22"/>
        </w:rPr>
        <w:t>could</w:t>
      </w:r>
      <w:r w:rsidR="00894A84">
        <w:rPr>
          <w:rFonts w:ascii="Funnel Sans" w:hAnsi="Funnel Sans"/>
          <w:color w:val="000000"/>
          <w:sz w:val="22"/>
        </w:rPr>
        <w:t xml:space="preserve"> a</w:t>
      </w:r>
      <w:r w:rsidR="00BB475D">
        <w:rPr>
          <w:rFonts w:ascii="Funnel Sans" w:hAnsi="Funnel Sans"/>
          <w:color w:val="000000"/>
          <w:sz w:val="22"/>
        </w:rPr>
        <w:t xml:space="preserve">lso enhance retention of the RLT. </w:t>
      </w:r>
      <w:r w:rsidR="00C64063">
        <w:rPr>
          <w:rFonts w:ascii="Funnel Sans" w:hAnsi="Funnel Sans"/>
          <w:color w:val="000000"/>
          <w:sz w:val="22"/>
        </w:rPr>
        <w:t xml:space="preserve">Finally, OncoACP3 is a racemic mixture that </w:t>
      </w:r>
      <w:r w:rsidR="00070486">
        <w:rPr>
          <w:rFonts w:ascii="Funnel Sans" w:hAnsi="Funnel Sans"/>
          <w:color w:val="000000"/>
          <w:sz w:val="22"/>
        </w:rPr>
        <w:t xml:space="preserve">could </w:t>
      </w:r>
      <w:r w:rsidR="005A3D53">
        <w:rPr>
          <w:rFonts w:ascii="Funnel Sans" w:hAnsi="Funnel Sans"/>
          <w:color w:val="000000"/>
          <w:sz w:val="22"/>
        </w:rPr>
        <w:t xml:space="preserve">generate issues with downstream CMC. </w:t>
      </w:r>
      <w:r w:rsidRPr="00280B51">
        <w:rPr>
          <w:rFonts w:ascii="Funnel Sans" w:hAnsi="Funnel Sans"/>
          <w:color w:val="000000"/>
          <w:sz w:val="22"/>
        </w:rPr>
        <w:t xml:space="preserve">Sego's </w:t>
      </w:r>
      <w:r w:rsidR="008704F3">
        <w:rPr>
          <w:rFonts w:ascii="Funnel Sans" w:hAnsi="Funnel Sans"/>
          <w:color w:val="000000"/>
          <w:sz w:val="22"/>
        </w:rPr>
        <w:t xml:space="preserve">initial </w:t>
      </w:r>
      <w:r w:rsidRPr="00280B51">
        <w:rPr>
          <w:rFonts w:ascii="Funnel Sans" w:hAnsi="Funnel Sans"/>
          <w:color w:val="000000"/>
          <w:sz w:val="22"/>
        </w:rPr>
        <w:t xml:space="preserve">intent is a randomized comparator pivotal against Pluvicto in the full mCRPC population </w:t>
      </w:r>
      <w:r w:rsidR="00FA305B" w:rsidRPr="00FA305B">
        <w:rPr>
          <w:rFonts w:ascii="Funnel Sans" w:hAnsi="Funnel Sans"/>
          <w:color w:val="000000"/>
          <w:sz w:val="22"/>
        </w:rPr>
        <w:t>(</w:t>
      </w:r>
      <w:r w:rsidRPr="00280B51">
        <w:rPr>
          <w:rFonts w:ascii="Funnel Sans" w:hAnsi="Funnel Sans"/>
          <w:color w:val="000000"/>
          <w:sz w:val="22"/>
        </w:rPr>
        <w:t>not enrichment for PSMA-low/negative</w:t>
      </w:r>
      <w:r w:rsidR="00FA305B" w:rsidRPr="00FA305B">
        <w:rPr>
          <w:rFonts w:ascii="Funnel Sans" w:hAnsi="Funnel Sans"/>
          <w:color w:val="000000"/>
          <w:sz w:val="22"/>
        </w:rPr>
        <w:t>)</w:t>
      </w:r>
      <w:r w:rsidRPr="00280B51">
        <w:rPr>
          <w:rFonts w:ascii="Funnel Sans" w:hAnsi="Funnel Sans"/>
          <w:color w:val="000000"/>
          <w:sz w:val="22"/>
        </w:rPr>
        <w:t xml:space="preserve"> because the expression and TI advantages support a superiority hypothesis across the full population.</w:t>
      </w:r>
      <w:r w:rsidR="008704F3">
        <w:rPr>
          <w:rFonts w:ascii="Funnel Sans" w:hAnsi="Funnel Sans"/>
          <w:color w:val="000000"/>
          <w:sz w:val="22"/>
        </w:rPr>
        <w:t xml:space="preserve"> Given the likely wide therapeutic index, we also intend to bring our ACP3 program rapidly into earlier lines of therapy.</w:t>
      </w:r>
    </w:p>
    <w:p w14:paraId="4DDB66AF" w14:textId="2178B036" w:rsidR="003659D2" w:rsidRDefault="00280B51" w:rsidP="0045211A">
      <w:pPr>
        <w:jc w:val="both"/>
        <w:rPr>
          <w:rFonts w:ascii="Funnel Sans" w:hAnsi="Funnel Sans"/>
          <w:color w:val="000000"/>
          <w:sz w:val="22"/>
        </w:rPr>
      </w:pPr>
      <w:r w:rsidRPr="007D54B3">
        <w:rPr>
          <w:rFonts w:ascii="Funnel Sans" w:hAnsi="Funnel Sans"/>
          <w:b/>
          <w:bCs/>
          <w:color w:val="000000"/>
          <w:sz w:val="22"/>
        </w:rPr>
        <w:t>KLK2</w:t>
      </w:r>
      <w:r w:rsidRPr="00280B51">
        <w:rPr>
          <w:rFonts w:ascii="Funnel Sans" w:hAnsi="Funnel Sans"/>
          <w:color w:val="000000"/>
          <w:sz w:val="22"/>
        </w:rPr>
        <w:t>: expression is restricted to the healthy prostate with substantial overexpression across prostate cancer stages, maintained in PSMA-negative disease. JNJ's antibody program experienced ILD and hematologic toxicity driven by antibody pharmacokinetics (long half-life, Fc biology, cumulative lung dose) rather than target biology. Sego's short-circulating cyclic peptide</w:t>
      </w:r>
      <w:r w:rsidR="00FA3EA9">
        <w:rPr>
          <w:rFonts w:ascii="Funnel Sans" w:hAnsi="Funnel Sans"/>
          <w:color w:val="000000"/>
          <w:sz w:val="22"/>
        </w:rPr>
        <w:t xml:space="preserve"> approach</w:t>
      </w:r>
      <w:r w:rsidRPr="00280B51">
        <w:rPr>
          <w:rFonts w:ascii="Funnel Sans" w:hAnsi="Funnel Sans"/>
          <w:color w:val="000000"/>
          <w:sz w:val="22"/>
        </w:rPr>
        <w:t xml:space="preserve"> eliminates all three mechanisms: </w:t>
      </w:r>
      <w:r w:rsidR="00E47BF3">
        <w:rPr>
          <w:rFonts w:ascii="Funnel Sans" w:hAnsi="Funnel Sans"/>
          <w:color w:val="000000"/>
          <w:sz w:val="22"/>
        </w:rPr>
        <w:t>short circulating half-life reduces</w:t>
      </w:r>
      <w:r w:rsidRPr="00280B51">
        <w:rPr>
          <w:rFonts w:ascii="Funnel Sans" w:hAnsi="Funnel Sans"/>
          <w:color w:val="000000"/>
          <w:sz w:val="22"/>
        </w:rPr>
        <w:t xml:space="preserve"> prolonged blood residence, there is no Fc biology, and no pulmonary dose accumulation from the targeting vector. Phase 0 imaging will </w:t>
      </w:r>
      <w:r w:rsidR="005C21E5" w:rsidRPr="005C21E5">
        <w:rPr>
          <w:rFonts w:ascii="Funnel Sans" w:hAnsi="Funnel Sans"/>
          <w:color w:val="000000"/>
          <w:sz w:val="22"/>
        </w:rPr>
        <w:t>confirm</w:t>
      </w:r>
      <w:r w:rsidRPr="00280B51">
        <w:rPr>
          <w:rFonts w:ascii="Funnel Sans" w:hAnsi="Funnel Sans"/>
          <w:color w:val="000000"/>
          <w:sz w:val="22"/>
        </w:rPr>
        <w:t xml:space="preserve"> lung dosimetry before any therapeutic activity is </w:t>
      </w:r>
      <w:r w:rsidR="005C21E5" w:rsidRPr="005C21E5">
        <w:rPr>
          <w:rFonts w:ascii="Funnel Sans" w:hAnsi="Funnel Sans"/>
          <w:color w:val="000000"/>
          <w:sz w:val="22"/>
        </w:rPr>
        <w:t>given</w:t>
      </w:r>
      <w:r w:rsidRPr="00280B51">
        <w:rPr>
          <w:rFonts w:ascii="Funnel Sans" w:hAnsi="Funnel Sans"/>
          <w:color w:val="000000"/>
          <w:sz w:val="22"/>
        </w:rPr>
        <w:t>. KLK2's earlier-disease expression profile (earlier-stage disease, BCR-triggered interventions) and PSMA-negative coverage represent additional competitive differentiation absent from PSMA-targeted programs.</w:t>
      </w:r>
      <w:r w:rsidR="00FA3EA9">
        <w:rPr>
          <w:rFonts w:ascii="Funnel Sans" w:hAnsi="Funnel Sans"/>
          <w:color w:val="000000"/>
          <w:sz w:val="22"/>
        </w:rPr>
        <w:t xml:space="preserve"> </w:t>
      </w:r>
      <w:r w:rsidR="00B513DA">
        <w:rPr>
          <w:rFonts w:ascii="Funnel Sans" w:hAnsi="Funnel Sans"/>
          <w:color w:val="000000"/>
          <w:sz w:val="22"/>
        </w:rPr>
        <w:t>Like</w:t>
      </w:r>
      <w:r w:rsidR="00FA3EA9">
        <w:rPr>
          <w:rFonts w:ascii="Funnel Sans" w:hAnsi="Funnel Sans"/>
          <w:color w:val="000000"/>
          <w:sz w:val="22"/>
        </w:rPr>
        <w:t xml:space="preserve"> ACP3, we inten</w:t>
      </w:r>
      <w:r w:rsidR="00B513DA">
        <w:rPr>
          <w:rFonts w:ascii="Funnel Sans" w:hAnsi="Funnel Sans"/>
          <w:color w:val="000000"/>
          <w:sz w:val="22"/>
        </w:rPr>
        <w:t>d</w:t>
      </w:r>
      <w:r w:rsidR="00FA3EA9">
        <w:rPr>
          <w:rFonts w:ascii="Funnel Sans" w:hAnsi="Funnel Sans"/>
          <w:color w:val="000000"/>
          <w:sz w:val="22"/>
        </w:rPr>
        <w:t xml:space="preserve"> to prove superiority to Pluvicto and expand into earlier lines of treatment.</w:t>
      </w:r>
    </w:p>
    <w:p w14:paraId="0E062849" w14:textId="0BA7D6F0" w:rsidR="003659D2" w:rsidRDefault="003659D2" w:rsidP="0045211A">
      <w:pPr>
        <w:jc w:val="both"/>
        <w:rPr>
          <w:rFonts w:ascii="Funnel Sans" w:hAnsi="Funnel Sans"/>
          <w:color w:val="156082"/>
          <w:sz w:val="22"/>
        </w:rPr>
      </w:pPr>
      <w:commentRangeStart w:id="34"/>
      <w:r w:rsidRPr="003659D2">
        <w:rPr>
          <w:rFonts w:ascii="Funnel Sans" w:hAnsi="Funnel Sans"/>
          <w:color w:val="156082"/>
          <w:sz w:val="22"/>
        </w:rPr>
        <w:t>For each of your targets, can you outline: 1) Why this is more suited to the RLT modality than ADC? 2) How you will position against ADCs against the same target (if applicable) and 3) What you view as the value inflection point? E.g. Ph0, 1, 2, 3+</w:t>
      </w:r>
      <w:commentRangeEnd w:id="34"/>
      <w:r w:rsidR="004C2B0E">
        <w:rPr>
          <w:rStyle w:val="CommentReference"/>
          <w:rFonts w:ascii="Funnel Sans" w:hAnsi="Funnel Sans"/>
          <w:color w:val="156082"/>
          <w:sz w:val="22"/>
          <w:szCs w:val="24"/>
        </w:rPr>
        <w:commentReference w:id="34"/>
      </w:r>
    </w:p>
    <w:p w14:paraId="54EAC7AB" w14:textId="5C76AA17" w:rsidR="00280B51" w:rsidRPr="00280B51" w:rsidRDefault="00280B51" w:rsidP="0045211A">
      <w:pPr>
        <w:jc w:val="both"/>
        <w:rPr>
          <w:rFonts w:ascii="Funnel Sans" w:hAnsi="Funnel Sans"/>
          <w:color w:val="000000"/>
          <w:sz w:val="22"/>
        </w:rPr>
      </w:pPr>
      <w:r w:rsidRPr="00280B51">
        <w:rPr>
          <w:rFonts w:ascii="Funnel Sans" w:hAnsi="Funnel Sans"/>
          <w:color w:val="000000"/>
          <w:sz w:val="22"/>
        </w:rPr>
        <w:t xml:space="preserve">RLT </w:t>
      </w:r>
      <w:r w:rsidR="005C21E5" w:rsidRPr="005C21E5">
        <w:rPr>
          <w:rFonts w:ascii="Funnel Sans" w:hAnsi="Funnel Sans"/>
          <w:color w:val="000000"/>
          <w:sz w:val="22"/>
        </w:rPr>
        <w:t>outperforms ADCs on mechanism, toxicity predictability, and resistance profile</w:t>
      </w:r>
      <w:r w:rsidRPr="00280B51">
        <w:rPr>
          <w:rFonts w:ascii="Funnel Sans" w:hAnsi="Funnel Sans"/>
          <w:color w:val="000000"/>
          <w:sz w:val="22"/>
        </w:rPr>
        <w:t xml:space="preserve"> for Sego's target set</w:t>
      </w:r>
      <w:r w:rsidR="00D51CF8">
        <w:rPr>
          <w:rFonts w:ascii="Funnel Sans" w:hAnsi="Funnel Sans"/>
          <w:color w:val="000000"/>
          <w:sz w:val="22"/>
        </w:rPr>
        <w:t>, with earlier value inflection (Ph 0) vs. ADCs against the same targets.</w:t>
      </w:r>
    </w:p>
    <w:p w14:paraId="3EB8D5CA" w14:textId="24A304C2" w:rsidR="00280B51" w:rsidRPr="00280B51" w:rsidRDefault="00D01FFD" w:rsidP="0045211A">
      <w:pPr>
        <w:jc w:val="both"/>
        <w:rPr>
          <w:rFonts w:ascii="Funnel Sans" w:hAnsi="Funnel Sans"/>
          <w:color w:val="000000"/>
          <w:sz w:val="22"/>
        </w:rPr>
      </w:pPr>
      <w:r w:rsidRPr="00D01FFD">
        <w:rPr>
          <w:rFonts w:ascii="Funnel Sans" w:hAnsi="Funnel Sans"/>
          <w:b/>
          <w:bCs/>
          <w:color w:val="000000"/>
          <w:sz w:val="22"/>
        </w:rPr>
        <w:t>Suitability to each modality</w:t>
      </w:r>
      <w:r>
        <w:rPr>
          <w:rFonts w:ascii="Funnel Sans" w:hAnsi="Funnel Sans"/>
          <w:color w:val="000000"/>
          <w:sz w:val="22"/>
        </w:rPr>
        <w:t xml:space="preserve">: </w:t>
      </w:r>
      <w:r w:rsidR="00280B51" w:rsidRPr="00280B51">
        <w:rPr>
          <w:rFonts w:ascii="Funnel Sans" w:hAnsi="Funnel Sans"/>
          <w:color w:val="000000"/>
          <w:sz w:val="22"/>
        </w:rPr>
        <w:t xml:space="preserve">ADCs depend on receptor-mediated internalization, intracellular trafficking, and </w:t>
      </w:r>
      <w:r w:rsidR="004C5FDF">
        <w:rPr>
          <w:rFonts w:ascii="Funnel Sans" w:hAnsi="Funnel Sans"/>
          <w:color w:val="000000"/>
          <w:sz w:val="22"/>
        </w:rPr>
        <w:t xml:space="preserve">enzymatic </w:t>
      </w:r>
      <w:r w:rsidR="00280B51" w:rsidRPr="00280B51">
        <w:rPr>
          <w:rFonts w:ascii="Funnel Sans" w:hAnsi="Funnel Sans"/>
          <w:color w:val="000000"/>
          <w:sz w:val="22"/>
        </w:rPr>
        <w:t>payload release</w:t>
      </w:r>
      <w:r w:rsidR="005C21E5" w:rsidRPr="005C21E5">
        <w:rPr>
          <w:rFonts w:ascii="Funnel Sans" w:hAnsi="Funnel Sans"/>
          <w:color w:val="000000"/>
          <w:sz w:val="22"/>
        </w:rPr>
        <w:t>. Each step</w:t>
      </w:r>
      <w:r w:rsidR="00280B51" w:rsidRPr="00280B51">
        <w:rPr>
          <w:rFonts w:ascii="Funnel Sans" w:hAnsi="Funnel Sans"/>
          <w:color w:val="000000"/>
          <w:sz w:val="22"/>
        </w:rPr>
        <w:t xml:space="preserve"> is a failure mode. Efficacy and toxicity are sensitive to linker stability, payload class, and tumor cell biology. IgG-based ADCs carry additional scaffold-driven risk: Fc</w:t>
      </w:r>
      <w:r w:rsidR="00280B51" w:rsidRPr="00280B51">
        <w:rPr>
          <w:rFonts w:ascii="Funnel Sans" w:hAnsi="Funnel Sans" w:hint="eastAsia"/>
          <w:color w:val="000000"/>
          <w:sz w:val="22"/>
        </w:rPr>
        <w:t>γ</w:t>
      </w:r>
      <w:r w:rsidR="00280B51" w:rsidRPr="00280B51">
        <w:rPr>
          <w:rFonts w:ascii="Funnel Sans" w:hAnsi="Funnel Sans"/>
          <w:color w:val="000000"/>
          <w:sz w:val="22"/>
        </w:rPr>
        <w:t xml:space="preserve"> receptor engagement promotes non-tumor uptake, immune activation, </w:t>
      </w:r>
      <w:r w:rsidR="00280B51" w:rsidRPr="00280B51">
        <w:rPr>
          <w:rFonts w:ascii="Funnel Sans" w:hAnsi="Funnel Sans"/>
          <w:color w:val="000000"/>
          <w:sz w:val="22"/>
        </w:rPr>
        <w:lastRenderedPageBreak/>
        <w:t>and prolonged tissue exposure</w:t>
      </w:r>
      <w:r w:rsidR="00706AD5">
        <w:rPr>
          <w:rFonts w:ascii="Funnel Sans" w:hAnsi="Funnel Sans"/>
          <w:color w:val="000000"/>
          <w:sz w:val="22"/>
        </w:rPr>
        <w:t>.</w:t>
      </w:r>
      <w:r w:rsidR="00280B51" w:rsidRPr="00280B51">
        <w:rPr>
          <w:rFonts w:ascii="Funnel Sans" w:hAnsi="Funnel Sans"/>
          <w:color w:val="000000"/>
          <w:sz w:val="22"/>
        </w:rPr>
        <w:t xml:space="preserve"> </w:t>
      </w:r>
      <w:r w:rsidR="00706AD5">
        <w:rPr>
          <w:rFonts w:ascii="Funnel Sans" w:hAnsi="Funnel Sans"/>
          <w:color w:val="000000"/>
          <w:sz w:val="22"/>
        </w:rPr>
        <w:t>S</w:t>
      </w:r>
      <w:r w:rsidR="00706AD5" w:rsidRPr="00280B51">
        <w:rPr>
          <w:rFonts w:ascii="Funnel Sans" w:hAnsi="Funnel Sans"/>
          <w:color w:val="000000"/>
          <w:sz w:val="22"/>
        </w:rPr>
        <w:t xml:space="preserve">aturating </w:t>
      </w:r>
      <w:r w:rsidR="00280B51" w:rsidRPr="00280B51">
        <w:rPr>
          <w:rFonts w:ascii="Funnel Sans" w:hAnsi="Funnel Sans"/>
          <w:color w:val="000000"/>
          <w:sz w:val="22"/>
        </w:rPr>
        <w:t xml:space="preserve">mass doses </w:t>
      </w:r>
      <w:r w:rsidR="003E2D52">
        <w:rPr>
          <w:rFonts w:ascii="Funnel Sans" w:hAnsi="Funnel Sans"/>
          <w:color w:val="000000"/>
          <w:sz w:val="22"/>
        </w:rPr>
        <w:t xml:space="preserve">in combination with prolonged tissue exposure </w:t>
      </w:r>
      <w:r w:rsidR="00280B51" w:rsidRPr="00280B51">
        <w:rPr>
          <w:rFonts w:ascii="Funnel Sans" w:hAnsi="Funnel Sans"/>
          <w:color w:val="000000"/>
          <w:sz w:val="22"/>
        </w:rPr>
        <w:t>limit the ability to reduce off-tumor exposure</w:t>
      </w:r>
      <w:r w:rsidR="00B74D9D">
        <w:rPr>
          <w:rFonts w:ascii="Funnel Sans" w:hAnsi="Funnel Sans"/>
          <w:color w:val="000000"/>
          <w:sz w:val="22"/>
        </w:rPr>
        <w:t xml:space="preserve"> to target expressing and non-expressing tissues</w:t>
      </w:r>
      <w:r w:rsidR="00280B51" w:rsidRPr="00280B51">
        <w:rPr>
          <w:rFonts w:ascii="Funnel Sans" w:hAnsi="Funnel Sans"/>
          <w:color w:val="000000"/>
          <w:sz w:val="22"/>
        </w:rPr>
        <w:t>. This has historically produced narrow or unpredictable therapeutic windows and off-target toxicities (ocular, pulmonary, GI). Resistance mechanisms including drug efflux and impaired internalization limit durability.</w:t>
      </w:r>
    </w:p>
    <w:p w14:paraId="504D5002" w14:textId="280B68AD" w:rsidR="00280B51" w:rsidRPr="00280B51" w:rsidRDefault="00280B51" w:rsidP="0045211A">
      <w:pPr>
        <w:jc w:val="both"/>
        <w:rPr>
          <w:rFonts w:ascii="Funnel Sans" w:hAnsi="Funnel Sans"/>
          <w:color w:val="000000"/>
          <w:sz w:val="22"/>
        </w:rPr>
      </w:pPr>
      <w:r w:rsidRPr="00280B51">
        <w:rPr>
          <w:rFonts w:ascii="Funnel Sans" w:hAnsi="Funnel Sans"/>
          <w:color w:val="000000"/>
          <w:sz w:val="22"/>
        </w:rPr>
        <w:t xml:space="preserve">RLT delivers cytotoxicity through localized radiation emission, independent of cell cycle status and intracellular payload processing. Alpha </w:t>
      </w:r>
      <w:r w:rsidR="00B6215B">
        <w:rPr>
          <w:rFonts w:ascii="Funnel Sans" w:hAnsi="Funnel Sans"/>
          <w:color w:val="000000"/>
          <w:sz w:val="22"/>
        </w:rPr>
        <w:t xml:space="preserve">particles from </w:t>
      </w:r>
      <w:r w:rsidR="00750833" w:rsidRPr="00750833">
        <w:rPr>
          <w:rFonts w:ascii="Funnel Sans" w:hAnsi="Funnel Sans"/>
          <w:color w:val="000000"/>
          <w:sz w:val="22"/>
          <w:vertAlign w:val="superscript"/>
        </w:rPr>
        <w:t>225</w:t>
      </w:r>
      <w:r w:rsidR="00750833" w:rsidRPr="00DA6D44">
        <w:rPr>
          <w:rFonts w:ascii="Funnel Sans" w:hAnsi="Funnel Sans"/>
          <w:color w:val="000000"/>
          <w:sz w:val="22"/>
        </w:rPr>
        <w:t>Ac</w:t>
      </w:r>
      <w:r w:rsidR="00B6215B" w:rsidRPr="009927FC">
        <w:rPr>
          <w:rFonts w:ascii="Funnel Sans" w:hAnsi="Funnel Sans"/>
          <w:color w:val="000000"/>
          <w:sz w:val="22"/>
        </w:rPr>
        <w:t xml:space="preserve"> </w:t>
      </w:r>
      <w:r w:rsidR="000D021B">
        <w:rPr>
          <w:rFonts w:ascii="Funnel Sans" w:hAnsi="Funnel Sans"/>
          <w:color w:val="000000"/>
          <w:sz w:val="22"/>
        </w:rPr>
        <w:t xml:space="preserve">cause </w:t>
      </w:r>
      <w:r w:rsidR="00330F5F">
        <w:rPr>
          <w:rFonts w:ascii="Funnel Sans" w:hAnsi="Funnel Sans"/>
          <w:color w:val="000000"/>
          <w:sz w:val="22"/>
        </w:rPr>
        <w:t xml:space="preserve">irreparable DNA double strand breaks. </w:t>
      </w:r>
      <w:r w:rsidR="00750833" w:rsidRPr="00750833">
        <w:rPr>
          <w:rFonts w:ascii="Funnel Sans" w:hAnsi="Funnel Sans"/>
          <w:color w:val="000000"/>
          <w:sz w:val="22"/>
          <w:vertAlign w:val="superscript"/>
        </w:rPr>
        <w:t>161</w:t>
      </w:r>
      <w:r w:rsidR="00750833" w:rsidRPr="00DA6D44">
        <w:rPr>
          <w:rFonts w:ascii="Funnel Sans" w:hAnsi="Funnel Sans"/>
          <w:color w:val="000000"/>
          <w:sz w:val="22"/>
        </w:rPr>
        <w:t>Tb</w:t>
      </w:r>
      <w:r w:rsidR="00AF61BC">
        <w:rPr>
          <w:rFonts w:ascii="Funnel Sans" w:hAnsi="Funnel Sans"/>
          <w:color w:val="000000"/>
          <w:sz w:val="22"/>
        </w:rPr>
        <w:t xml:space="preserve"> </w:t>
      </w:r>
      <w:r w:rsidR="001C1C40">
        <w:rPr>
          <w:rFonts w:ascii="Funnel Sans" w:hAnsi="Funnel Sans"/>
          <w:color w:val="000000"/>
          <w:sz w:val="22"/>
        </w:rPr>
        <w:t>emission profile contains beta-minus particles that cause s</w:t>
      </w:r>
      <w:r w:rsidR="00F801F3">
        <w:rPr>
          <w:rFonts w:ascii="Funnel Sans" w:hAnsi="Funnel Sans"/>
          <w:color w:val="000000"/>
          <w:sz w:val="22"/>
        </w:rPr>
        <w:t>i</w:t>
      </w:r>
      <w:r w:rsidR="001C1C40">
        <w:rPr>
          <w:rFonts w:ascii="Funnel Sans" w:hAnsi="Funnel Sans"/>
          <w:color w:val="000000"/>
          <w:sz w:val="22"/>
        </w:rPr>
        <w:t>ngle and double strand breaks</w:t>
      </w:r>
      <w:r w:rsidR="00FE1497">
        <w:rPr>
          <w:rFonts w:ascii="Funnel Sans" w:hAnsi="Funnel Sans"/>
          <w:color w:val="000000"/>
          <w:sz w:val="22"/>
        </w:rPr>
        <w:t xml:space="preserve"> </w:t>
      </w:r>
      <w:r w:rsidR="004D4A2B">
        <w:rPr>
          <w:rFonts w:ascii="Funnel Sans" w:hAnsi="Funnel Sans"/>
          <w:color w:val="000000"/>
          <w:sz w:val="22"/>
        </w:rPr>
        <w:t>in addition to</w:t>
      </w:r>
      <w:r w:rsidR="00CE594D">
        <w:rPr>
          <w:rFonts w:ascii="Funnel Sans" w:hAnsi="Funnel Sans"/>
          <w:color w:val="000000"/>
          <w:sz w:val="22"/>
        </w:rPr>
        <w:t xml:space="preserve"> Auger and conversion electro</w:t>
      </w:r>
      <w:r w:rsidR="004D4A2B">
        <w:rPr>
          <w:rFonts w:ascii="Funnel Sans" w:hAnsi="Funnel Sans"/>
          <w:color w:val="000000"/>
          <w:sz w:val="22"/>
        </w:rPr>
        <w:t>n</w:t>
      </w:r>
      <w:r w:rsidR="00CE594D">
        <w:rPr>
          <w:rFonts w:ascii="Funnel Sans" w:hAnsi="Funnel Sans"/>
          <w:color w:val="000000"/>
          <w:sz w:val="22"/>
        </w:rPr>
        <w:t>s</w:t>
      </w:r>
      <w:r w:rsidR="00AA6499">
        <w:rPr>
          <w:rFonts w:ascii="Funnel Sans" w:hAnsi="Funnel Sans"/>
          <w:color w:val="000000"/>
          <w:sz w:val="22"/>
        </w:rPr>
        <w:t xml:space="preserve"> </w:t>
      </w:r>
      <w:r w:rsidR="004D4A2B">
        <w:rPr>
          <w:rFonts w:ascii="Funnel Sans" w:hAnsi="Funnel Sans"/>
          <w:color w:val="000000"/>
          <w:sz w:val="22"/>
        </w:rPr>
        <w:t>that</w:t>
      </w:r>
      <w:r w:rsidR="00AA6499">
        <w:rPr>
          <w:rFonts w:ascii="Funnel Sans" w:hAnsi="Funnel Sans"/>
          <w:color w:val="000000"/>
          <w:sz w:val="22"/>
        </w:rPr>
        <w:t xml:space="preserve"> add high-LET dam</w:t>
      </w:r>
      <w:r w:rsidR="00F801F3">
        <w:rPr>
          <w:rFonts w:ascii="Funnel Sans" w:hAnsi="Funnel Sans"/>
          <w:color w:val="000000"/>
          <w:sz w:val="22"/>
        </w:rPr>
        <w:t>age</w:t>
      </w:r>
      <w:r w:rsidR="00F9016C">
        <w:rPr>
          <w:rFonts w:ascii="Funnel Sans" w:hAnsi="Funnel Sans"/>
          <w:color w:val="000000"/>
          <w:sz w:val="22"/>
        </w:rPr>
        <w:t xml:space="preserve"> </w:t>
      </w:r>
      <w:r w:rsidR="00BA76D6">
        <w:rPr>
          <w:rFonts w:ascii="Funnel Sans" w:hAnsi="Funnel Sans"/>
          <w:color w:val="000000"/>
          <w:sz w:val="22"/>
        </w:rPr>
        <w:t>at short distances</w:t>
      </w:r>
      <w:r w:rsidR="00F801F3">
        <w:rPr>
          <w:rFonts w:ascii="Funnel Sans" w:hAnsi="Funnel Sans"/>
          <w:color w:val="000000"/>
          <w:sz w:val="22"/>
        </w:rPr>
        <w:t xml:space="preserve">. </w:t>
      </w:r>
      <w:r w:rsidR="009927FC" w:rsidRPr="009927FC">
        <w:rPr>
          <w:rFonts w:ascii="Funnel Sans" w:hAnsi="Funnel Sans"/>
          <w:color w:val="000000"/>
          <w:sz w:val="22"/>
        </w:rPr>
        <w:t>Crossfire from both isotopes addresse</w:t>
      </w:r>
      <w:r w:rsidRPr="00280B51">
        <w:rPr>
          <w:rFonts w:ascii="Funnel Sans" w:hAnsi="Funnel Sans"/>
          <w:color w:val="000000"/>
          <w:sz w:val="22"/>
        </w:rPr>
        <w:t xml:space="preserve">s tumor heterogeneity without requiring receptor expression on every cell. Sego's </w:t>
      </w:r>
      <w:r w:rsidR="000F62D0">
        <w:rPr>
          <w:rFonts w:ascii="Funnel Sans" w:hAnsi="Funnel Sans"/>
          <w:color w:val="000000"/>
          <w:sz w:val="22"/>
        </w:rPr>
        <w:t>radioligands</w:t>
      </w:r>
      <w:r w:rsidRPr="00280B51">
        <w:rPr>
          <w:rFonts w:ascii="Funnel Sans" w:hAnsi="Funnel Sans"/>
          <w:color w:val="000000"/>
          <w:sz w:val="22"/>
        </w:rPr>
        <w:t xml:space="preserve"> are administered at non-saturating mass doses with rapid renal clearance, preserving the tumor-to-normal tissue dose ratio that defines the therapeutic window. Th</w:t>
      </w:r>
      <w:r w:rsidR="005C21E5" w:rsidRPr="005C21E5">
        <w:rPr>
          <w:rFonts w:ascii="Funnel Sans" w:hAnsi="Funnel Sans"/>
          <w:color w:val="000000"/>
          <w:sz w:val="22"/>
        </w:rPr>
        <w:t>e same logic hold</w:t>
      </w:r>
      <w:r w:rsidRPr="00280B51">
        <w:rPr>
          <w:rFonts w:ascii="Funnel Sans" w:hAnsi="Funnel Sans"/>
          <w:color w:val="000000"/>
          <w:sz w:val="22"/>
        </w:rPr>
        <w:t>s across all six programs.</w:t>
      </w:r>
    </w:p>
    <w:p w14:paraId="0FA65B74" w14:textId="6B05D7B1" w:rsidR="00280B51" w:rsidRPr="00280B51" w:rsidRDefault="00280B51" w:rsidP="0045211A">
      <w:pPr>
        <w:jc w:val="both"/>
        <w:rPr>
          <w:rFonts w:ascii="Funnel Sans" w:hAnsi="Funnel Sans"/>
          <w:color w:val="000000"/>
          <w:sz w:val="22"/>
        </w:rPr>
      </w:pPr>
      <w:r w:rsidRPr="00D01FFD">
        <w:rPr>
          <w:rFonts w:ascii="Funnel Sans" w:hAnsi="Funnel Sans"/>
          <w:b/>
          <w:bCs/>
          <w:color w:val="000000"/>
          <w:sz w:val="22"/>
        </w:rPr>
        <w:t>Positioning against ADCs on the same antigen</w:t>
      </w:r>
      <w:r w:rsidRPr="00280B51">
        <w:rPr>
          <w:rFonts w:ascii="Funnel Sans" w:hAnsi="Funnel Sans"/>
          <w:color w:val="000000"/>
          <w:sz w:val="22"/>
        </w:rPr>
        <w:t xml:space="preserve">: </w:t>
      </w:r>
      <w:r w:rsidR="00AA7336">
        <w:rPr>
          <w:rFonts w:ascii="Funnel Sans" w:hAnsi="Funnel Sans"/>
          <w:color w:val="000000"/>
          <w:sz w:val="22"/>
        </w:rPr>
        <w:t>W</w:t>
      </w:r>
      <w:r w:rsidRPr="00280B51">
        <w:rPr>
          <w:rFonts w:ascii="Funnel Sans" w:hAnsi="Funnel Sans"/>
          <w:color w:val="000000"/>
          <w:sz w:val="22"/>
        </w:rPr>
        <w:t>here ADC programs exist on Sego's targets (CEACAM5, MUC1-C</w:t>
      </w:r>
      <w:r w:rsidR="00AA7336">
        <w:rPr>
          <w:rFonts w:ascii="Funnel Sans" w:hAnsi="Funnel Sans"/>
          <w:color w:val="000000"/>
          <w:sz w:val="22"/>
        </w:rPr>
        <w:t>, CLDN1</w:t>
      </w:r>
      <w:r w:rsidRPr="00280B51">
        <w:rPr>
          <w:rFonts w:ascii="Funnel Sans" w:hAnsi="Funnel Sans"/>
          <w:color w:val="000000"/>
          <w:sz w:val="22"/>
        </w:rPr>
        <w:t xml:space="preserve">), RLT offers an orthogonal MOA and distinct toxicity profile, enabling combination sequencing rather than purely competitive positioning. RLT can be deployed after ADC progression or co-developed as a treatment </w:t>
      </w:r>
      <w:commentRangeStart w:id="36"/>
      <w:commentRangeStart w:id="37"/>
      <w:r w:rsidRPr="00280B51">
        <w:rPr>
          <w:rFonts w:ascii="Funnel Sans" w:hAnsi="Funnel Sans"/>
          <w:color w:val="000000"/>
          <w:sz w:val="22"/>
        </w:rPr>
        <w:t>backbone</w:t>
      </w:r>
      <w:commentRangeEnd w:id="36"/>
      <w:r w:rsidR="00F8144C" w:rsidRPr="00280B51">
        <w:rPr>
          <w:rStyle w:val="CommentReference"/>
          <w:rFonts w:ascii="Funnel Sans" w:hAnsi="Funnel Sans"/>
          <w:color w:val="000000"/>
          <w:sz w:val="22"/>
          <w:szCs w:val="24"/>
        </w:rPr>
        <w:commentReference w:id="36"/>
      </w:r>
      <w:commentRangeEnd w:id="37"/>
      <w:r w:rsidR="001274ED" w:rsidRPr="00280B51">
        <w:rPr>
          <w:rStyle w:val="CommentReference"/>
          <w:rFonts w:ascii="Funnel Sans" w:hAnsi="Funnel Sans"/>
          <w:color w:val="000000"/>
          <w:sz w:val="22"/>
          <w:szCs w:val="24"/>
        </w:rPr>
        <w:commentReference w:id="37"/>
      </w:r>
      <w:r w:rsidRPr="00280B51">
        <w:rPr>
          <w:rFonts w:ascii="Funnel Sans" w:hAnsi="Funnel Sans"/>
          <w:color w:val="000000"/>
          <w:sz w:val="22"/>
        </w:rPr>
        <w:t>.</w:t>
      </w:r>
      <w:r w:rsidR="00E71305">
        <w:rPr>
          <w:rFonts w:ascii="Funnel Sans" w:hAnsi="Funnel Sans"/>
          <w:color w:val="000000"/>
          <w:sz w:val="22"/>
        </w:rPr>
        <w:t xml:space="preserve"> </w:t>
      </w:r>
      <w:r w:rsidR="00196CB3">
        <w:rPr>
          <w:rFonts w:ascii="Funnel Sans" w:hAnsi="Funnel Sans"/>
          <w:color w:val="000000"/>
          <w:sz w:val="22"/>
        </w:rPr>
        <w:t>Clinical e</w:t>
      </w:r>
      <w:r w:rsidR="00205737">
        <w:rPr>
          <w:rFonts w:ascii="Funnel Sans" w:hAnsi="Funnel Sans"/>
          <w:color w:val="000000"/>
          <w:sz w:val="22"/>
        </w:rPr>
        <w:t xml:space="preserve">fficacy of </w:t>
      </w:r>
      <w:r w:rsidR="00220AD8">
        <w:rPr>
          <w:rFonts w:ascii="Funnel Sans" w:hAnsi="Funnel Sans"/>
          <w:color w:val="000000"/>
          <w:sz w:val="22"/>
        </w:rPr>
        <w:t>CEACAM</w:t>
      </w:r>
      <w:r w:rsidR="00205737">
        <w:rPr>
          <w:rFonts w:ascii="Funnel Sans" w:hAnsi="Funnel Sans"/>
          <w:color w:val="000000"/>
          <w:sz w:val="22"/>
        </w:rPr>
        <w:t xml:space="preserve">5 ADCs </w:t>
      </w:r>
      <w:r w:rsidR="00637236">
        <w:rPr>
          <w:rFonts w:ascii="Funnel Sans" w:hAnsi="Funnel Sans"/>
          <w:color w:val="000000"/>
          <w:sz w:val="22"/>
        </w:rPr>
        <w:t xml:space="preserve">has potentially been limited due to the lack of internalization </w:t>
      </w:r>
      <w:r w:rsidR="00196CB3">
        <w:rPr>
          <w:rFonts w:ascii="Funnel Sans" w:hAnsi="Funnel Sans"/>
          <w:color w:val="000000"/>
          <w:sz w:val="22"/>
        </w:rPr>
        <w:t xml:space="preserve">and </w:t>
      </w:r>
      <w:r w:rsidR="00FF43D6">
        <w:rPr>
          <w:rFonts w:ascii="Funnel Sans" w:hAnsi="Funnel Sans"/>
          <w:color w:val="000000"/>
          <w:sz w:val="22"/>
        </w:rPr>
        <w:t xml:space="preserve">intracellular </w:t>
      </w:r>
      <w:r w:rsidR="00196CB3">
        <w:rPr>
          <w:rFonts w:ascii="Funnel Sans" w:hAnsi="Funnel Sans"/>
          <w:color w:val="000000"/>
          <w:sz w:val="22"/>
        </w:rPr>
        <w:t xml:space="preserve">payload release, while historical MUC1 ADCs have bound </w:t>
      </w:r>
      <w:r w:rsidR="006F3A32">
        <w:rPr>
          <w:rFonts w:ascii="Funnel Sans" w:hAnsi="Funnel Sans"/>
          <w:color w:val="000000"/>
          <w:sz w:val="22"/>
        </w:rPr>
        <w:t xml:space="preserve">aberrantly glycosylated </w:t>
      </w:r>
      <w:r w:rsidR="00196CB3">
        <w:rPr>
          <w:rFonts w:ascii="Funnel Sans" w:hAnsi="Funnel Sans"/>
          <w:color w:val="000000"/>
          <w:sz w:val="22"/>
        </w:rPr>
        <w:t xml:space="preserve">MUC1-N </w:t>
      </w:r>
      <w:r w:rsidR="008C6F34">
        <w:rPr>
          <w:rFonts w:ascii="Funnel Sans" w:hAnsi="Funnel Sans"/>
          <w:color w:val="000000"/>
          <w:sz w:val="22"/>
        </w:rPr>
        <w:t xml:space="preserve">which is shed and </w:t>
      </w:r>
      <w:r w:rsidR="005F7FEC">
        <w:rPr>
          <w:rFonts w:ascii="Funnel Sans" w:hAnsi="Funnel Sans"/>
          <w:color w:val="000000"/>
          <w:sz w:val="22"/>
        </w:rPr>
        <w:t>can</w:t>
      </w:r>
      <w:r w:rsidR="008C6F34">
        <w:rPr>
          <w:rFonts w:ascii="Funnel Sans" w:hAnsi="Funnel Sans"/>
          <w:color w:val="000000"/>
          <w:sz w:val="22"/>
        </w:rPr>
        <w:t xml:space="preserve"> </w:t>
      </w:r>
      <w:r w:rsidR="006F3A32">
        <w:rPr>
          <w:rFonts w:ascii="Funnel Sans" w:hAnsi="Funnel Sans"/>
          <w:color w:val="000000"/>
          <w:sz w:val="22"/>
        </w:rPr>
        <w:t>reduce efficacy.</w:t>
      </w:r>
    </w:p>
    <w:p w14:paraId="60734D7C" w14:textId="105FBBBF" w:rsidR="00D0302E" w:rsidRPr="001274ED" w:rsidRDefault="00280B51" w:rsidP="0045211A">
      <w:pPr>
        <w:jc w:val="both"/>
        <w:rPr>
          <w:rFonts w:ascii="Funnel Sans" w:hAnsi="Funnel Sans"/>
          <w:color w:val="000000"/>
          <w:sz w:val="22"/>
        </w:rPr>
      </w:pPr>
      <w:r w:rsidRPr="00D01FFD">
        <w:rPr>
          <w:rFonts w:ascii="Funnel Sans" w:hAnsi="Funnel Sans"/>
          <w:b/>
          <w:bCs/>
          <w:color w:val="000000"/>
          <w:sz w:val="22"/>
        </w:rPr>
        <w:t>Value inflection point</w:t>
      </w:r>
      <w:r w:rsidRPr="00280B51">
        <w:rPr>
          <w:rFonts w:ascii="Funnel Sans" w:hAnsi="Funnel Sans"/>
          <w:color w:val="000000"/>
          <w:sz w:val="22"/>
        </w:rPr>
        <w:t xml:space="preserve">: Phase 0 imaging is the primary value event across the pipeline. Human dosimetry confirming tumor:kidney &gt;3 and tumor:marrow &gt;20, with evidence of tumor uptake and favorable organ-at-risk exposure, transforms a preclinical asset into a development candidate with a quantified </w:t>
      </w:r>
      <w:r w:rsidR="00CF393B">
        <w:rPr>
          <w:rFonts w:ascii="Funnel Sans" w:hAnsi="Funnel Sans"/>
          <w:color w:val="000000"/>
          <w:sz w:val="22"/>
        </w:rPr>
        <w:t xml:space="preserve">dosimetry and </w:t>
      </w:r>
      <w:r w:rsidRPr="00280B51">
        <w:rPr>
          <w:rFonts w:ascii="Funnel Sans" w:hAnsi="Funnel Sans"/>
          <w:color w:val="000000"/>
          <w:sz w:val="22"/>
        </w:rPr>
        <w:t>therapeutic index in the patient population. This data package is directly decision-useful for BD partners, investors, and regulatory strategy. Phase 1 proof-of-efficacy signal is the second inflection; pivotal design and partnership discussions follow.</w:t>
      </w:r>
    </w:p>
    <w:sectPr w:rsidR="00D0302E" w:rsidRPr="001274ED">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cca Levin" w:date="2026-05-05T17:19:00Z" w:initials="BL">
    <w:p w14:paraId="4EFF798C" w14:textId="36DFB09B" w:rsidR="0086206C" w:rsidRDefault="00B054F6" w:rsidP="0086206C">
      <w:pPr>
        <w:pStyle w:val="CommentText"/>
      </w:pPr>
      <w:r>
        <w:rPr>
          <w:rStyle w:val="CommentReference"/>
        </w:rPr>
        <w:annotationRef/>
      </w:r>
      <w:r w:rsidR="0086206C">
        <w:fldChar w:fldCharType="begin"/>
      </w:r>
      <w:r w:rsidR="0086206C">
        <w:instrText>HYPERLINK "mailto:JVirk@segotx.com"</w:instrText>
      </w:r>
      <w:bookmarkStart w:id="1" w:name="_@_498DDFF150984949BEF79619FEA0FDF3Z"/>
      <w:r w:rsidR="0086206C">
        <w:fldChar w:fldCharType="separate"/>
      </w:r>
      <w:bookmarkEnd w:id="1"/>
      <w:r w:rsidR="0086206C" w:rsidRPr="0086206C">
        <w:rPr>
          <w:rStyle w:val="Mention"/>
          <w:noProof/>
        </w:rPr>
        <w:t>@Jeevan Virk</w:t>
      </w:r>
      <w:r w:rsidR="0086206C">
        <w:fldChar w:fldCharType="end"/>
      </w:r>
      <w:r w:rsidR="0086206C">
        <w:t xml:space="preserve"> to review - may need to be back-aligned to avego.</w:t>
      </w:r>
    </w:p>
  </w:comment>
  <w:comment w:id="2" w:author="Becca Levin" w:date="2026-05-09T06:38:00Z" w:initials="BL">
    <w:p w14:paraId="4D682B37" w14:textId="77777777" w:rsidR="008464A4" w:rsidRDefault="008464A4" w:rsidP="008464A4">
      <w:pPr>
        <w:pStyle w:val="CommentText"/>
      </w:pPr>
      <w:r>
        <w:rPr>
          <w:rStyle w:val="CommentReference"/>
        </w:rPr>
        <w:annotationRef/>
      </w:r>
      <w:r>
        <w:fldChar w:fldCharType="begin"/>
      </w:r>
      <w:r>
        <w:instrText>HYPERLINK "mailto:JVirk@segotx.com"</w:instrText>
      </w:r>
      <w:bookmarkStart w:id="3" w:name="_@_33A4B5AC1ECE4C02B935E880CD34EF38Z"/>
      <w:r>
        <w:fldChar w:fldCharType="separate"/>
      </w:r>
      <w:bookmarkEnd w:id="3"/>
      <w:r w:rsidRPr="007C3C86">
        <w:rPr>
          <w:rStyle w:val="Mention"/>
          <w:noProof/>
        </w:rPr>
        <w:t>@Jeevan Virk</w:t>
      </w:r>
      <w:r>
        <w:fldChar w:fldCharType="end"/>
      </w:r>
      <w:r>
        <w:t xml:space="preserve"> This is obviously weak as written, but worth mentioning. Could you please update?</w:t>
      </w:r>
    </w:p>
  </w:comment>
  <w:comment w:id="4" w:author="Becca Levin" w:date="2026-05-05T17:19:00Z" w:initials="BL">
    <w:p w14:paraId="01174C95" w14:textId="6C736F39" w:rsidR="0086206C" w:rsidRDefault="00B054F6" w:rsidP="0086206C">
      <w:pPr>
        <w:pStyle w:val="CommentText"/>
      </w:pPr>
      <w:r>
        <w:rPr>
          <w:rStyle w:val="CommentReference"/>
        </w:rPr>
        <w:annotationRef/>
      </w:r>
      <w:r w:rsidR="0086206C">
        <w:fldChar w:fldCharType="begin"/>
      </w:r>
      <w:r w:rsidR="0086206C">
        <w:instrText>HYPERLINK "mailto:RTavare@segotx.com"</w:instrText>
      </w:r>
      <w:bookmarkStart w:id="8" w:name="_@_C29DF820591D4329A3EB428848184343Z"/>
      <w:r w:rsidR="0086206C">
        <w:fldChar w:fldCharType="separate"/>
      </w:r>
      <w:bookmarkEnd w:id="8"/>
      <w:r w:rsidR="0086206C" w:rsidRPr="0086206C">
        <w:rPr>
          <w:rStyle w:val="Mention"/>
          <w:noProof/>
        </w:rPr>
        <w:t>@Richard Tavare</w:t>
      </w:r>
      <w:r w:rsidR="0086206C">
        <w:fldChar w:fldCharType="end"/>
      </w:r>
      <w:r w:rsidR="0086206C">
        <w:t xml:space="preserve"> to review </w:t>
      </w:r>
    </w:p>
  </w:comment>
  <w:comment w:id="5" w:author="Richard Tavare" w:date="2026-05-06T10:14:00Z" w:initials="RT">
    <w:p w14:paraId="6C7699AC" w14:textId="77777777" w:rsidR="007A179E" w:rsidRDefault="007A179E" w:rsidP="007A179E">
      <w:r>
        <w:rPr>
          <w:rStyle w:val="CommentReference"/>
        </w:rPr>
        <w:annotationRef/>
      </w:r>
      <w:r>
        <w:rPr>
          <w:sz w:val="20"/>
          <w:szCs w:val="20"/>
        </w:rPr>
        <w:t>Do we want to mention that while we reviewed 40 targets, not all of them fit our criteria?</w:t>
      </w:r>
    </w:p>
  </w:comment>
  <w:comment w:id="6" w:author="Becca Levin" w:date="2026-05-06T11:29:00Z" w:initials="BL">
    <w:p w14:paraId="2F2A316E" w14:textId="77777777" w:rsidR="00175607" w:rsidRDefault="00175607" w:rsidP="00175607">
      <w:pPr>
        <w:pStyle w:val="CommentText"/>
      </w:pPr>
      <w:r>
        <w:rPr>
          <w:rStyle w:val="CommentReference"/>
        </w:rPr>
        <w:annotationRef/>
      </w:r>
      <w:r>
        <w:t xml:space="preserve">Yes we should comment that not all 40 meet our criteria. Add to in license paragraph of having better in license assets. </w:t>
      </w:r>
    </w:p>
  </w:comment>
  <w:comment w:id="7" w:author="Becca Levin" w:date="2026-05-06T11:29:00Z" w:initials="BL">
    <w:p w14:paraId="6BEA46BF" w14:textId="77777777" w:rsidR="001F2851" w:rsidRDefault="001F2851" w:rsidP="001F2851">
      <w:pPr>
        <w:pStyle w:val="CommentText"/>
      </w:pPr>
      <w:r>
        <w:rPr>
          <w:rStyle w:val="CommentReference"/>
        </w:rPr>
        <w:annotationRef/>
      </w:r>
      <w:r>
        <w:t>Belabor the point that we are more ambitious and not taking any old licensing opportunity that comes along</w:t>
      </w:r>
    </w:p>
  </w:comment>
  <w:comment w:id="9" w:author="Becca Levin" w:date="2026-05-05T17:20:00Z" w:initials="BL">
    <w:p w14:paraId="52432F4F" w14:textId="2F6C7359" w:rsidR="00B054F6" w:rsidRDefault="00B054F6" w:rsidP="00B054F6">
      <w:pPr>
        <w:pStyle w:val="CommentText"/>
      </w:pPr>
      <w:r>
        <w:rPr>
          <w:rStyle w:val="CommentReference"/>
        </w:rPr>
        <w:annotationRef/>
      </w:r>
      <w:r>
        <w:fldChar w:fldCharType="begin"/>
      </w:r>
      <w:r>
        <w:instrText>HYPERLINK "mailto:GMullen@segotx.com"</w:instrText>
      </w:r>
      <w:bookmarkStart w:id="12" w:name="_@_E98C3867D90B4FCAABF7CF612199F802Z"/>
      <w:r>
        <w:fldChar w:fldCharType="separate"/>
      </w:r>
      <w:bookmarkEnd w:id="12"/>
      <w:r w:rsidRPr="00B054F6">
        <w:rPr>
          <w:rStyle w:val="Mention"/>
          <w:noProof/>
        </w:rPr>
        <w:t>@Greg Mullen</w:t>
      </w:r>
      <w:r>
        <w:fldChar w:fldCharType="end"/>
      </w:r>
      <w:r>
        <w:t xml:space="preserve"> </w:t>
      </w:r>
    </w:p>
  </w:comment>
  <w:comment w:id="10" w:author="Greg Mullen" w:date="2026-05-06T09:32:00Z" w:initials="GM">
    <w:p w14:paraId="34A60F96" w14:textId="77777777" w:rsidR="004A188B" w:rsidRDefault="00FC25BF" w:rsidP="004A188B">
      <w:pPr>
        <w:pStyle w:val="CommentText"/>
      </w:pPr>
      <w:r>
        <w:rPr>
          <w:rStyle w:val="CommentReference"/>
        </w:rPr>
        <w:annotationRef/>
      </w:r>
      <w:r w:rsidR="004A188B">
        <w:t xml:space="preserve">I think the emphasis in the question is most “accurately” predict - this comes down to how quantitative the dosimetry is by SPECT - traditional PET has been seen as being quantitative and SPECT not as much. But that just isn’t true - just need to calibrate the scanners and isotopes so that you can get accurate activity concertation per volume (like %ID/g in the mouse dosimetry) - if this done correctly then its quantitative </w:t>
      </w:r>
    </w:p>
  </w:comment>
  <w:comment w:id="11" w:author="Becca Levin" w:date="2026-05-06T09:16:00Z" w:initials="BL">
    <w:p w14:paraId="6D782E43" w14:textId="77777777" w:rsidR="004C1162" w:rsidRDefault="004C1162" w:rsidP="004C1162">
      <w:pPr>
        <w:pStyle w:val="CommentText"/>
      </w:pPr>
      <w:r>
        <w:rPr>
          <w:rStyle w:val="CommentReference"/>
        </w:rPr>
        <w:annotationRef/>
      </w:r>
      <w:r>
        <w:t>Thanks for the edits. I will review in more detail. Would you be ok if I tightened/shortened the answer a bit?</w:t>
      </w:r>
    </w:p>
  </w:comment>
  <w:comment w:id="13" w:author="Greg Mullen" w:date="2026-05-07T10:35:00Z" w:initials="GM">
    <w:p w14:paraId="1F94F896" w14:textId="77777777" w:rsidR="000415CB" w:rsidRDefault="000415CB" w:rsidP="000415CB">
      <w:pPr>
        <w:pStyle w:val="CommentText"/>
      </w:pPr>
      <w:r>
        <w:rPr>
          <w:rStyle w:val="CommentReference"/>
        </w:rPr>
        <w:annotationRef/>
      </w:r>
      <w:r>
        <w:t xml:space="preserve">This is the terminology we are adopting across Sego </w:t>
      </w:r>
    </w:p>
  </w:comment>
  <w:comment w:id="14" w:author="Becca Levin" w:date="2026-05-05T17:20:00Z" w:initials="BL">
    <w:p w14:paraId="584D8DDB" w14:textId="21514F40" w:rsidR="00B054F6" w:rsidRDefault="00B054F6" w:rsidP="00B054F6">
      <w:pPr>
        <w:pStyle w:val="CommentText"/>
      </w:pPr>
      <w:r>
        <w:rPr>
          <w:rStyle w:val="CommentReference"/>
        </w:rPr>
        <w:annotationRef/>
      </w:r>
      <w:r>
        <w:fldChar w:fldCharType="begin"/>
      </w:r>
      <w:r>
        <w:instrText>HYPERLINK "mailto:GMullen@segotx.com"</w:instrText>
      </w:r>
      <w:bookmarkStart w:id="17" w:name="_@_DCEBB338CA744C859FB874487B2E9D2BZ"/>
      <w:r>
        <w:fldChar w:fldCharType="separate"/>
      </w:r>
      <w:bookmarkEnd w:id="17"/>
      <w:r w:rsidRPr="00B054F6">
        <w:rPr>
          <w:rStyle w:val="Mention"/>
          <w:noProof/>
        </w:rPr>
        <w:t>@Greg Mullen</w:t>
      </w:r>
      <w:r>
        <w:fldChar w:fldCharType="end"/>
      </w:r>
      <w:r>
        <w:t xml:space="preserve"> </w:t>
      </w:r>
    </w:p>
  </w:comment>
  <w:comment w:id="15" w:author="Greg Mullen" w:date="2026-05-06T10:16:00Z" w:initials="GM">
    <w:p w14:paraId="2C9C937C" w14:textId="77777777" w:rsidR="0096065E" w:rsidRDefault="006C7E43" w:rsidP="0096065E">
      <w:pPr>
        <w:pStyle w:val="CommentText"/>
      </w:pPr>
      <w:r>
        <w:rPr>
          <w:rStyle w:val="CommentReference"/>
        </w:rPr>
        <w:annotationRef/>
      </w:r>
      <w:r w:rsidR="0096065E">
        <w:t>Looks good to me - the only thing missing is that this approach dose not account for the daughter redistribution of Ac-225 but we will assess this in the Phase 1 dose escalation study</w:t>
      </w:r>
    </w:p>
  </w:comment>
  <w:comment w:id="16" w:author="Becca Levin" w:date="2026-05-06T09:17:00Z" w:initials="BL">
    <w:p w14:paraId="64D13E6B" w14:textId="77777777" w:rsidR="004C1162" w:rsidRDefault="004C1162" w:rsidP="004C1162">
      <w:pPr>
        <w:pStyle w:val="CommentText"/>
      </w:pPr>
      <w:r>
        <w:rPr>
          <w:rStyle w:val="CommentReference"/>
        </w:rPr>
        <w:annotationRef/>
      </w:r>
      <w:r>
        <w:t>Worth adding or no? I can add a sentence or two?</w:t>
      </w:r>
    </w:p>
  </w:comment>
  <w:comment w:id="18" w:author="Becca Levin" w:date="2026-05-05T17:20:00Z" w:initials="BL">
    <w:p w14:paraId="4BD961B3" w14:textId="106F64EE" w:rsidR="00B054F6" w:rsidRDefault="00B054F6" w:rsidP="00B054F6">
      <w:pPr>
        <w:pStyle w:val="CommentText"/>
      </w:pPr>
      <w:r>
        <w:rPr>
          <w:rStyle w:val="CommentReference"/>
        </w:rPr>
        <w:annotationRef/>
      </w:r>
      <w:r>
        <w:fldChar w:fldCharType="begin"/>
      </w:r>
      <w:r>
        <w:instrText>HYPERLINK "mailto:JVirk@segotx.com"</w:instrText>
      </w:r>
      <w:bookmarkStart w:id="19" w:name="_@_33F48DC83ABF41469D976383B1429E48Z"/>
      <w:r>
        <w:fldChar w:fldCharType="separate"/>
      </w:r>
      <w:bookmarkEnd w:id="19"/>
      <w:r w:rsidRPr="00B054F6">
        <w:rPr>
          <w:rStyle w:val="Mention"/>
          <w:noProof/>
        </w:rPr>
        <w:t>@Jeevan Virk</w:t>
      </w:r>
      <w:r>
        <w:fldChar w:fldCharType="end"/>
      </w:r>
      <w:r>
        <w:t xml:space="preserve"> </w:t>
      </w:r>
    </w:p>
  </w:comment>
  <w:comment w:id="20" w:author="Becca Levin" w:date="2026-05-05T17:20:00Z" w:initials="BL">
    <w:p w14:paraId="7339960A" w14:textId="4430B860" w:rsidR="004C2B0E" w:rsidRDefault="004C2B0E" w:rsidP="004C2B0E">
      <w:pPr>
        <w:pStyle w:val="CommentText"/>
      </w:pPr>
      <w:r>
        <w:rPr>
          <w:rStyle w:val="CommentReference"/>
        </w:rPr>
        <w:annotationRef/>
      </w:r>
      <w:r>
        <w:fldChar w:fldCharType="begin"/>
      </w:r>
      <w:r>
        <w:instrText>HYPERLINK "mailto:RTavare@segotx.com"</w:instrText>
      </w:r>
      <w:bookmarkStart w:id="21" w:name="_@_F5C9F26E7A1C4454928AE75A83A60845Z"/>
      <w:r>
        <w:fldChar w:fldCharType="separate"/>
      </w:r>
      <w:bookmarkEnd w:id="21"/>
      <w:r w:rsidRPr="004C2B0E">
        <w:rPr>
          <w:rStyle w:val="Mention"/>
          <w:noProof/>
        </w:rPr>
        <w:t>@Richard Tavare</w:t>
      </w:r>
      <w:r>
        <w:fldChar w:fldCharType="end"/>
      </w:r>
      <w:r>
        <w:t xml:space="preserve"> </w:t>
      </w:r>
      <w:r>
        <w:fldChar w:fldCharType="begin"/>
      </w:r>
      <w:r>
        <w:instrText>HYPERLINK "mailto:GMullen@segotx.com"</w:instrText>
      </w:r>
      <w:bookmarkStart w:id="22" w:name="_@_0E55C7D0779C430E86B27D32939A65D6Z"/>
      <w:r>
        <w:fldChar w:fldCharType="separate"/>
      </w:r>
      <w:bookmarkEnd w:id="22"/>
      <w:r w:rsidRPr="004C2B0E">
        <w:rPr>
          <w:rStyle w:val="Mention"/>
          <w:noProof/>
        </w:rPr>
        <w:t>@Greg Mullen</w:t>
      </w:r>
      <w:r>
        <w:fldChar w:fldCharType="end"/>
      </w:r>
      <w:r>
        <w:t xml:space="preserve"> </w:t>
      </w:r>
    </w:p>
  </w:comment>
  <w:comment w:id="23" w:author="Becca Levin" w:date="2026-05-05T17:21:00Z" w:initials="BL">
    <w:p w14:paraId="1C1E043B" w14:textId="5EACF656" w:rsidR="004C2B0E" w:rsidRDefault="004C2B0E" w:rsidP="004C2B0E">
      <w:pPr>
        <w:pStyle w:val="CommentText"/>
      </w:pPr>
      <w:r>
        <w:rPr>
          <w:rStyle w:val="CommentReference"/>
        </w:rPr>
        <w:annotationRef/>
      </w:r>
      <w:r>
        <w:fldChar w:fldCharType="begin"/>
      </w:r>
      <w:r>
        <w:instrText>HYPERLINK "mailto:JVirk@segotx.com"</w:instrText>
      </w:r>
      <w:bookmarkStart w:id="24" w:name="_@_8DDE701C721B480EACF47734A9987D05Z"/>
      <w:r>
        <w:fldChar w:fldCharType="separate"/>
      </w:r>
      <w:bookmarkEnd w:id="24"/>
      <w:r w:rsidRPr="004C2B0E">
        <w:rPr>
          <w:rStyle w:val="Mention"/>
          <w:noProof/>
        </w:rPr>
        <w:t>@Jeevan Virk</w:t>
      </w:r>
      <w:r>
        <w:fldChar w:fldCharType="end"/>
      </w:r>
      <w:r>
        <w:t xml:space="preserve"> (note I will make this on the same page as the answer later on)</w:t>
      </w:r>
    </w:p>
  </w:comment>
  <w:comment w:id="25" w:author="Becca Levin" w:date="2026-05-05T17:21:00Z" w:initials="BL">
    <w:p w14:paraId="2C732413" w14:textId="7597AE1F" w:rsidR="004C2B0E" w:rsidRDefault="004C2B0E" w:rsidP="004C2B0E">
      <w:pPr>
        <w:pStyle w:val="CommentText"/>
      </w:pPr>
      <w:r>
        <w:rPr>
          <w:rStyle w:val="CommentReference"/>
        </w:rPr>
        <w:annotationRef/>
      </w:r>
      <w:r>
        <w:fldChar w:fldCharType="begin"/>
      </w:r>
      <w:r>
        <w:instrText>HYPERLINK "mailto:JVirk@segotx.com"</w:instrText>
      </w:r>
      <w:bookmarkStart w:id="26" w:name="_@_84F38495FCE347A9B276E4A4E991E633Z"/>
      <w:r>
        <w:fldChar w:fldCharType="separate"/>
      </w:r>
      <w:bookmarkEnd w:id="26"/>
      <w:r w:rsidRPr="004C2B0E">
        <w:rPr>
          <w:rStyle w:val="Mention"/>
          <w:noProof/>
        </w:rPr>
        <w:t>@Jeevan Virk</w:t>
      </w:r>
      <w:r>
        <w:fldChar w:fldCharType="end"/>
      </w:r>
      <w:r>
        <w:t xml:space="preserve"> </w:t>
      </w:r>
    </w:p>
  </w:comment>
  <w:comment w:id="28" w:author="Becca Levin" w:date="2026-05-06T11:40:00Z" w:initials="BL">
    <w:p w14:paraId="769DD56E" w14:textId="793911E7" w:rsidR="002D4627" w:rsidRDefault="002D4627" w:rsidP="002D4627">
      <w:pPr>
        <w:pStyle w:val="CommentText"/>
      </w:pPr>
      <w:r>
        <w:rPr>
          <w:rStyle w:val="CommentReference"/>
        </w:rPr>
        <w:annotationRef/>
      </w:r>
      <w:r>
        <w:fldChar w:fldCharType="begin"/>
      </w:r>
      <w:r>
        <w:instrText>HYPERLINK "mailto:GMullen@segotx.com"</w:instrText>
      </w:r>
      <w:bookmarkStart w:id="29" w:name="_@_112C274F722B4B76AFEDC36549091C5AZ"/>
      <w:r>
        <w:fldChar w:fldCharType="separate"/>
      </w:r>
      <w:bookmarkEnd w:id="29"/>
      <w:r w:rsidRPr="002D4627">
        <w:rPr>
          <w:rStyle w:val="Mention"/>
          <w:noProof/>
        </w:rPr>
        <w:t>@Greg Mullen</w:t>
      </w:r>
      <w:r>
        <w:fldChar w:fldCharType="end"/>
      </w:r>
      <w:r>
        <w:t xml:space="preserve"> </w:t>
      </w:r>
      <w:r>
        <w:fldChar w:fldCharType="begin"/>
      </w:r>
      <w:r>
        <w:instrText>HYPERLINK "mailto:RTavare@segotx.com"</w:instrText>
      </w:r>
      <w:bookmarkStart w:id="30" w:name="_@_D1A395AE640B49599163028E20495FFCZ"/>
      <w:r>
        <w:fldChar w:fldCharType="separate"/>
      </w:r>
      <w:bookmarkEnd w:id="30"/>
      <w:r w:rsidRPr="002D4627">
        <w:rPr>
          <w:rStyle w:val="Mention"/>
          <w:noProof/>
        </w:rPr>
        <w:t>@Richard Tavare</w:t>
      </w:r>
      <w:r>
        <w:fldChar w:fldCharType="end"/>
      </w:r>
      <w:r>
        <w:t xml:space="preserve"> </w:t>
      </w:r>
    </w:p>
  </w:comment>
  <w:comment w:id="27" w:author="Becca Levin" w:date="2026-05-05T17:21:00Z" w:initials="BL">
    <w:p w14:paraId="56FFC715" w14:textId="04802713" w:rsidR="004C2B0E" w:rsidRDefault="004C2B0E" w:rsidP="004C2B0E">
      <w:pPr>
        <w:pStyle w:val="CommentText"/>
      </w:pPr>
      <w:r>
        <w:rPr>
          <w:rStyle w:val="CommentReference"/>
        </w:rPr>
        <w:annotationRef/>
      </w:r>
      <w:r>
        <w:fldChar w:fldCharType="begin"/>
      </w:r>
      <w:r>
        <w:instrText>HYPERLINK "mailto:JVirk@segotx.com"</w:instrText>
      </w:r>
      <w:bookmarkStart w:id="31" w:name="_@_89E65034DF004B2382E4B83468217964Z"/>
      <w:r>
        <w:fldChar w:fldCharType="separate"/>
      </w:r>
      <w:bookmarkEnd w:id="31"/>
      <w:r w:rsidRPr="004C2B0E">
        <w:rPr>
          <w:rStyle w:val="Mention"/>
          <w:noProof/>
        </w:rPr>
        <w:t>@Jeevan Virk</w:t>
      </w:r>
      <w:r>
        <w:fldChar w:fldCharType="end"/>
      </w:r>
      <w:r>
        <w:t xml:space="preserve"> </w:t>
      </w:r>
    </w:p>
  </w:comment>
  <w:comment w:id="32" w:author="Becca Levin" w:date="2026-05-05T17:21:00Z" w:initials="BL">
    <w:p w14:paraId="3E7756B8" w14:textId="66C7B191" w:rsidR="004C2B0E" w:rsidRDefault="004C2B0E" w:rsidP="004C2B0E">
      <w:pPr>
        <w:pStyle w:val="CommentText"/>
      </w:pPr>
      <w:r>
        <w:rPr>
          <w:rStyle w:val="CommentReference"/>
        </w:rPr>
        <w:annotationRef/>
      </w:r>
      <w:r>
        <w:fldChar w:fldCharType="begin"/>
      </w:r>
      <w:r>
        <w:instrText>HYPERLINK "mailto:RTavare@segotx.com"</w:instrText>
      </w:r>
      <w:bookmarkStart w:id="33" w:name="_@_85C0BA72FF3A4398ABDF3494E4E42C10Z"/>
      <w:r>
        <w:fldChar w:fldCharType="separate"/>
      </w:r>
      <w:bookmarkEnd w:id="33"/>
      <w:r w:rsidRPr="004C2B0E">
        <w:rPr>
          <w:rStyle w:val="Mention"/>
          <w:noProof/>
        </w:rPr>
        <w:t>@Richard Tavare</w:t>
      </w:r>
      <w:r>
        <w:fldChar w:fldCharType="end"/>
      </w:r>
      <w:r>
        <w:t xml:space="preserve"> </w:t>
      </w:r>
    </w:p>
  </w:comment>
  <w:comment w:id="34" w:author="Becca Levin" w:date="2026-05-05T17:21:00Z" w:initials="BL">
    <w:p w14:paraId="15F3E63D" w14:textId="19D94D6D" w:rsidR="004C2B0E" w:rsidRDefault="004C2B0E" w:rsidP="004C2B0E">
      <w:pPr>
        <w:pStyle w:val="CommentText"/>
      </w:pPr>
      <w:r>
        <w:rPr>
          <w:rStyle w:val="CommentReference"/>
        </w:rPr>
        <w:annotationRef/>
      </w:r>
      <w:r>
        <w:fldChar w:fldCharType="begin"/>
      </w:r>
      <w:r>
        <w:instrText>HYPERLINK "mailto:RTavare@segotx.com"</w:instrText>
      </w:r>
      <w:bookmarkStart w:id="35" w:name="_@_15368E54C6664EED92D0C00721C125E9Z"/>
      <w:r>
        <w:fldChar w:fldCharType="separate"/>
      </w:r>
      <w:bookmarkEnd w:id="35"/>
      <w:r w:rsidRPr="004C2B0E">
        <w:rPr>
          <w:rStyle w:val="Mention"/>
          <w:noProof/>
        </w:rPr>
        <w:t>@Richard Tavare</w:t>
      </w:r>
      <w:r>
        <w:fldChar w:fldCharType="end"/>
      </w:r>
      <w:r>
        <w:t xml:space="preserve"> </w:t>
      </w:r>
    </w:p>
  </w:comment>
  <w:comment w:id="36" w:author="Richard Tavare" w:date="2026-05-06T10:08:00Z" w:initials="RT">
    <w:p w14:paraId="4E53FB2A" w14:textId="77777777" w:rsidR="00F8144C" w:rsidRDefault="00F8144C" w:rsidP="00F8144C">
      <w:r>
        <w:rPr>
          <w:rStyle w:val="CommentReference"/>
        </w:rPr>
        <w:annotationRef/>
      </w:r>
      <w:r>
        <w:rPr>
          <w:sz w:val="20"/>
          <w:szCs w:val="20"/>
        </w:rPr>
        <w:t>do we add detail on past CEACAM5 ADCs failing due to tolerability and possibly due to lack of internalization? For MUC1, antibodies were binding tumor specific epitope exposed on N domain due to differential glycosylation patters and that the N domain is shed?</w:t>
      </w:r>
    </w:p>
  </w:comment>
  <w:comment w:id="37" w:author="Becca Levin" w:date="2026-05-09T06:35:00Z" w:initials="BL">
    <w:p w14:paraId="696D4DED" w14:textId="4FA8F288" w:rsidR="001274ED" w:rsidRDefault="001274ED" w:rsidP="001274ED">
      <w:pPr>
        <w:pStyle w:val="CommentText"/>
      </w:pPr>
      <w:r>
        <w:rPr>
          <w:rStyle w:val="CommentReference"/>
        </w:rPr>
        <w:annotationRef/>
      </w:r>
      <w:r>
        <w:fldChar w:fldCharType="begin"/>
      </w:r>
      <w:r>
        <w:instrText>HYPERLINK "mailto:RTavare@segotx.com"</w:instrText>
      </w:r>
      <w:bookmarkStart w:id="38" w:name="_@_E65708C5178F47AF86BFAB61C9D11AA6Z"/>
      <w:r>
        <w:fldChar w:fldCharType="separate"/>
      </w:r>
      <w:bookmarkEnd w:id="38"/>
      <w:r w:rsidRPr="001274ED">
        <w:rPr>
          <w:rStyle w:val="Mention"/>
          <w:noProof/>
        </w:rPr>
        <w:t>@Richard Tavare</w:t>
      </w:r>
      <w:r>
        <w:fldChar w:fldCharType="end"/>
      </w:r>
      <w:r>
        <w:t xml:space="preserve"> This is on you to add when you can before Monday.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F798C" w15:done="1"/>
  <w15:commentEx w15:paraId="4D682B37" w15:done="1"/>
  <w15:commentEx w15:paraId="01174C95" w15:done="1"/>
  <w15:commentEx w15:paraId="6C7699AC" w15:paraIdParent="01174C95" w15:done="1"/>
  <w15:commentEx w15:paraId="2F2A316E" w15:paraIdParent="01174C95" w15:done="1"/>
  <w15:commentEx w15:paraId="6BEA46BF" w15:paraIdParent="01174C95" w15:done="1"/>
  <w15:commentEx w15:paraId="52432F4F" w15:done="1"/>
  <w15:commentEx w15:paraId="34A60F96" w15:paraIdParent="52432F4F" w15:done="1"/>
  <w15:commentEx w15:paraId="6D782E43" w15:paraIdParent="52432F4F" w15:done="1"/>
  <w15:commentEx w15:paraId="1F94F896" w15:done="1"/>
  <w15:commentEx w15:paraId="584D8DDB" w15:done="1"/>
  <w15:commentEx w15:paraId="2C9C937C" w15:paraIdParent="584D8DDB" w15:done="1"/>
  <w15:commentEx w15:paraId="64D13E6B" w15:paraIdParent="584D8DDB" w15:done="1"/>
  <w15:commentEx w15:paraId="4BD961B3" w15:done="1"/>
  <w15:commentEx w15:paraId="7339960A" w15:done="1"/>
  <w15:commentEx w15:paraId="1C1E043B" w15:done="1"/>
  <w15:commentEx w15:paraId="2C732413" w15:done="1"/>
  <w15:commentEx w15:paraId="769DD56E" w15:done="1"/>
  <w15:commentEx w15:paraId="56FFC715" w15:done="1"/>
  <w15:commentEx w15:paraId="3E7756B8" w15:done="1"/>
  <w15:commentEx w15:paraId="15F3E63D" w15:done="1"/>
  <w15:commentEx w15:paraId="4E53FB2A" w15:done="1"/>
  <w15:commentEx w15:paraId="696D4DED" w15:paraIdParent="4E53FB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C32DC" w16cex:dateUtc="2026-05-05T23:19:00Z"/>
  <w16cex:commentExtensible w16cex:durableId="5331AA58" w16cex:dateUtc="2026-05-09T12:38:00Z"/>
  <w16cex:commentExtensible w16cex:durableId="740A9BCA" w16cex:dateUtc="2026-05-05T23:19:00Z"/>
  <w16cex:commentExtensible w16cex:durableId="688AC2D2" w16cex:dateUtc="2026-05-06T16:14:00Z"/>
  <w16cex:commentExtensible w16cex:durableId="6D9D0B95" w16cex:dateUtc="2026-05-06T17:29:00Z"/>
  <w16cex:commentExtensible w16cex:durableId="54552344" w16cex:dateUtc="2026-05-06T17:29:00Z"/>
  <w16cex:commentExtensible w16cex:durableId="6EE41A94" w16cex:dateUtc="2026-05-05T23:20:00Z"/>
  <w16cex:commentExtensible w16cex:durableId="5F31E776" w16cex:dateUtc="2026-05-06T07:32:00Z"/>
  <w16cex:commentExtensible w16cex:durableId="75A3BCEA" w16cex:dateUtc="2026-05-06T15:16:00Z"/>
  <w16cex:commentExtensible w16cex:durableId="6DEB8827" w16cex:dateUtc="2026-05-07T08:35:00Z"/>
  <w16cex:commentExtensible w16cex:durableId="08878A1E" w16cex:dateUtc="2026-05-05T23:20:00Z"/>
  <w16cex:commentExtensible w16cex:durableId="521DE196" w16cex:dateUtc="2026-05-06T08:16:00Z"/>
  <w16cex:commentExtensible w16cex:durableId="0BD1B131" w16cex:dateUtc="2026-05-06T15:17:00Z"/>
  <w16cex:commentExtensible w16cex:durableId="54A40990" w16cex:dateUtc="2026-05-05T23:20:00Z"/>
  <w16cex:commentExtensible w16cex:durableId="74956B85" w16cex:dateUtc="2026-05-05T23:20:00Z"/>
  <w16cex:commentExtensible w16cex:durableId="267D45A2" w16cex:dateUtc="2026-05-05T23:21:00Z"/>
  <w16cex:commentExtensible w16cex:durableId="393F9A02" w16cex:dateUtc="2026-05-05T23:21:00Z"/>
  <w16cex:commentExtensible w16cex:durableId="197AA1A7" w16cex:dateUtc="2026-05-06T17:40:00Z"/>
  <w16cex:commentExtensible w16cex:durableId="13872C86" w16cex:dateUtc="2026-05-05T23:21:00Z"/>
  <w16cex:commentExtensible w16cex:durableId="79BE2EB5" w16cex:dateUtc="2026-05-05T23:21:00Z"/>
  <w16cex:commentExtensible w16cex:durableId="78C6D76E" w16cex:dateUtc="2026-05-05T23:21:00Z"/>
  <w16cex:commentExtensible w16cex:durableId="7A9FB644" w16cex:dateUtc="2026-05-06T16:08:00Z"/>
  <w16cex:commentExtensible w16cex:durableId="265AEBEF" w16cex:dateUtc="2026-05-09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F798C" w16cid:durableId="0D9C32DC"/>
  <w16cid:commentId w16cid:paraId="4D682B37" w16cid:durableId="5331AA58"/>
  <w16cid:commentId w16cid:paraId="01174C95" w16cid:durableId="740A9BCA"/>
  <w16cid:commentId w16cid:paraId="6C7699AC" w16cid:durableId="688AC2D2"/>
  <w16cid:commentId w16cid:paraId="2F2A316E" w16cid:durableId="6D9D0B95"/>
  <w16cid:commentId w16cid:paraId="6BEA46BF" w16cid:durableId="54552344"/>
  <w16cid:commentId w16cid:paraId="52432F4F" w16cid:durableId="6EE41A94"/>
  <w16cid:commentId w16cid:paraId="34A60F96" w16cid:durableId="5F31E776"/>
  <w16cid:commentId w16cid:paraId="6D782E43" w16cid:durableId="75A3BCEA"/>
  <w16cid:commentId w16cid:paraId="1F94F896" w16cid:durableId="6DEB8827"/>
  <w16cid:commentId w16cid:paraId="584D8DDB" w16cid:durableId="08878A1E"/>
  <w16cid:commentId w16cid:paraId="2C9C937C" w16cid:durableId="521DE196"/>
  <w16cid:commentId w16cid:paraId="64D13E6B" w16cid:durableId="0BD1B131"/>
  <w16cid:commentId w16cid:paraId="4BD961B3" w16cid:durableId="54A40990"/>
  <w16cid:commentId w16cid:paraId="7339960A" w16cid:durableId="74956B85"/>
  <w16cid:commentId w16cid:paraId="1C1E043B" w16cid:durableId="267D45A2"/>
  <w16cid:commentId w16cid:paraId="2C732413" w16cid:durableId="393F9A02"/>
  <w16cid:commentId w16cid:paraId="769DD56E" w16cid:durableId="197AA1A7"/>
  <w16cid:commentId w16cid:paraId="56FFC715" w16cid:durableId="13872C86"/>
  <w16cid:commentId w16cid:paraId="3E7756B8" w16cid:durableId="79BE2EB5"/>
  <w16cid:commentId w16cid:paraId="15F3E63D" w16cid:durableId="78C6D76E"/>
  <w16cid:commentId w16cid:paraId="4E53FB2A" w16cid:durableId="7A9FB644"/>
  <w16cid:commentId w16cid:paraId="696D4DED" w16cid:durableId="265AEB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C35E" w14:textId="77777777" w:rsidR="00790853" w:rsidRDefault="00790853" w:rsidP="00940A2F">
      <w:pPr>
        <w:spacing w:after="0" w:line="240" w:lineRule="auto"/>
      </w:pPr>
      <w:r>
        <w:separator/>
      </w:r>
    </w:p>
  </w:endnote>
  <w:endnote w:type="continuationSeparator" w:id="0">
    <w:p w14:paraId="119A3032" w14:textId="77777777" w:rsidR="00790853" w:rsidRDefault="00790853" w:rsidP="00940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unnel Sans">
    <w:panose1 w:val="00000000000000000000"/>
    <w:charset w:val="00"/>
    <w:family w:val="auto"/>
    <w:pitch w:val="variable"/>
    <w:sig w:usb0="A00000EF" w:usb1="4000004A" w:usb2="00000000" w:usb3="00000000" w:csb0="00000093"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0300" w14:textId="09D8734E" w:rsidR="00940A2F" w:rsidRDefault="00940A2F">
    <w:pPr>
      <w:pStyle w:val="Footer"/>
    </w:pPr>
    <w:r>
      <w:rPr>
        <w:noProof/>
      </w:rPr>
      <mc:AlternateContent>
        <mc:Choice Requires="wps">
          <w:drawing>
            <wp:anchor distT="0" distB="0" distL="0" distR="0" simplePos="0" relativeHeight="251658240" behindDoc="0" locked="0" layoutInCell="1" allowOverlap="1" wp14:anchorId="4FCC1ADA" wp14:editId="13AFDDE3">
              <wp:simplePos x="635" y="635"/>
              <wp:positionH relativeFrom="page">
                <wp:align>right</wp:align>
              </wp:positionH>
              <wp:positionV relativeFrom="page">
                <wp:align>bottom</wp:align>
              </wp:positionV>
              <wp:extent cx="795020" cy="334010"/>
              <wp:effectExtent l="0" t="0" r="0" b="0"/>
              <wp:wrapNone/>
              <wp:docPr id="70800971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318DD679" w14:textId="2969C0FE"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FCC1ADA" id="_x0000_t202" coordsize="21600,21600" o:spt="202" path="m,l,21600r21600,l21600,xe">
              <v:stroke joinstyle="miter"/>
              <v:path gradientshapeok="t" o:connecttype="rect"/>
            </v:shapetype>
            <v:shape id="Text Box 2" o:spid="_x0000_s1026" type="#_x0000_t202" alt="Confidential" style="position:absolute;margin-left:11.4pt;margin-top:0;width:62.6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" filled="f" stroked="f">
              <v:textbox style="mso-fit-shape-to-text:t" inset="0,0,20pt,15pt">
                <w:txbxContent>
                  <w:p w14:paraId="318DD679" w14:textId="2969C0FE"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88D6" w14:textId="233B80FA" w:rsidR="00940A2F" w:rsidRDefault="00940A2F">
    <w:pPr>
      <w:pStyle w:val="Footer"/>
    </w:pPr>
    <w:r>
      <w:fldChar w:fldCharType="begin"/>
    </w:r>
    <w:r>
      <w:instrText xml:space="preserve"> PAGE   \* MERGEFORMAT </w:instrText>
    </w:r>
    <w:r>
      <w:fldChar w:fldCharType="separate"/>
    </w:r>
    <w:r>
      <w:rPr>
        <w:noProof/>
      </w:rPr>
      <w:t>1</w:t>
    </w:r>
    <w:r>
      <w:rPr>
        <w:noProof/>
      </w:rPr>
      <w:fldChar w:fldCharType="end"/>
    </w:r>
    <w:r>
      <w:rPr>
        <w:noProof/>
      </w:rPr>
      <mc:AlternateContent>
        <mc:Choice Requires="wps">
          <w:drawing>
            <wp:anchor distT="0" distB="0" distL="0" distR="0" simplePos="0" relativeHeight="251658241" behindDoc="0" locked="0" layoutInCell="1" allowOverlap="1" wp14:anchorId="1D0EEA51" wp14:editId="4850523E">
              <wp:simplePos x="914400" y="9417738"/>
              <wp:positionH relativeFrom="page">
                <wp:align>right</wp:align>
              </wp:positionH>
              <wp:positionV relativeFrom="page">
                <wp:align>bottom</wp:align>
              </wp:positionV>
              <wp:extent cx="795020" cy="334010"/>
              <wp:effectExtent l="0" t="0" r="0" b="0"/>
              <wp:wrapNone/>
              <wp:docPr id="1206027134"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3DE904C" w14:textId="0C526597"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0EEA51" id="_x0000_t202" coordsize="21600,21600" o:spt="202" path="m,l,21600r21600,l21600,xe">
              <v:stroke joinstyle="miter"/>
              <v:path gradientshapeok="t" o:connecttype="rect"/>
            </v:shapetype>
            <v:shape id="Text Box 3" o:spid="_x0000_s1027" type="#_x0000_t202" alt="Confidential" style="position:absolute;margin-left:11.4pt;margin-top:0;width:62.6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" filled="f" stroked="f">
              <v:textbox style="mso-fit-shape-to-text:t" inset="0,0,20pt,15pt">
                <w:txbxContent>
                  <w:p w14:paraId="03DE904C" w14:textId="0C526597"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10C6" w14:textId="5E6126AB" w:rsidR="00940A2F" w:rsidRDefault="00940A2F">
    <w:pPr>
      <w:pStyle w:val="Footer"/>
    </w:pPr>
    <w:r>
      <w:rPr>
        <w:noProof/>
      </w:rPr>
      <mc:AlternateContent>
        <mc:Choice Requires="wps">
          <w:drawing>
            <wp:anchor distT="0" distB="0" distL="0" distR="0" simplePos="0" relativeHeight="251658242" behindDoc="0" locked="0" layoutInCell="1" allowOverlap="1" wp14:anchorId="501545DD" wp14:editId="49C858BB">
              <wp:simplePos x="635" y="635"/>
              <wp:positionH relativeFrom="page">
                <wp:align>right</wp:align>
              </wp:positionH>
              <wp:positionV relativeFrom="page">
                <wp:align>bottom</wp:align>
              </wp:positionV>
              <wp:extent cx="795020" cy="334010"/>
              <wp:effectExtent l="0" t="0" r="0" b="0"/>
              <wp:wrapNone/>
              <wp:docPr id="42777488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2390DBB" w14:textId="61D07A33"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1545DD" id="_x0000_t202" coordsize="21600,21600" o:spt="202" path="m,l,21600r21600,l21600,xe">
              <v:stroke joinstyle="miter"/>
              <v:path gradientshapeok="t" o:connecttype="rect"/>
            </v:shapetype>
            <v:shape id="Text Box 1" o:spid="_x0000_s1028" type="#_x0000_t202" alt="Confidential" style="position:absolute;margin-left:11.4pt;margin-top:0;width:62.6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" filled="f" stroked="f">
              <v:textbox style="mso-fit-shape-to-text:t" inset="0,0,20pt,15pt">
                <w:txbxContent>
                  <w:p w14:paraId="02390DBB" w14:textId="61D07A33" w:rsidR="00940A2F" w:rsidRPr="00940A2F" w:rsidRDefault="00940A2F" w:rsidP="00940A2F">
                    <w:pPr>
                      <w:spacing w:after="0"/>
                      <w:rPr>
                        <w:rFonts w:ascii="Aptos" w:eastAsia="Aptos" w:hAnsi="Aptos" w:cs="Aptos"/>
                        <w:noProof/>
                        <w:color w:val="000000"/>
                        <w:sz w:val="16"/>
                        <w:szCs w:val="16"/>
                      </w:rPr>
                    </w:pPr>
                    <w:r w:rsidRPr="00940A2F">
                      <w:rPr>
                        <w:rFonts w:ascii="Aptos" w:eastAsia="Aptos" w:hAnsi="Aptos" w:cs="Aptos"/>
                        <w:noProof/>
                        <w:color w:val="000000"/>
                        <w:sz w:val="16"/>
                        <w:szCs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0B85" w14:textId="77777777" w:rsidR="00790853" w:rsidRDefault="00790853" w:rsidP="00940A2F">
      <w:pPr>
        <w:spacing w:after="0" w:line="240" w:lineRule="auto"/>
      </w:pPr>
      <w:r>
        <w:separator/>
      </w:r>
    </w:p>
  </w:footnote>
  <w:footnote w:type="continuationSeparator" w:id="0">
    <w:p w14:paraId="5AB6D9F7" w14:textId="77777777" w:rsidR="00790853" w:rsidRDefault="00790853" w:rsidP="00940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777A" w14:textId="77777777" w:rsidR="00D90927" w:rsidRDefault="00D909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4F518A" w14:paraId="76BA5101" w14:textId="77777777" w:rsidTr="003B7D93">
      <w:trPr>
        <w:trHeight w:val="300"/>
      </w:trPr>
      <w:tc>
        <w:tcPr>
          <w:tcW w:w="2880" w:type="dxa"/>
        </w:tcPr>
        <w:p w14:paraId="5B147B0A" w14:textId="77777777" w:rsidR="00940A2F" w:rsidRDefault="00940A2F" w:rsidP="00940A2F">
          <w:pPr>
            <w:pStyle w:val="Header"/>
            <w:ind w:left="-115"/>
          </w:pPr>
          <w:r>
            <w:rPr>
              <w:noProof/>
            </w:rPr>
            <w:drawing>
              <wp:inline distT="0" distB="0" distL="0" distR="0" wp14:anchorId="64C27CA3" wp14:editId="14345B00">
                <wp:extent cx="1371600" cy="385281"/>
                <wp:effectExtent l="0" t="0" r="0" b="0"/>
                <wp:docPr id="1469347520" name="drawing">
                  <a:extLst xmlns:a="http://schemas.openxmlformats.org/drawingml/2006/main">
                    <a:ext uri="{FF2B5EF4-FFF2-40B4-BE49-F238E27FC236}">
                      <a16:creationId xmlns:a16="http://schemas.microsoft.com/office/drawing/2014/main" id="{E2102341-C2E5-49EA-8234-C391D10ED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8596" name="Picture 1186688596"/>
                        <pic:cNvPicPr/>
                      </pic:nvPicPr>
                      <pic:blipFill>
                        <a:blip r:embed="rId1">
                          <a:extLst>
                            <a:ext uri="{28A0092B-C50C-407E-A947-70E740481C1C}">
                              <a14:useLocalDpi xmlns:a14="http://schemas.microsoft.com/office/drawing/2010/main"/>
                            </a:ext>
                          </a:extLst>
                        </a:blip>
                        <a:stretch>
                          <a:fillRect/>
                        </a:stretch>
                      </pic:blipFill>
                      <pic:spPr>
                        <a:xfrm>
                          <a:off x="0" y="0"/>
                          <a:ext cx="1371600" cy="385281"/>
                        </a:xfrm>
                        <a:prstGeom prst="rect">
                          <a:avLst/>
                        </a:prstGeom>
                      </pic:spPr>
                    </pic:pic>
                  </a:graphicData>
                </a:graphic>
              </wp:inline>
            </w:drawing>
          </w:r>
        </w:p>
      </w:tc>
      <w:tc>
        <w:tcPr>
          <w:tcW w:w="2880" w:type="dxa"/>
        </w:tcPr>
        <w:p w14:paraId="3BC10DDE" w14:textId="77777777" w:rsidR="00940A2F" w:rsidRDefault="00940A2F" w:rsidP="00940A2F">
          <w:pPr>
            <w:pStyle w:val="Header"/>
            <w:jc w:val="center"/>
          </w:pPr>
        </w:p>
      </w:tc>
      <w:tc>
        <w:tcPr>
          <w:tcW w:w="2880" w:type="dxa"/>
        </w:tcPr>
        <w:p w14:paraId="783DD250" w14:textId="77777777" w:rsidR="00940A2F" w:rsidRDefault="00940A2F" w:rsidP="00940A2F">
          <w:pPr>
            <w:pStyle w:val="Header"/>
            <w:ind w:right="-115"/>
            <w:jc w:val="right"/>
            <w:rPr>
              <w:rFonts w:asciiTheme="majorHAnsi" w:eastAsiaTheme="majorEastAsia" w:hAnsiTheme="majorHAnsi" w:cstheme="majorBidi"/>
            </w:rPr>
          </w:pPr>
          <w:r>
            <w:rPr>
              <w:rFonts w:asciiTheme="majorHAnsi" w:eastAsiaTheme="majorEastAsia" w:hAnsiTheme="majorHAnsi" w:cstheme="majorBidi"/>
            </w:rPr>
            <w:t>May</w:t>
          </w:r>
          <w:r w:rsidRPr="22DD4C4C">
            <w:rPr>
              <w:rFonts w:asciiTheme="majorHAnsi" w:eastAsiaTheme="majorEastAsia" w:hAnsiTheme="majorHAnsi" w:cstheme="majorBidi"/>
            </w:rPr>
            <w:t xml:space="preserve"> 2026</w:t>
          </w:r>
        </w:p>
      </w:tc>
    </w:tr>
  </w:tbl>
  <w:p w14:paraId="6F80744C" w14:textId="77777777" w:rsidR="00940A2F" w:rsidRDefault="00940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AAF3" w14:textId="77777777" w:rsidR="00D90927" w:rsidRDefault="00D90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FE9"/>
    <w:multiLevelType w:val="multilevel"/>
    <w:tmpl w:val="152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52C7"/>
    <w:multiLevelType w:val="multilevel"/>
    <w:tmpl w:val="E5D8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E226C"/>
    <w:multiLevelType w:val="multilevel"/>
    <w:tmpl w:val="6A16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C1F7E"/>
    <w:multiLevelType w:val="multilevel"/>
    <w:tmpl w:val="9C5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57BFE"/>
    <w:multiLevelType w:val="multilevel"/>
    <w:tmpl w:val="15B6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A1DEF"/>
    <w:multiLevelType w:val="multilevel"/>
    <w:tmpl w:val="3406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D0AFC"/>
    <w:multiLevelType w:val="multilevel"/>
    <w:tmpl w:val="2CC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12C5"/>
    <w:multiLevelType w:val="hybridMultilevel"/>
    <w:tmpl w:val="25D49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E4B"/>
    <w:multiLevelType w:val="multilevel"/>
    <w:tmpl w:val="2A86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06DF1"/>
    <w:multiLevelType w:val="hybridMultilevel"/>
    <w:tmpl w:val="6C521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B789C"/>
    <w:multiLevelType w:val="multilevel"/>
    <w:tmpl w:val="9F74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36269"/>
    <w:multiLevelType w:val="multilevel"/>
    <w:tmpl w:val="2FE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A73FE"/>
    <w:multiLevelType w:val="hybridMultilevel"/>
    <w:tmpl w:val="4FC22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422D5"/>
    <w:multiLevelType w:val="multilevel"/>
    <w:tmpl w:val="0726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C6791"/>
    <w:multiLevelType w:val="multilevel"/>
    <w:tmpl w:val="021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E2DAB"/>
    <w:multiLevelType w:val="multilevel"/>
    <w:tmpl w:val="517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405FC"/>
    <w:multiLevelType w:val="multilevel"/>
    <w:tmpl w:val="91F6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E33C9"/>
    <w:multiLevelType w:val="hybridMultilevel"/>
    <w:tmpl w:val="1EDC63AC"/>
    <w:lvl w:ilvl="0" w:tplc="F1A6E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5A0E9F"/>
    <w:multiLevelType w:val="multilevel"/>
    <w:tmpl w:val="3EF8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03202"/>
    <w:multiLevelType w:val="multilevel"/>
    <w:tmpl w:val="54A8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341FEE"/>
    <w:multiLevelType w:val="multilevel"/>
    <w:tmpl w:val="24D21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BB66308"/>
    <w:multiLevelType w:val="multilevel"/>
    <w:tmpl w:val="E71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40220"/>
    <w:multiLevelType w:val="hybridMultilevel"/>
    <w:tmpl w:val="E8A46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D3F8C"/>
    <w:multiLevelType w:val="hybridMultilevel"/>
    <w:tmpl w:val="A796A2EA"/>
    <w:lvl w:ilvl="0" w:tplc="815414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30883"/>
    <w:multiLevelType w:val="multilevel"/>
    <w:tmpl w:val="9908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701EED"/>
    <w:multiLevelType w:val="multilevel"/>
    <w:tmpl w:val="695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6339C"/>
    <w:multiLevelType w:val="multilevel"/>
    <w:tmpl w:val="4C74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9B6D74"/>
    <w:multiLevelType w:val="multilevel"/>
    <w:tmpl w:val="70A8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AC7F17"/>
    <w:multiLevelType w:val="hybridMultilevel"/>
    <w:tmpl w:val="577C9C2E"/>
    <w:lvl w:ilvl="0" w:tplc="52480D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B66122"/>
    <w:multiLevelType w:val="multilevel"/>
    <w:tmpl w:val="243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445BF"/>
    <w:multiLevelType w:val="multilevel"/>
    <w:tmpl w:val="F42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C73F8"/>
    <w:multiLevelType w:val="multilevel"/>
    <w:tmpl w:val="731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B6CAB"/>
    <w:multiLevelType w:val="multilevel"/>
    <w:tmpl w:val="703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55E81"/>
    <w:multiLevelType w:val="multilevel"/>
    <w:tmpl w:val="6500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0C11C3"/>
    <w:multiLevelType w:val="multilevel"/>
    <w:tmpl w:val="1448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35418F"/>
    <w:multiLevelType w:val="multilevel"/>
    <w:tmpl w:val="A74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55D20"/>
    <w:multiLevelType w:val="multilevel"/>
    <w:tmpl w:val="AB0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2521A"/>
    <w:multiLevelType w:val="multilevel"/>
    <w:tmpl w:val="C75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01F1D"/>
    <w:multiLevelType w:val="multilevel"/>
    <w:tmpl w:val="C5D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96B80"/>
    <w:multiLevelType w:val="multilevel"/>
    <w:tmpl w:val="C220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8261EA"/>
    <w:multiLevelType w:val="multilevel"/>
    <w:tmpl w:val="556C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015430"/>
    <w:multiLevelType w:val="multilevel"/>
    <w:tmpl w:val="13A4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E04C4F"/>
    <w:multiLevelType w:val="multilevel"/>
    <w:tmpl w:val="8B7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86260"/>
    <w:multiLevelType w:val="multilevel"/>
    <w:tmpl w:val="A10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873F3"/>
    <w:multiLevelType w:val="multilevel"/>
    <w:tmpl w:val="29CE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266739"/>
    <w:multiLevelType w:val="multilevel"/>
    <w:tmpl w:val="A7BA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8D34B1"/>
    <w:multiLevelType w:val="multilevel"/>
    <w:tmpl w:val="595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2F05D7"/>
    <w:multiLevelType w:val="multilevel"/>
    <w:tmpl w:val="57CA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722DF3"/>
    <w:multiLevelType w:val="multilevel"/>
    <w:tmpl w:val="04FE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C62451"/>
    <w:multiLevelType w:val="multilevel"/>
    <w:tmpl w:val="D864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F24801"/>
    <w:multiLevelType w:val="multilevel"/>
    <w:tmpl w:val="307A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18073E"/>
    <w:multiLevelType w:val="hybridMultilevel"/>
    <w:tmpl w:val="04AA3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261755"/>
    <w:multiLevelType w:val="multilevel"/>
    <w:tmpl w:val="7D36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9019A1"/>
    <w:multiLevelType w:val="multilevel"/>
    <w:tmpl w:val="E89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C4157"/>
    <w:multiLevelType w:val="multilevel"/>
    <w:tmpl w:val="B5B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42F32"/>
    <w:multiLevelType w:val="multilevel"/>
    <w:tmpl w:val="8C8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91F10"/>
    <w:multiLevelType w:val="multilevel"/>
    <w:tmpl w:val="B27C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0B0D09"/>
    <w:multiLevelType w:val="multilevel"/>
    <w:tmpl w:val="767A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5521AF"/>
    <w:multiLevelType w:val="multilevel"/>
    <w:tmpl w:val="ECD0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3403C8"/>
    <w:multiLevelType w:val="hybridMultilevel"/>
    <w:tmpl w:val="91F85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810E70"/>
    <w:multiLevelType w:val="multilevel"/>
    <w:tmpl w:val="354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3F1683"/>
    <w:multiLevelType w:val="multilevel"/>
    <w:tmpl w:val="9970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AE3721"/>
    <w:multiLevelType w:val="multilevel"/>
    <w:tmpl w:val="60A6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703D58"/>
    <w:multiLevelType w:val="multilevel"/>
    <w:tmpl w:val="25DE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EF5712"/>
    <w:multiLevelType w:val="hybridMultilevel"/>
    <w:tmpl w:val="6F8477C2"/>
    <w:lvl w:ilvl="0" w:tplc="97123A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0401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5336246">
    <w:abstractNumId w:val="35"/>
  </w:num>
  <w:num w:numId="3" w16cid:durableId="1687370204">
    <w:abstractNumId w:val="0"/>
  </w:num>
  <w:num w:numId="4" w16cid:durableId="1650862061">
    <w:abstractNumId w:val="16"/>
  </w:num>
  <w:num w:numId="5" w16cid:durableId="1685548982">
    <w:abstractNumId w:val="55"/>
  </w:num>
  <w:num w:numId="6" w16cid:durableId="1095399826">
    <w:abstractNumId w:val="42"/>
  </w:num>
  <w:num w:numId="7" w16cid:durableId="657004078">
    <w:abstractNumId w:val="36"/>
  </w:num>
  <w:num w:numId="8" w16cid:durableId="1456945296">
    <w:abstractNumId w:val="29"/>
  </w:num>
  <w:num w:numId="9" w16cid:durableId="523903144">
    <w:abstractNumId w:val="24"/>
  </w:num>
  <w:num w:numId="10" w16cid:durableId="331105532">
    <w:abstractNumId w:val="33"/>
  </w:num>
  <w:num w:numId="11" w16cid:durableId="65230136">
    <w:abstractNumId w:val="4"/>
  </w:num>
  <w:num w:numId="12" w16cid:durableId="437872081">
    <w:abstractNumId w:val="2"/>
  </w:num>
  <w:num w:numId="13" w16cid:durableId="1141919025">
    <w:abstractNumId w:val="8"/>
  </w:num>
  <w:num w:numId="14" w16cid:durableId="685785855">
    <w:abstractNumId w:val="52"/>
  </w:num>
  <w:num w:numId="15" w16cid:durableId="116990782">
    <w:abstractNumId w:val="40"/>
  </w:num>
  <w:num w:numId="16" w16cid:durableId="429543134">
    <w:abstractNumId w:val="57"/>
  </w:num>
  <w:num w:numId="17" w16cid:durableId="730620909">
    <w:abstractNumId w:val="49"/>
  </w:num>
  <w:num w:numId="18" w16cid:durableId="1629512775">
    <w:abstractNumId w:val="50"/>
  </w:num>
  <w:num w:numId="19" w16cid:durableId="306592992">
    <w:abstractNumId w:val="10"/>
  </w:num>
  <w:num w:numId="20" w16cid:durableId="772672266">
    <w:abstractNumId w:val="63"/>
  </w:num>
  <w:num w:numId="21" w16cid:durableId="687218014">
    <w:abstractNumId w:val="19"/>
  </w:num>
  <w:num w:numId="22" w16cid:durableId="89282930">
    <w:abstractNumId w:val="44"/>
  </w:num>
  <w:num w:numId="23" w16cid:durableId="546571302">
    <w:abstractNumId w:val="45"/>
  </w:num>
  <w:num w:numId="24" w16cid:durableId="2088649627">
    <w:abstractNumId w:val="39"/>
  </w:num>
  <w:num w:numId="25" w16cid:durableId="492839224">
    <w:abstractNumId w:val="47"/>
  </w:num>
  <w:num w:numId="26" w16cid:durableId="1048071293">
    <w:abstractNumId w:val="34"/>
  </w:num>
  <w:num w:numId="27" w16cid:durableId="293952011">
    <w:abstractNumId w:val="43"/>
  </w:num>
  <w:num w:numId="28" w16cid:durableId="1393313593">
    <w:abstractNumId w:val="38"/>
  </w:num>
  <w:num w:numId="29" w16cid:durableId="549343140">
    <w:abstractNumId w:val="14"/>
  </w:num>
  <w:num w:numId="30" w16cid:durableId="745960877">
    <w:abstractNumId w:val="37"/>
  </w:num>
  <w:num w:numId="31" w16cid:durableId="1667511211">
    <w:abstractNumId w:val="58"/>
  </w:num>
  <w:num w:numId="32" w16cid:durableId="262998606">
    <w:abstractNumId w:val="1"/>
  </w:num>
  <w:num w:numId="33" w16cid:durableId="171577847">
    <w:abstractNumId w:val="18"/>
  </w:num>
  <w:num w:numId="34" w16cid:durableId="1246843868">
    <w:abstractNumId w:val="41"/>
  </w:num>
  <w:num w:numId="35" w16cid:durableId="864757802">
    <w:abstractNumId w:val="3"/>
  </w:num>
  <w:num w:numId="36" w16cid:durableId="53819887">
    <w:abstractNumId w:val="46"/>
  </w:num>
  <w:num w:numId="37" w16cid:durableId="1904485977">
    <w:abstractNumId w:val="15"/>
  </w:num>
  <w:num w:numId="38" w16cid:durableId="1315531326">
    <w:abstractNumId w:val="11"/>
  </w:num>
  <w:num w:numId="39" w16cid:durableId="876087606">
    <w:abstractNumId w:val="56"/>
  </w:num>
  <w:num w:numId="40" w16cid:durableId="439498904">
    <w:abstractNumId w:val="26"/>
  </w:num>
  <w:num w:numId="41" w16cid:durableId="8797714">
    <w:abstractNumId w:val="5"/>
  </w:num>
  <w:num w:numId="42" w16cid:durableId="2062974231">
    <w:abstractNumId w:val="30"/>
  </w:num>
  <w:num w:numId="43" w16cid:durableId="2135370113">
    <w:abstractNumId w:val="54"/>
  </w:num>
  <w:num w:numId="44" w16cid:durableId="1091008764">
    <w:abstractNumId w:val="6"/>
  </w:num>
  <w:num w:numId="45" w16cid:durableId="1276207526">
    <w:abstractNumId w:val="31"/>
  </w:num>
  <w:num w:numId="46" w16cid:durableId="370499947">
    <w:abstractNumId w:val="53"/>
  </w:num>
  <w:num w:numId="47" w16cid:durableId="566692682">
    <w:abstractNumId w:val="61"/>
  </w:num>
  <w:num w:numId="48" w16cid:durableId="1013605412">
    <w:abstractNumId w:val="62"/>
  </w:num>
  <w:num w:numId="49" w16cid:durableId="2027176492">
    <w:abstractNumId w:val="27"/>
  </w:num>
  <w:num w:numId="50" w16cid:durableId="228687196">
    <w:abstractNumId w:val="48"/>
  </w:num>
  <w:num w:numId="51" w16cid:durableId="1571192011">
    <w:abstractNumId w:val="21"/>
  </w:num>
  <w:num w:numId="52" w16cid:durableId="1941184639">
    <w:abstractNumId w:val="13"/>
  </w:num>
  <w:num w:numId="53" w16cid:durableId="434402238">
    <w:abstractNumId w:val="60"/>
  </w:num>
  <w:num w:numId="54" w16cid:durableId="331613614">
    <w:abstractNumId w:val="25"/>
  </w:num>
  <w:num w:numId="55" w16cid:durableId="11340856">
    <w:abstractNumId w:val="32"/>
  </w:num>
  <w:num w:numId="56" w16cid:durableId="1461877147">
    <w:abstractNumId w:val="7"/>
  </w:num>
  <w:num w:numId="57" w16cid:durableId="281155033">
    <w:abstractNumId w:val="59"/>
  </w:num>
  <w:num w:numId="58" w16cid:durableId="419643853">
    <w:abstractNumId w:val="12"/>
  </w:num>
  <w:num w:numId="59" w16cid:durableId="1004477748">
    <w:abstractNumId w:val="17"/>
  </w:num>
  <w:num w:numId="60" w16cid:durableId="1254126259">
    <w:abstractNumId w:val="51"/>
  </w:num>
  <w:num w:numId="61" w16cid:durableId="1714378261">
    <w:abstractNumId w:val="28"/>
  </w:num>
  <w:num w:numId="62" w16cid:durableId="1073284367">
    <w:abstractNumId w:val="9"/>
  </w:num>
  <w:num w:numId="63" w16cid:durableId="1576206720">
    <w:abstractNumId w:val="23"/>
  </w:num>
  <w:num w:numId="64" w16cid:durableId="847209840">
    <w:abstractNumId w:val="64"/>
  </w:num>
  <w:num w:numId="65" w16cid:durableId="885027530">
    <w:abstractNumId w:val="22"/>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cca Levin">
    <w15:presenceInfo w15:providerId="AD" w15:userId="S::BLevin@segotx.com::08c76d0b-4d1f-44f5-8508-8653b2f54768"/>
  </w15:person>
  <w15:person w15:author="Richard Tavare">
    <w15:presenceInfo w15:providerId="AD" w15:userId="S::RTavare@segotx.com::c4c295fe-002f-4faa-a227-1c0d4cbd61fc"/>
  </w15:person>
  <w15:person w15:author="Greg Mullen">
    <w15:presenceInfo w15:providerId="AD" w15:userId="S::GMullen@segotx.com::15d9f696-28c4-4111-b985-4ee728509f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60"/>
    <w:rsid w:val="00000234"/>
    <w:rsid w:val="00000B6B"/>
    <w:rsid w:val="00001D65"/>
    <w:rsid w:val="00004135"/>
    <w:rsid w:val="00004615"/>
    <w:rsid w:val="00005EFE"/>
    <w:rsid w:val="00006E26"/>
    <w:rsid w:val="00007380"/>
    <w:rsid w:val="00010D4C"/>
    <w:rsid w:val="00012D71"/>
    <w:rsid w:val="000149FA"/>
    <w:rsid w:val="00015609"/>
    <w:rsid w:val="00016213"/>
    <w:rsid w:val="000165EC"/>
    <w:rsid w:val="00016A03"/>
    <w:rsid w:val="00021627"/>
    <w:rsid w:val="00021DB2"/>
    <w:rsid w:val="00023674"/>
    <w:rsid w:val="00024964"/>
    <w:rsid w:val="00025879"/>
    <w:rsid w:val="00026D10"/>
    <w:rsid w:val="00030DAA"/>
    <w:rsid w:val="000325B9"/>
    <w:rsid w:val="00032C43"/>
    <w:rsid w:val="00036F61"/>
    <w:rsid w:val="00037490"/>
    <w:rsid w:val="000375A3"/>
    <w:rsid w:val="00037714"/>
    <w:rsid w:val="00037ACB"/>
    <w:rsid w:val="00040579"/>
    <w:rsid w:val="00040763"/>
    <w:rsid w:val="000407E3"/>
    <w:rsid w:val="00040999"/>
    <w:rsid w:val="000415CB"/>
    <w:rsid w:val="0004305C"/>
    <w:rsid w:val="00045710"/>
    <w:rsid w:val="00045F1F"/>
    <w:rsid w:val="00046341"/>
    <w:rsid w:val="00046BE0"/>
    <w:rsid w:val="00046C7D"/>
    <w:rsid w:val="00053960"/>
    <w:rsid w:val="00053B71"/>
    <w:rsid w:val="0006095A"/>
    <w:rsid w:val="00061853"/>
    <w:rsid w:val="00062198"/>
    <w:rsid w:val="00063F0C"/>
    <w:rsid w:val="000648DF"/>
    <w:rsid w:val="00065C3C"/>
    <w:rsid w:val="00070364"/>
    <w:rsid w:val="00070486"/>
    <w:rsid w:val="00071115"/>
    <w:rsid w:val="000719FE"/>
    <w:rsid w:val="00072623"/>
    <w:rsid w:val="00072BB9"/>
    <w:rsid w:val="00074467"/>
    <w:rsid w:val="00074847"/>
    <w:rsid w:val="0007546A"/>
    <w:rsid w:val="00075789"/>
    <w:rsid w:val="00080766"/>
    <w:rsid w:val="00085960"/>
    <w:rsid w:val="0008766C"/>
    <w:rsid w:val="00087B75"/>
    <w:rsid w:val="0009000C"/>
    <w:rsid w:val="00091570"/>
    <w:rsid w:val="00092EDD"/>
    <w:rsid w:val="00095496"/>
    <w:rsid w:val="00097CC0"/>
    <w:rsid w:val="000A1812"/>
    <w:rsid w:val="000A3608"/>
    <w:rsid w:val="000A6BA2"/>
    <w:rsid w:val="000B0021"/>
    <w:rsid w:val="000B0E0A"/>
    <w:rsid w:val="000B2875"/>
    <w:rsid w:val="000B2C4C"/>
    <w:rsid w:val="000B6ADC"/>
    <w:rsid w:val="000C03A2"/>
    <w:rsid w:val="000C1FCF"/>
    <w:rsid w:val="000C25F3"/>
    <w:rsid w:val="000C3489"/>
    <w:rsid w:val="000C41AA"/>
    <w:rsid w:val="000C5605"/>
    <w:rsid w:val="000C59F3"/>
    <w:rsid w:val="000D021B"/>
    <w:rsid w:val="000D09F1"/>
    <w:rsid w:val="000D168E"/>
    <w:rsid w:val="000D1838"/>
    <w:rsid w:val="000D222B"/>
    <w:rsid w:val="000D2F85"/>
    <w:rsid w:val="000D4E37"/>
    <w:rsid w:val="000E0290"/>
    <w:rsid w:val="000E0C5A"/>
    <w:rsid w:val="000E0C79"/>
    <w:rsid w:val="000E0FDD"/>
    <w:rsid w:val="000E22B1"/>
    <w:rsid w:val="000E4BA0"/>
    <w:rsid w:val="000E6E27"/>
    <w:rsid w:val="000E708E"/>
    <w:rsid w:val="000F39A9"/>
    <w:rsid w:val="000F44E7"/>
    <w:rsid w:val="000F62D0"/>
    <w:rsid w:val="000F7585"/>
    <w:rsid w:val="000F79EC"/>
    <w:rsid w:val="000F7AD8"/>
    <w:rsid w:val="0010205D"/>
    <w:rsid w:val="00103628"/>
    <w:rsid w:val="00103C62"/>
    <w:rsid w:val="0010480E"/>
    <w:rsid w:val="00107D41"/>
    <w:rsid w:val="001111E1"/>
    <w:rsid w:val="001117AC"/>
    <w:rsid w:val="00111F4F"/>
    <w:rsid w:val="00112A72"/>
    <w:rsid w:val="00116A2A"/>
    <w:rsid w:val="001179AA"/>
    <w:rsid w:val="0012516D"/>
    <w:rsid w:val="00125484"/>
    <w:rsid w:val="001274ED"/>
    <w:rsid w:val="001314E2"/>
    <w:rsid w:val="001361D7"/>
    <w:rsid w:val="00136F12"/>
    <w:rsid w:val="00137F67"/>
    <w:rsid w:val="0014168D"/>
    <w:rsid w:val="0014259A"/>
    <w:rsid w:val="0014335F"/>
    <w:rsid w:val="001436E1"/>
    <w:rsid w:val="00146026"/>
    <w:rsid w:val="00146B49"/>
    <w:rsid w:val="00147B53"/>
    <w:rsid w:val="00147BE7"/>
    <w:rsid w:val="001505B7"/>
    <w:rsid w:val="00150962"/>
    <w:rsid w:val="00151C73"/>
    <w:rsid w:val="00154D71"/>
    <w:rsid w:val="0015538D"/>
    <w:rsid w:val="001568A5"/>
    <w:rsid w:val="001579CD"/>
    <w:rsid w:val="00157F27"/>
    <w:rsid w:val="00162F6F"/>
    <w:rsid w:val="0016397E"/>
    <w:rsid w:val="00173763"/>
    <w:rsid w:val="00173D40"/>
    <w:rsid w:val="00173D91"/>
    <w:rsid w:val="00174091"/>
    <w:rsid w:val="00175607"/>
    <w:rsid w:val="00177454"/>
    <w:rsid w:val="00180018"/>
    <w:rsid w:val="00180111"/>
    <w:rsid w:val="00180887"/>
    <w:rsid w:val="00182DEC"/>
    <w:rsid w:val="00184E4A"/>
    <w:rsid w:val="00186CD2"/>
    <w:rsid w:val="00190C80"/>
    <w:rsid w:val="0019201A"/>
    <w:rsid w:val="00192433"/>
    <w:rsid w:val="0019567C"/>
    <w:rsid w:val="00196095"/>
    <w:rsid w:val="00196A19"/>
    <w:rsid w:val="00196CB3"/>
    <w:rsid w:val="0019734B"/>
    <w:rsid w:val="001977FD"/>
    <w:rsid w:val="001A3018"/>
    <w:rsid w:val="001A3E70"/>
    <w:rsid w:val="001A622B"/>
    <w:rsid w:val="001B0FB1"/>
    <w:rsid w:val="001B3E27"/>
    <w:rsid w:val="001B622B"/>
    <w:rsid w:val="001B7E63"/>
    <w:rsid w:val="001C18EB"/>
    <w:rsid w:val="001C1C40"/>
    <w:rsid w:val="001C5C44"/>
    <w:rsid w:val="001C7E37"/>
    <w:rsid w:val="001D0A39"/>
    <w:rsid w:val="001D5F02"/>
    <w:rsid w:val="001D6043"/>
    <w:rsid w:val="001D6534"/>
    <w:rsid w:val="001E07DE"/>
    <w:rsid w:val="001E3E52"/>
    <w:rsid w:val="001E3EAE"/>
    <w:rsid w:val="001E6273"/>
    <w:rsid w:val="001E78E1"/>
    <w:rsid w:val="001E794A"/>
    <w:rsid w:val="001E7EC3"/>
    <w:rsid w:val="001F0DD2"/>
    <w:rsid w:val="001F257E"/>
    <w:rsid w:val="001F26A1"/>
    <w:rsid w:val="001F2851"/>
    <w:rsid w:val="001F2CA6"/>
    <w:rsid w:val="001F370B"/>
    <w:rsid w:val="001F4EEF"/>
    <w:rsid w:val="001F52DE"/>
    <w:rsid w:val="001F6338"/>
    <w:rsid w:val="001F76E9"/>
    <w:rsid w:val="0020084D"/>
    <w:rsid w:val="00201F56"/>
    <w:rsid w:val="002022CE"/>
    <w:rsid w:val="00202C95"/>
    <w:rsid w:val="002034DF"/>
    <w:rsid w:val="00204B51"/>
    <w:rsid w:val="00205737"/>
    <w:rsid w:val="00206E17"/>
    <w:rsid w:val="00206FA2"/>
    <w:rsid w:val="0020713B"/>
    <w:rsid w:val="00211EAA"/>
    <w:rsid w:val="00212316"/>
    <w:rsid w:val="002144DF"/>
    <w:rsid w:val="0021482A"/>
    <w:rsid w:val="00217A38"/>
    <w:rsid w:val="00217CD5"/>
    <w:rsid w:val="00220AD8"/>
    <w:rsid w:val="00220C59"/>
    <w:rsid w:val="00222A09"/>
    <w:rsid w:val="00222E0D"/>
    <w:rsid w:val="0022368A"/>
    <w:rsid w:val="00224AD0"/>
    <w:rsid w:val="00226424"/>
    <w:rsid w:val="00226695"/>
    <w:rsid w:val="00227A51"/>
    <w:rsid w:val="00231419"/>
    <w:rsid w:val="00240407"/>
    <w:rsid w:val="0024186E"/>
    <w:rsid w:val="0024387E"/>
    <w:rsid w:val="002455F1"/>
    <w:rsid w:val="00246319"/>
    <w:rsid w:val="00251073"/>
    <w:rsid w:val="002510C9"/>
    <w:rsid w:val="00252637"/>
    <w:rsid w:val="00253A33"/>
    <w:rsid w:val="00253C37"/>
    <w:rsid w:val="00256517"/>
    <w:rsid w:val="00257BEB"/>
    <w:rsid w:val="00261FA0"/>
    <w:rsid w:val="00262A13"/>
    <w:rsid w:val="002636CF"/>
    <w:rsid w:val="00265142"/>
    <w:rsid w:val="00266076"/>
    <w:rsid w:val="0027087C"/>
    <w:rsid w:val="00270D87"/>
    <w:rsid w:val="0027122F"/>
    <w:rsid w:val="00273036"/>
    <w:rsid w:val="00274194"/>
    <w:rsid w:val="00274346"/>
    <w:rsid w:val="00277064"/>
    <w:rsid w:val="002771AC"/>
    <w:rsid w:val="00280B51"/>
    <w:rsid w:val="00281A77"/>
    <w:rsid w:val="00282F40"/>
    <w:rsid w:val="00283866"/>
    <w:rsid w:val="002855B5"/>
    <w:rsid w:val="00293E84"/>
    <w:rsid w:val="002944EB"/>
    <w:rsid w:val="00294DB3"/>
    <w:rsid w:val="0029581F"/>
    <w:rsid w:val="00297127"/>
    <w:rsid w:val="002A182C"/>
    <w:rsid w:val="002A22C5"/>
    <w:rsid w:val="002A3DD2"/>
    <w:rsid w:val="002A5F55"/>
    <w:rsid w:val="002A65DD"/>
    <w:rsid w:val="002A74CD"/>
    <w:rsid w:val="002A7BB8"/>
    <w:rsid w:val="002A7C3C"/>
    <w:rsid w:val="002B0D88"/>
    <w:rsid w:val="002B149E"/>
    <w:rsid w:val="002B1937"/>
    <w:rsid w:val="002B2BB6"/>
    <w:rsid w:val="002B2DB3"/>
    <w:rsid w:val="002B4639"/>
    <w:rsid w:val="002B4C14"/>
    <w:rsid w:val="002B6A8E"/>
    <w:rsid w:val="002B6C05"/>
    <w:rsid w:val="002C07FA"/>
    <w:rsid w:val="002C0D66"/>
    <w:rsid w:val="002C16E1"/>
    <w:rsid w:val="002C1A2E"/>
    <w:rsid w:val="002C4BCB"/>
    <w:rsid w:val="002C7E3E"/>
    <w:rsid w:val="002D013A"/>
    <w:rsid w:val="002D0B69"/>
    <w:rsid w:val="002D13AF"/>
    <w:rsid w:val="002D4627"/>
    <w:rsid w:val="002D4A89"/>
    <w:rsid w:val="002D5AB9"/>
    <w:rsid w:val="002D765F"/>
    <w:rsid w:val="002E11F2"/>
    <w:rsid w:val="002E64A4"/>
    <w:rsid w:val="002F06E4"/>
    <w:rsid w:val="002F08F3"/>
    <w:rsid w:val="002F0D2A"/>
    <w:rsid w:val="002F1745"/>
    <w:rsid w:val="002F322C"/>
    <w:rsid w:val="002F55C9"/>
    <w:rsid w:val="002F7FB8"/>
    <w:rsid w:val="0030151B"/>
    <w:rsid w:val="003017F9"/>
    <w:rsid w:val="00302206"/>
    <w:rsid w:val="00305E7C"/>
    <w:rsid w:val="00307F9D"/>
    <w:rsid w:val="00311318"/>
    <w:rsid w:val="00312D68"/>
    <w:rsid w:val="003144F8"/>
    <w:rsid w:val="00322FD7"/>
    <w:rsid w:val="00325D44"/>
    <w:rsid w:val="00326145"/>
    <w:rsid w:val="00326AB4"/>
    <w:rsid w:val="0032781F"/>
    <w:rsid w:val="003301AB"/>
    <w:rsid w:val="00330F5F"/>
    <w:rsid w:val="0033367F"/>
    <w:rsid w:val="0033453A"/>
    <w:rsid w:val="00335769"/>
    <w:rsid w:val="003407F2"/>
    <w:rsid w:val="003416A5"/>
    <w:rsid w:val="0034665E"/>
    <w:rsid w:val="00346D85"/>
    <w:rsid w:val="00347DB9"/>
    <w:rsid w:val="00350126"/>
    <w:rsid w:val="00350C0C"/>
    <w:rsid w:val="00356CD8"/>
    <w:rsid w:val="00357713"/>
    <w:rsid w:val="00357E3C"/>
    <w:rsid w:val="003617A8"/>
    <w:rsid w:val="0036300A"/>
    <w:rsid w:val="003630BE"/>
    <w:rsid w:val="00363ECD"/>
    <w:rsid w:val="003642BA"/>
    <w:rsid w:val="003642FD"/>
    <w:rsid w:val="0036534D"/>
    <w:rsid w:val="003659D2"/>
    <w:rsid w:val="00365B8C"/>
    <w:rsid w:val="00370C52"/>
    <w:rsid w:val="00371946"/>
    <w:rsid w:val="00372A81"/>
    <w:rsid w:val="00373A69"/>
    <w:rsid w:val="003742E2"/>
    <w:rsid w:val="00374742"/>
    <w:rsid w:val="003747BE"/>
    <w:rsid w:val="00375019"/>
    <w:rsid w:val="003805C5"/>
    <w:rsid w:val="00380C9D"/>
    <w:rsid w:val="0038173A"/>
    <w:rsid w:val="00381FCD"/>
    <w:rsid w:val="00382D00"/>
    <w:rsid w:val="00384770"/>
    <w:rsid w:val="00385204"/>
    <w:rsid w:val="0038710D"/>
    <w:rsid w:val="00390DD7"/>
    <w:rsid w:val="0039141A"/>
    <w:rsid w:val="003938AF"/>
    <w:rsid w:val="003943E9"/>
    <w:rsid w:val="00396115"/>
    <w:rsid w:val="003A1050"/>
    <w:rsid w:val="003A1FA0"/>
    <w:rsid w:val="003A2EE5"/>
    <w:rsid w:val="003A2EF5"/>
    <w:rsid w:val="003A3435"/>
    <w:rsid w:val="003A349F"/>
    <w:rsid w:val="003A358B"/>
    <w:rsid w:val="003A4A3C"/>
    <w:rsid w:val="003A5C2B"/>
    <w:rsid w:val="003A64A1"/>
    <w:rsid w:val="003B0E09"/>
    <w:rsid w:val="003B18EA"/>
    <w:rsid w:val="003B2739"/>
    <w:rsid w:val="003B2C3F"/>
    <w:rsid w:val="003B47B0"/>
    <w:rsid w:val="003B5B1B"/>
    <w:rsid w:val="003B5DB8"/>
    <w:rsid w:val="003B613D"/>
    <w:rsid w:val="003B7AC9"/>
    <w:rsid w:val="003B7D93"/>
    <w:rsid w:val="003C22A6"/>
    <w:rsid w:val="003C5E47"/>
    <w:rsid w:val="003C6F87"/>
    <w:rsid w:val="003C7943"/>
    <w:rsid w:val="003D3AD7"/>
    <w:rsid w:val="003D469C"/>
    <w:rsid w:val="003D69BF"/>
    <w:rsid w:val="003D6D8C"/>
    <w:rsid w:val="003E0D9B"/>
    <w:rsid w:val="003E2D52"/>
    <w:rsid w:val="003E2F32"/>
    <w:rsid w:val="003E39C1"/>
    <w:rsid w:val="003E4435"/>
    <w:rsid w:val="003E6595"/>
    <w:rsid w:val="003E7B99"/>
    <w:rsid w:val="003F12C0"/>
    <w:rsid w:val="003F2A99"/>
    <w:rsid w:val="00400C47"/>
    <w:rsid w:val="0040193B"/>
    <w:rsid w:val="00402A04"/>
    <w:rsid w:val="00405693"/>
    <w:rsid w:val="004056CD"/>
    <w:rsid w:val="00407648"/>
    <w:rsid w:val="00411C72"/>
    <w:rsid w:val="00411D31"/>
    <w:rsid w:val="0041471A"/>
    <w:rsid w:val="00414842"/>
    <w:rsid w:val="00416A23"/>
    <w:rsid w:val="004205F6"/>
    <w:rsid w:val="00423C04"/>
    <w:rsid w:val="0042596F"/>
    <w:rsid w:val="00426739"/>
    <w:rsid w:val="00430A20"/>
    <w:rsid w:val="0043188D"/>
    <w:rsid w:val="0043699B"/>
    <w:rsid w:val="00437A36"/>
    <w:rsid w:val="00437B2B"/>
    <w:rsid w:val="00442B2D"/>
    <w:rsid w:val="00444DBA"/>
    <w:rsid w:val="00446B1E"/>
    <w:rsid w:val="0045211A"/>
    <w:rsid w:val="00453C7C"/>
    <w:rsid w:val="00454DFD"/>
    <w:rsid w:val="004557E4"/>
    <w:rsid w:val="00457C7E"/>
    <w:rsid w:val="00460D33"/>
    <w:rsid w:val="0046294D"/>
    <w:rsid w:val="004629AE"/>
    <w:rsid w:val="00462D8D"/>
    <w:rsid w:val="00463DFF"/>
    <w:rsid w:val="0046512C"/>
    <w:rsid w:val="004658D2"/>
    <w:rsid w:val="00466BB7"/>
    <w:rsid w:val="00471C01"/>
    <w:rsid w:val="00474DD3"/>
    <w:rsid w:val="00476CD8"/>
    <w:rsid w:val="00477B3D"/>
    <w:rsid w:val="00477F61"/>
    <w:rsid w:val="004815F6"/>
    <w:rsid w:val="00482760"/>
    <w:rsid w:val="00483137"/>
    <w:rsid w:val="004841D6"/>
    <w:rsid w:val="00484DA5"/>
    <w:rsid w:val="00484E3D"/>
    <w:rsid w:val="00486F3F"/>
    <w:rsid w:val="00493C44"/>
    <w:rsid w:val="004958B6"/>
    <w:rsid w:val="00496AF2"/>
    <w:rsid w:val="00496D32"/>
    <w:rsid w:val="00497463"/>
    <w:rsid w:val="00497A99"/>
    <w:rsid w:val="004A188B"/>
    <w:rsid w:val="004A4B54"/>
    <w:rsid w:val="004A51B3"/>
    <w:rsid w:val="004A595C"/>
    <w:rsid w:val="004A5963"/>
    <w:rsid w:val="004A65D5"/>
    <w:rsid w:val="004A7500"/>
    <w:rsid w:val="004B0150"/>
    <w:rsid w:val="004B24AB"/>
    <w:rsid w:val="004B4C4E"/>
    <w:rsid w:val="004B7867"/>
    <w:rsid w:val="004C0BEB"/>
    <w:rsid w:val="004C1162"/>
    <w:rsid w:val="004C1862"/>
    <w:rsid w:val="004C27E7"/>
    <w:rsid w:val="004C2B0E"/>
    <w:rsid w:val="004C5FDF"/>
    <w:rsid w:val="004C6095"/>
    <w:rsid w:val="004C6B2D"/>
    <w:rsid w:val="004D1C36"/>
    <w:rsid w:val="004D29B9"/>
    <w:rsid w:val="004D4945"/>
    <w:rsid w:val="004D4A2B"/>
    <w:rsid w:val="004E15CD"/>
    <w:rsid w:val="004E405A"/>
    <w:rsid w:val="004E4135"/>
    <w:rsid w:val="004E4D4E"/>
    <w:rsid w:val="004E64D5"/>
    <w:rsid w:val="004E6A03"/>
    <w:rsid w:val="004E7721"/>
    <w:rsid w:val="004F2C91"/>
    <w:rsid w:val="004F3802"/>
    <w:rsid w:val="004F44C1"/>
    <w:rsid w:val="004F518A"/>
    <w:rsid w:val="004F5E79"/>
    <w:rsid w:val="004F7E84"/>
    <w:rsid w:val="00500FBD"/>
    <w:rsid w:val="00501E9C"/>
    <w:rsid w:val="00502264"/>
    <w:rsid w:val="00503D1E"/>
    <w:rsid w:val="00504B9C"/>
    <w:rsid w:val="005062C2"/>
    <w:rsid w:val="0050642D"/>
    <w:rsid w:val="00506AB6"/>
    <w:rsid w:val="00507146"/>
    <w:rsid w:val="00507A77"/>
    <w:rsid w:val="00507A91"/>
    <w:rsid w:val="00511E7E"/>
    <w:rsid w:val="00511F1D"/>
    <w:rsid w:val="00512326"/>
    <w:rsid w:val="005140DC"/>
    <w:rsid w:val="0051416D"/>
    <w:rsid w:val="005147F2"/>
    <w:rsid w:val="00523950"/>
    <w:rsid w:val="00525EB2"/>
    <w:rsid w:val="00526F8A"/>
    <w:rsid w:val="005340D6"/>
    <w:rsid w:val="00534F80"/>
    <w:rsid w:val="00536064"/>
    <w:rsid w:val="00536141"/>
    <w:rsid w:val="00536D7C"/>
    <w:rsid w:val="00540DDA"/>
    <w:rsid w:val="005412D0"/>
    <w:rsid w:val="00541855"/>
    <w:rsid w:val="00543312"/>
    <w:rsid w:val="00547BBD"/>
    <w:rsid w:val="00551B31"/>
    <w:rsid w:val="00552348"/>
    <w:rsid w:val="00554DE2"/>
    <w:rsid w:val="00555A80"/>
    <w:rsid w:val="00555ED9"/>
    <w:rsid w:val="005601C1"/>
    <w:rsid w:val="00562629"/>
    <w:rsid w:val="00566BE3"/>
    <w:rsid w:val="005671A1"/>
    <w:rsid w:val="0057074F"/>
    <w:rsid w:val="005711BB"/>
    <w:rsid w:val="00571D1E"/>
    <w:rsid w:val="00571F20"/>
    <w:rsid w:val="00576EEE"/>
    <w:rsid w:val="00580186"/>
    <w:rsid w:val="00582B19"/>
    <w:rsid w:val="00583915"/>
    <w:rsid w:val="0058451E"/>
    <w:rsid w:val="00584F55"/>
    <w:rsid w:val="005854B6"/>
    <w:rsid w:val="00585FF9"/>
    <w:rsid w:val="0058614E"/>
    <w:rsid w:val="00586B64"/>
    <w:rsid w:val="005876C8"/>
    <w:rsid w:val="00592211"/>
    <w:rsid w:val="00594AA9"/>
    <w:rsid w:val="005967D9"/>
    <w:rsid w:val="00597F2E"/>
    <w:rsid w:val="005A02E6"/>
    <w:rsid w:val="005A3D53"/>
    <w:rsid w:val="005A4E46"/>
    <w:rsid w:val="005A6A30"/>
    <w:rsid w:val="005B03E3"/>
    <w:rsid w:val="005B156A"/>
    <w:rsid w:val="005B1ABD"/>
    <w:rsid w:val="005B22CE"/>
    <w:rsid w:val="005B23BE"/>
    <w:rsid w:val="005B35B7"/>
    <w:rsid w:val="005B5CCF"/>
    <w:rsid w:val="005B67EC"/>
    <w:rsid w:val="005C0371"/>
    <w:rsid w:val="005C21E5"/>
    <w:rsid w:val="005C262C"/>
    <w:rsid w:val="005C3C8A"/>
    <w:rsid w:val="005C4E09"/>
    <w:rsid w:val="005C5BFB"/>
    <w:rsid w:val="005C6797"/>
    <w:rsid w:val="005C6B5F"/>
    <w:rsid w:val="005D535E"/>
    <w:rsid w:val="005D55CC"/>
    <w:rsid w:val="005D6284"/>
    <w:rsid w:val="005D6FEC"/>
    <w:rsid w:val="005E1268"/>
    <w:rsid w:val="005E2017"/>
    <w:rsid w:val="005E2E1C"/>
    <w:rsid w:val="005E380B"/>
    <w:rsid w:val="005E420D"/>
    <w:rsid w:val="005E49E8"/>
    <w:rsid w:val="005E68B3"/>
    <w:rsid w:val="005F07E5"/>
    <w:rsid w:val="005F1A5E"/>
    <w:rsid w:val="005F22A1"/>
    <w:rsid w:val="005F3980"/>
    <w:rsid w:val="005F4446"/>
    <w:rsid w:val="005F7FEC"/>
    <w:rsid w:val="0060095C"/>
    <w:rsid w:val="006026C2"/>
    <w:rsid w:val="00606DEF"/>
    <w:rsid w:val="00610107"/>
    <w:rsid w:val="00610EE8"/>
    <w:rsid w:val="0061148F"/>
    <w:rsid w:val="0061512C"/>
    <w:rsid w:val="00621F6E"/>
    <w:rsid w:val="006259AE"/>
    <w:rsid w:val="00625EC9"/>
    <w:rsid w:val="006309BA"/>
    <w:rsid w:val="006326AE"/>
    <w:rsid w:val="00633AC5"/>
    <w:rsid w:val="00635144"/>
    <w:rsid w:val="00637186"/>
    <w:rsid w:val="00637236"/>
    <w:rsid w:val="0063751C"/>
    <w:rsid w:val="00637EFF"/>
    <w:rsid w:val="00640A3E"/>
    <w:rsid w:val="00641DBF"/>
    <w:rsid w:val="0064225C"/>
    <w:rsid w:val="0064327E"/>
    <w:rsid w:val="0064555F"/>
    <w:rsid w:val="00646356"/>
    <w:rsid w:val="0064659B"/>
    <w:rsid w:val="00646B94"/>
    <w:rsid w:val="00650A32"/>
    <w:rsid w:val="00650F86"/>
    <w:rsid w:val="00654333"/>
    <w:rsid w:val="00654359"/>
    <w:rsid w:val="00655825"/>
    <w:rsid w:val="00660688"/>
    <w:rsid w:val="00663DF0"/>
    <w:rsid w:val="00670A8B"/>
    <w:rsid w:val="00670DFB"/>
    <w:rsid w:val="006721B8"/>
    <w:rsid w:val="0067454A"/>
    <w:rsid w:val="006762F0"/>
    <w:rsid w:val="006769F7"/>
    <w:rsid w:val="00677D16"/>
    <w:rsid w:val="00677E29"/>
    <w:rsid w:val="00681DDE"/>
    <w:rsid w:val="006827E2"/>
    <w:rsid w:val="0068311C"/>
    <w:rsid w:val="006848CB"/>
    <w:rsid w:val="006867AE"/>
    <w:rsid w:val="00692211"/>
    <w:rsid w:val="00692628"/>
    <w:rsid w:val="006932F8"/>
    <w:rsid w:val="00694585"/>
    <w:rsid w:val="0069459B"/>
    <w:rsid w:val="00694BC2"/>
    <w:rsid w:val="0069670D"/>
    <w:rsid w:val="00696BC7"/>
    <w:rsid w:val="00697CF9"/>
    <w:rsid w:val="006A03F9"/>
    <w:rsid w:val="006A0D80"/>
    <w:rsid w:val="006A13EA"/>
    <w:rsid w:val="006A19CB"/>
    <w:rsid w:val="006A5014"/>
    <w:rsid w:val="006A5351"/>
    <w:rsid w:val="006A714A"/>
    <w:rsid w:val="006B0C13"/>
    <w:rsid w:val="006B0CBD"/>
    <w:rsid w:val="006B221D"/>
    <w:rsid w:val="006B2BD9"/>
    <w:rsid w:val="006B3016"/>
    <w:rsid w:val="006B4AA8"/>
    <w:rsid w:val="006C01AB"/>
    <w:rsid w:val="006C0F9F"/>
    <w:rsid w:val="006C7E43"/>
    <w:rsid w:val="006D0F9D"/>
    <w:rsid w:val="006D28F9"/>
    <w:rsid w:val="006D35F3"/>
    <w:rsid w:val="006D738F"/>
    <w:rsid w:val="006D7878"/>
    <w:rsid w:val="006E03A6"/>
    <w:rsid w:val="006E1615"/>
    <w:rsid w:val="006E1AE8"/>
    <w:rsid w:val="006E2A00"/>
    <w:rsid w:val="006E4BD3"/>
    <w:rsid w:val="006E4CC5"/>
    <w:rsid w:val="006E59BB"/>
    <w:rsid w:val="006E5FAA"/>
    <w:rsid w:val="006E6504"/>
    <w:rsid w:val="006E65B2"/>
    <w:rsid w:val="006E6D0E"/>
    <w:rsid w:val="006F03D3"/>
    <w:rsid w:val="006F1E4A"/>
    <w:rsid w:val="006F271B"/>
    <w:rsid w:val="006F32AA"/>
    <w:rsid w:val="006F349A"/>
    <w:rsid w:val="006F3A32"/>
    <w:rsid w:val="006F7733"/>
    <w:rsid w:val="006F7917"/>
    <w:rsid w:val="006F79CE"/>
    <w:rsid w:val="006F7DF1"/>
    <w:rsid w:val="0070294E"/>
    <w:rsid w:val="00703172"/>
    <w:rsid w:val="007058E2"/>
    <w:rsid w:val="00706AD5"/>
    <w:rsid w:val="007074D1"/>
    <w:rsid w:val="00711D0C"/>
    <w:rsid w:val="007162BE"/>
    <w:rsid w:val="00717F9D"/>
    <w:rsid w:val="00720E99"/>
    <w:rsid w:val="00723E95"/>
    <w:rsid w:val="0072641C"/>
    <w:rsid w:val="00727067"/>
    <w:rsid w:val="00727F46"/>
    <w:rsid w:val="00730287"/>
    <w:rsid w:val="00732AD3"/>
    <w:rsid w:val="00741CE0"/>
    <w:rsid w:val="0074652F"/>
    <w:rsid w:val="007505F1"/>
    <w:rsid w:val="00750833"/>
    <w:rsid w:val="007508E1"/>
    <w:rsid w:val="00752741"/>
    <w:rsid w:val="00754316"/>
    <w:rsid w:val="0075601A"/>
    <w:rsid w:val="007571BF"/>
    <w:rsid w:val="00757593"/>
    <w:rsid w:val="00757AEA"/>
    <w:rsid w:val="007611CE"/>
    <w:rsid w:val="00761BAF"/>
    <w:rsid w:val="00762D64"/>
    <w:rsid w:val="00765DE7"/>
    <w:rsid w:val="00766494"/>
    <w:rsid w:val="00766FBC"/>
    <w:rsid w:val="00767AB3"/>
    <w:rsid w:val="00767F4B"/>
    <w:rsid w:val="00771D81"/>
    <w:rsid w:val="00775C3C"/>
    <w:rsid w:val="00776443"/>
    <w:rsid w:val="00776E6F"/>
    <w:rsid w:val="007803C1"/>
    <w:rsid w:val="00781371"/>
    <w:rsid w:val="0078149A"/>
    <w:rsid w:val="00781C6E"/>
    <w:rsid w:val="00782602"/>
    <w:rsid w:val="00782F32"/>
    <w:rsid w:val="00783337"/>
    <w:rsid w:val="00784305"/>
    <w:rsid w:val="00784C71"/>
    <w:rsid w:val="00790853"/>
    <w:rsid w:val="00791231"/>
    <w:rsid w:val="00793A73"/>
    <w:rsid w:val="00795468"/>
    <w:rsid w:val="007A0322"/>
    <w:rsid w:val="007A1039"/>
    <w:rsid w:val="007A144D"/>
    <w:rsid w:val="007A179E"/>
    <w:rsid w:val="007A409E"/>
    <w:rsid w:val="007A4191"/>
    <w:rsid w:val="007A44C1"/>
    <w:rsid w:val="007A5C8A"/>
    <w:rsid w:val="007A631B"/>
    <w:rsid w:val="007A68B1"/>
    <w:rsid w:val="007A7338"/>
    <w:rsid w:val="007B1E6C"/>
    <w:rsid w:val="007B1EB8"/>
    <w:rsid w:val="007B1F77"/>
    <w:rsid w:val="007B4EA0"/>
    <w:rsid w:val="007B5401"/>
    <w:rsid w:val="007B5D03"/>
    <w:rsid w:val="007B5FD3"/>
    <w:rsid w:val="007B6517"/>
    <w:rsid w:val="007C2C7B"/>
    <w:rsid w:val="007C2E80"/>
    <w:rsid w:val="007C397F"/>
    <w:rsid w:val="007C3C86"/>
    <w:rsid w:val="007C6525"/>
    <w:rsid w:val="007C6801"/>
    <w:rsid w:val="007C6B74"/>
    <w:rsid w:val="007D0A8A"/>
    <w:rsid w:val="007D0E5D"/>
    <w:rsid w:val="007D0E62"/>
    <w:rsid w:val="007D0E6C"/>
    <w:rsid w:val="007D1EA2"/>
    <w:rsid w:val="007D26AB"/>
    <w:rsid w:val="007D2731"/>
    <w:rsid w:val="007D54B3"/>
    <w:rsid w:val="007D578D"/>
    <w:rsid w:val="007D6635"/>
    <w:rsid w:val="007E16C5"/>
    <w:rsid w:val="007E2355"/>
    <w:rsid w:val="007E2CA2"/>
    <w:rsid w:val="007E32F5"/>
    <w:rsid w:val="007E7615"/>
    <w:rsid w:val="007E76D5"/>
    <w:rsid w:val="007F1B3B"/>
    <w:rsid w:val="007F3A9E"/>
    <w:rsid w:val="007F4523"/>
    <w:rsid w:val="007F50EC"/>
    <w:rsid w:val="007F570B"/>
    <w:rsid w:val="007F720F"/>
    <w:rsid w:val="00800760"/>
    <w:rsid w:val="00800E75"/>
    <w:rsid w:val="00804BA6"/>
    <w:rsid w:val="00804D80"/>
    <w:rsid w:val="0080603B"/>
    <w:rsid w:val="008127F8"/>
    <w:rsid w:val="0081325B"/>
    <w:rsid w:val="00814442"/>
    <w:rsid w:val="00816764"/>
    <w:rsid w:val="008226A5"/>
    <w:rsid w:val="0082313A"/>
    <w:rsid w:val="0082388B"/>
    <w:rsid w:val="0082574A"/>
    <w:rsid w:val="00831405"/>
    <w:rsid w:val="0083141E"/>
    <w:rsid w:val="00831638"/>
    <w:rsid w:val="008318DF"/>
    <w:rsid w:val="00833392"/>
    <w:rsid w:val="0083528F"/>
    <w:rsid w:val="00836457"/>
    <w:rsid w:val="00840667"/>
    <w:rsid w:val="00842206"/>
    <w:rsid w:val="00845F07"/>
    <w:rsid w:val="0084618D"/>
    <w:rsid w:val="008464A4"/>
    <w:rsid w:val="0084703A"/>
    <w:rsid w:val="00847EC9"/>
    <w:rsid w:val="00847ECC"/>
    <w:rsid w:val="0085128D"/>
    <w:rsid w:val="008519A6"/>
    <w:rsid w:val="00852044"/>
    <w:rsid w:val="00853938"/>
    <w:rsid w:val="00860277"/>
    <w:rsid w:val="008602F7"/>
    <w:rsid w:val="0086206C"/>
    <w:rsid w:val="008631D3"/>
    <w:rsid w:val="008644BC"/>
    <w:rsid w:val="00865A67"/>
    <w:rsid w:val="00865BF0"/>
    <w:rsid w:val="00866679"/>
    <w:rsid w:val="008679E0"/>
    <w:rsid w:val="008704F3"/>
    <w:rsid w:val="008714DB"/>
    <w:rsid w:val="00871B94"/>
    <w:rsid w:val="00872F13"/>
    <w:rsid w:val="008730A8"/>
    <w:rsid w:val="008755CA"/>
    <w:rsid w:val="008760B5"/>
    <w:rsid w:val="008803EC"/>
    <w:rsid w:val="00880C40"/>
    <w:rsid w:val="00882323"/>
    <w:rsid w:val="008842CF"/>
    <w:rsid w:val="008849E8"/>
    <w:rsid w:val="00885551"/>
    <w:rsid w:val="00886D95"/>
    <w:rsid w:val="00887843"/>
    <w:rsid w:val="00887B67"/>
    <w:rsid w:val="00890DDA"/>
    <w:rsid w:val="00894A84"/>
    <w:rsid w:val="008951DC"/>
    <w:rsid w:val="00895F6D"/>
    <w:rsid w:val="0089699C"/>
    <w:rsid w:val="00897229"/>
    <w:rsid w:val="00897511"/>
    <w:rsid w:val="008A17AE"/>
    <w:rsid w:val="008A1DE7"/>
    <w:rsid w:val="008A4264"/>
    <w:rsid w:val="008A45A2"/>
    <w:rsid w:val="008B0DA0"/>
    <w:rsid w:val="008B1973"/>
    <w:rsid w:val="008B2951"/>
    <w:rsid w:val="008B3B06"/>
    <w:rsid w:val="008B3BB5"/>
    <w:rsid w:val="008B5584"/>
    <w:rsid w:val="008B7457"/>
    <w:rsid w:val="008C060E"/>
    <w:rsid w:val="008C11BE"/>
    <w:rsid w:val="008C11F4"/>
    <w:rsid w:val="008C2C24"/>
    <w:rsid w:val="008C5636"/>
    <w:rsid w:val="008C61FC"/>
    <w:rsid w:val="008C6F34"/>
    <w:rsid w:val="008D4325"/>
    <w:rsid w:val="008D48F2"/>
    <w:rsid w:val="008E03C2"/>
    <w:rsid w:val="008E123E"/>
    <w:rsid w:val="008E251C"/>
    <w:rsid w:val="008E2843"/>
    <w:rsid w:val="008E408B"/>
    <w:rsid w:val="008E59B9"/>
    <w:rsid w:val="008E5C99"/>
    <w:rsid w:val="008E5F15"/>
    <w:rsid w:val="008E6A96"/>
    <w:rsid w:val="008E76EE"/>
    <w:rsid w:val="008F0241"/>
    <w:rsid w:val="008F0B92"/>
    <w:rsid w:val="008F278E"/>
    <w:rsid w:val="008F5F7E"/>
    <w:rsid w:val="008F6EA2"/>
    <w:rsid w:val="0090011B"/>
    <w:rsid w:val="00900ADA"/>
    <w:rsid w:val="00901D7A"/>
    <w:rsid w:val="009059B8"/>
    <w:rsid w:val="00905A6F"/>
    <w:rsid w:val="009064CD"/>
    <w:rsid w:val="00910CF3"/>
    <w:rsid w:val="00914003"/>
    <w:rsid w:val="009142D2"/>
    <w:rsid w:val="00915752"/>
    <w:rsid w:val="00916DC7"/>
    <w:rsid w:val="00916F70"/>
    <w:rsid w:val="00917DC9"/>
    <w:rsid w:val="00920570"/>
    <w:rsid w:val="00920AF5"/>
    <w:rsid w:val="009238F3"/>
    <w:rsid w:val="00925FFC"/>
    <w:rsid w:val="009268AD"/>
    <w:rsid w:val="00926B1F"/>
    <w:rsid w:val="00927AA2"/>
    <w:rsid w:val="00931088"/>
    <w:rsid w:val="009318EB"/>
    <w:rsid w:val="00931BA6"/>
    <w:rsid w:val="00932CE8"/>
    <w:rsid w:val="009332FE"/>
    <w:rsid w:val="00933A82"/>
    <w:rsid w:val="009348E9"/>
    <w:rsid w:val="00934A2D"/>
    <w:rsid w:val="00934B98"/>
    <w:rsid w:val="00934EA7"/>
    <w:rsid w:val="00935916"/>
    <w:rsid w:val="00936032"/>
    <w:rsid w:val="0093735A"/>
    <w:rsid w:val="009376BC"/>
    <w:rsid w:val="00937A77"/>
    <w:rsid w:val="00940A2F"/>
    <w:rsid w:val="009413D2"/>
    <w:rsid w:val="00941905"/>
    <w:rsid w:val="009425C9"/>
    <w:rsid w:val="00945015"/>
    <w:rsid w:val="00946D1A"/>
    <w:rsid w:val="00947FB8"/>
    <w:rsid w:val="00950415"/>
    <w:rsid w:val="009515BC"/>
    <w:rsid w:val="00951EF8"/>
    <w:rsid w:val="009529CE"/>
    <w:rsid w:val="00952A58"/>
    <w:rsid w:val="00954D1C"/>
    <w:rsid w:val="009563D9"/>
    <w:rsid w:val="00957148"/>
    <w:rsid w:val="00957D26"/>
    <w:rsid w:val="0096065E"/>
    <w:rsid w:val="00962CC1"/>
    <w:rsid w:val="0096394C"/>
    <w:rsid w:val="00964881"/>
    <w:rsid w:val="00965D47"/>
    <w:rsid w:val="00966932"/>
    <w:rsid w:val="00970170"/>
    <w:rsid w:val="00970310"/>
    <w:rsid w:val="00971E47"/>
    <w:rsid w:val="00972276"/>
    <w:rsid w:val="00973585"/>
    <w:rsid w:val="0097540F"/>
    <w:rsid w:val="00976257"/>
    <w:rsid w:val="009777AF"/>
    <w:rsid w:val="0098050E"/>
    <w:rsid w:val="009806CC"/>
    <w:rsid w:val="00981C52"/>
    <w:rsid w:val="00981DAE"/>
    <w:rsid w:val="0098243F"/>
    <w:rsid w:val="009824C3"/>
    <w:rsid w:val="009846A0"/>
    <w:rsid w:val="009857B2"/>
    <w:rsid w:val="00987F51"/>
    <w:rsid w:val="00990EFC"/>
    <w:rsid w:val="00991D8D"/>
    <w:rsid w:val="009927FC"/>
    <w:rsid w:val="00993FEE"/>
    <w:rsid w:val="00994C6A"/>
    <w:rsid w:val="009954A3"/>
    <w:rsid w:val="00996088"/>
    <w:rsid w:val="00997499"/>
    <w:rsid w:val="009A053E"/>
    <w:rsid w:val="009A172F"/>
    <w:rsid w:val="009A17E2"/>
    <w:rsid w:val="009A2286"/>
    <w:rsid w:val="009A320E"/>
    <w:rsid w:val="009A4D00"/>
    <w:rsid w:val="009A7BE2"/>
    <w:rsid w:val="009B0D72"/>
    <w:rsid w:val="009B1710"/>
    <w:rsid w:val="009B3E33"/>
    <w:rsid w:val="009B4E50"/>
    <w:rsid w:val="009B5290"/>
    <w:rsid w:val="009B56F6"/>
    <w:rsid w:val="009B5759"/>
    <w:rsid w:val="009C0129"/>
    <w:rsid w:val="009C0FA4"/>
    <w:rsid w:val="009C13E5"/>
    <w:rsid w:val="009C19FE"/>
    <w:rsid w:val="009C556A"/>
    <w:rsid w:val="009C5BC1"/>
    <w:rsid w:val="009C6FA8"/>
    <w:rsid w:val="009D18EB"/>
    <w:rsid w:val="009D2F88"/>
    <w:rsid w:val="009D6D75"/>
    <w:rsid w:val="009D7FC4"/>
    <w:rsid w:val="009F06FE"/>
    <w:rsid w:val="009F07EE"/>
    <w:rsid w:val="009F2178"/>
    <w:rsid w:val="009F2F1A"/>
    <w:rsid w:val="009F661E"/>
    <w:rsid w:val="009F6639"/>
    <w:rsid w:val="009F7897"/>
    <w:rsid w:val="009F7F9B"/>
    <w:rsid w:val="00A00383"/>
    <w:rsid w:val="00A01AE2"/>
    <w:rsid w:val="00A01DB9"/>
    <w:rsid w:val="00A0271C"/>
    <w:rsid w:val="00A027B7"/>
    <w:rsid w:val="00A04CE9"/>
    <w:rsid w:val="00A052C6"/>
    <w:rsid w:val="00A0585D"/>
    <w:rsid w:val="00A05AE7"/>
    <w:rsid w:val="00A134BE"/>
    <w:rsid w:val="00A14F41"/>
    <w:rsid w:val="00A155E5"/>
    <w:rsid w:val="00A20638"/>
    <w:rsid w:val="00A23580"/>
    <w:rsid w:val="00A23947"/>
    <w:rsid w:val="00A23EB1"/>
    <w:rsid w:val="00A24E58"/>
    <w:rsid w:val="00A25388"/>
    <w:rsid w:val="00A30C2B"/>
    <w:rsid w:val="00A3336B"/>
    <w:rsid w:val="00A34188"/>
    <w:rsid w:val="00A35EA5"/>
    <w:rsid w:val="00A36D8D"/>
    <w:rsid w:val="00A405C4"/>
    <w:rsid w:val="00A4152D"/>
    <w:rsid w:val="00A45444"/>
    <w:rsid w:val="00A456D5"/>
    <w:rsid w:val="00A46207"/>
    <w:rsid w:val="00A5055F"/>
    <w:rsid w:val="00A534B4"/>
    <w:rsid w:val="00A54F2D"/>
    <w:rsid w:val="00A561C6"/>
    <w:rsid w:val="00A56764"/>
    <w:rsid w:val="00A56E33"/>
    <w:rsid w:val="00A56F92"/>
    <w:rsid w:val="00A6101C"/>
    <w:rsid w:val="00A61EFC"/>
    <w:rsid w:val="00A634DA"/>
    <w:rsid w:val="00A63B6F"/>
    <w:rsid w:val="00A64AA9"/>
    <w:rsid w:val="00A7090D"/>
    <w:rsid w:val="00A71EBB"/>
    <w:rsid w:val="00A744B0"/>
    <w:rsid w:val="00A75024"/>
    <w:rsid w:val="00A76211"/>
    <w:rsid w:val="00A77F24"/>
    <w:rsid w:val="00A81480"/>
    <w:rsid w:val="00A82DB6"/>
    <w:rsid w:val="00A8438C"/>
    <w:rsid w:val="00A84935"/>
    <w:rsid w:val="00A85006"/>
    <w:rsid w:val="00A855BD"/>
    <w:rsid w:val="00A85A14"/>
    <w:rsid w:val="00A86B24"/>
    <w:rsid w:val="00A86E0E"/>
    <w:rsid w:val="00A8748C"/>
    <w:rsid w:val="00A87D3C"/>
    <w:rsid w:val="00A920AA"/>
    <w:rsid w:val="00A9286E"/>
    <w:rsid w:val="00A9607F"/>
    <w:rsid w:val="00A971D6"/>
    <w:rsid w:val="00AA3738"/>
    <w:rsid w:val="00AA4A46"/>
    <w:rsid w:val="00AA5578"/>
    <w:rsid w:val="00AA62D5"/>
    <w:rsid w:val="00AA6499"/>
    <w:rsid w:val="00AA7336"/>
    <w:rsid w:val="00AB265F"/>
    <w:rsid w:val="00AB30A6"/>
    <w:rsid w:val="00AB3643"/>
    <w:rsid w:val="00AB3917"/>
    <w:rsid w:val="00AB4FCC"/>
    <w:rsid w:val="00AB6302"/>
    <w:rsid w:val="00AC0136"/>
    <w:rsid w:val="00AC095F"/>
    <w:rsid w:val="00AC0A07"/>
    <w:rsid w:val="00AC0C01"/>
    <w:rsid w:val="00AC15A7"/>
    <w:rsid w:val="00AC1DF4"/>
    <w:rsid w:val="00AC20C4"/>
    <w:rsid w:val="00AC2ED1"/>
    <w:rsid w:val="00AC4803"/>
    <w:rsid w:val="00AC7A40"/>
    <w:rsid w:val="00AD0056"/>
    <w:rsid w:val="00AD0352"/>
    <w:rsid w:val="00AD0638"/>
    <w:rsid w:val="00AD0CB5"/>
    <w:rsid w:val="00AD14D9"/>
    <w:rsid w:val="00AD1685"/>
    <w:rsid w:val="00AD1AD3"/>
    <w:rsid w:val="00AD1BC1"/>
    <w:rsid w:val="00AD47F3"/>
    <w:rsid w:val="00AD57EC"/>
    <w:rsid w:val="00AD6EE3"/>
    <w:rsid w:val="00AD71CA"/>
    <w:rsid w:val="00AE3499"/>
    <w:rsid w:val="00AE4D43"/>
    <w:rsid w:val="00AE68B5"/>
    <w:rsid w:val="00AF0348"/>
    <w:rsid w:val="00AF0E56"/>
    <w:rsid w:val="00AF2CD8"/>
    <w:rsid w:val="00AF5592"/>
    <w:rsid w:val="00AF61BC"/>
    <w:rsid w:val="00AF7D5C"/>
    <w:rsid w:val="00B0006C"/>
    <w:rsid w:val="00B024B9"/>
    <w:rsid w:val="00B02EDF"/>
    <w:rsid w:val="00B04EF8"/>
    <w:rsid w:val="00B054F6"/>
    <w:rsid w:val="00B110CC"/>
    <w:rsid w:val="00B15C6B"/>
    <w:rsid w:val="00B16DA5"/>
    <w:rsid w:val="00B17F49"/>
    <w:rsid w:val="00B22263"/>
    <w:rsid w:val="00B22994"/>
    <w:rsid w:val="00B26E2A"/>
    <w:rsid w:val="00B27265"/>
    <w:rsid w:val="00B276F2"/>
    <w:rsid w:val="00B363D6"/>
    <w:rsid w:val="00B37EF7"/>
    <w:rsid w:val="00B4118F"/>
    <w:rsid w:val="00B427FD"/>
    <w:rsid w:val="00B4531C"/>
    <w:rsid w:val="00B50436"/>
    <w:rsid w:val="00B50A62"/>
    <w:rsid w:val="00B513DA"/>
    <w:rsid w:val="00B53D73"/>
    <w:rsid w:val="00B5547C"/>
    <w:rsid w:val="00B5579E"/>
    <w:rsid w:val="00B55F34"/>
    <w:rsid w:val="00B60335"/>
    <w:rsid w:val="00B6215B"/>
    <w:rsid w:val="00B62232"/>
    <w:rsid w:val="00B6306E"/>
    <w:rsid w:val="00B63290"/>
    <w:rsid w:val="00B63DF4"/>
    <w:rsid w:val="00B6537C"/>
    <w:rsid w:val="00B6556B"/>
    <w:rsid w:val="00B655F4"/>
    <w:rsid w:val="00B67D93"/>
    <w:rsid w:val="00B742D6"/>
    <w:rsid w:val="00B74D9D"/>
    <w:rsid w:val="00B75D44"/>
    <w:rsid w:val="00B761FE"/>
    <w:rsid w:val="00B7777C"/>
    <w:rsid w:val="00B77F0F"/>
    <w:rsid w:val="00B81BFE"/>
    <w:rsid w:val="00B8431D"/>
    <w:rsid w:val="00B8482B"/>
    <w:rsid w:val="00B85D0C"/>
    <w:rsid w:val="00B86610"/>
    <w:rsid w:val="00B92E84"/>
    <w:rsid w:val="00B934A8"/>
    <w:rsid w:val="00BA0272"/>
    <w:rsid w:val="00BA08B5"/>
    <w:rsid w:val="00BA5325"/>
    <w:rsid w:val="00BA5F24"/>
    <w:rsid w:val="00BA76D6"/>
    <w:rsid w:val="00BB072C"/>
    <w:rsid w:val="00BB1564"/>
    <w:rsid w:val="00BB165D"/>
    <w:rsid w:val="00BB18A0"/>
    <w:rsid w:val="00BB475D"/>
    <w:rsid w:val="00BB4E26"/>
    <w:rsid w:val="00BB5529"/>
    <w:rsid w:val="00BB617D"/>
    <w:rsid w:val="00BB6CD9"/>
    <w:rsid w:val="00BC197F"/>
    <w:rsid w:val="00BC2F40"/>
    <w:rsid w:val="00BC32EA"/>
    <w:rsid w:val="00BC3F7A"/>
    <w:rsid w:val="00BC4730"/>
    <w:rsid w:val="00BC49AF"/>
    <w:rsid w:val="00BC4C82"/>
    <w:rsid w:val="00BC50EF"/>
    <w:rsid w:val="00BC5E71"/>
    <w:rsid w:val="00BD1B3B"/>
    <w:rsid w:val="00BD2DC0"/>
    <w:rsid w:val="00BE11D1"/>
    <w:rsid w:val="00BE4031"/>
    <w:rsid w:val="00BE452C"/>
    <w:rsid w:val="00BE45FD"/>
    <w:rsid w:val="00BE5C7D"/>
    <w:rsid w:val="00BE6AB4"/>
    <w:rsid w:val="00BE7837"/>
    <w:rsid w:val="00BE7F32"/>
    <w:rsid w:val="00BF2591"/>
    <w:rsid w:val="00BF3859"/>
    <w:rsid w:val="00BF516A"/>
    <w:rsid w:val="00C009F8"/>
    <w:rsid w:val="00C03541"/>
    <w:rsid w:val="00C108E7"/>
    <w:rsid w:val="00C11F9C"/>
    <w:rsid w:val="00C15FFE"/>
    <w:rsid w:val="00C177D0"/>
    <w:rsid w:val="00C2584E"/>
    <w:rsid w:val="00C2769C"/>
    <w:rsid w:val="00C310C6"/>
    <w:rsid w:val="00C338F9"/>
    <w:rsid w:val="00C33EB7"/>
    <w:rsid w:val="00C348ED"/>
    <w:rsid w:val="00C34DA7"/>
    <w:rsid w:val="00C377AA"/>
    <w:rsid w:val="00C37CF5"/>
    <w:rsid w:val="00C40D26"/>
    <w:rsid w:val="00C430CB"/>
    <w:rsid w:val="00C44597"/>
    <w:rsid w:val="00C45044"/>
    <w:rsid w:val="00C50668"/>
    <w:rsid w:val="00C51AFF"/>
    <w:rsid w:val="00C52147"/>
    <w:rsid w:val="00C526CA"/>
    <w:rsid w:val="00C5365A"/>
    <w:rsid w:val="00C557BE"/>
    <w:rsid w:val="00C60079"/>
    <w:rsid w:val="00C601B0"/>
    <w:rsid w:val="00C60A12"/>
    <w:rsid w:val="00C60E90"/>
    <w:rsid w:val="00C6331E"/>
    <w:rsid w:val="00C6394E"/>
    <w:rsid w:val="00C64063"/>
    <w:rsid w:val="00C6451D"/>
    <w:rsid w:val="00C6493A"/>
    <w:rsid w:val="00C65359"/>
    <w:rsid w:val="00C655AF"/>
    <w:rsid w:val="00C67289"/>
    <w:rsid w:val="00C704BD"/>
    <w:rsid w:val="00C70A50"/>
    <w:rsid w:val="00C71512"/>
    <w:rsid w:val="00C73606"/>
    <w:rsid w:val="00C73B6E"/>
    <w:rsid w:val="00C75725"/>
    <w:rsid w:val="00C7707F"/>
    <w:rsid w:val="00C801D4"/>
    <w:rsid w:val="00C82F62"/>
    <w:rsid w:val="00C831A3"/>
    <w:rsid w:val="00C86F2C"/>
    <w:rsid w:val="00C904F6"/>
    <w:rsid w:val="00C91C6C"/>
    <w:rsid w:val="00C94F51"/>
    <w:rsid w:val="00C95854"/>
    <w:rsid w:val="00C96BDF"/>
    <w:rsid w:val="00C96D20"/>
    <w:rsid w:val="00CA19AF"/>
    <w:rsid w:val="00CA1A20"/>
    <w:rsid w:val="00CA24E0"/>
    <w:rsid w:val="00CA2A1B"/>
    <w:rsid w:val="00CA44BB"/>
    <w:rsid w:val="00CA795A"/>
    <w:rsid w:val="00CA7B07"/>
    <w:rsid w:val="00CB06E0"/>
    <w:rsid w:val="00CB3DC2"/>
    <w:rsid w:val="00CB6223"/>
    <w:rsid w:val="00CB6719"/>
    <w:rsid w:val="00CC135B"/>
    <w:rsid w:val="00CC2762"/>
    <w:rsid w:val="00CC2880"/>
    <w:rsid w:val="00CC61C4"/>
    <w:rsid w:val="00CC75C2"/>
    <w:rsid w:val="00CE039A"/>
    <w:rsid w:val="00CE2BD3"/>
    <w:rsid w:val="00CE3395"/>
    <w:rsid w:val="00CE3457"/>
    <w:rsid w:val="00CE594D"/>
    <w:rsid w:val="00CE7145"/>
    <w:rsid w:val="00CE731A"/>
    <w:rsid w:val="00CF1AE5"/>
    <w:rsid w:val="00CF393B"/>
    <w:rsid w:val="00CF403A"/>
    <w:rsid w:val="00CF500E"/>
    <w:rsid w:val="00CF52B8"/>
    <w:rsid w:val="00CF55AF"/>
    <w:rsid w:val="00D01FFD"/>
    <w:rsid w:val="00D02972"/>
    <w:rsid w:val="00D0302E"/>
    <w:rsid w:val="00D0499C"/>
    <w:rsid w:val="00D064B7"/>
    <w:rsid w:val="00D10C19"/>
    <w:rsid w:val="00D11039"/>
    <w:rsid w:val="00D1247A"/>
    <w:rsid w:val="00D1364E"/>
    <w:rsid w:val="00D21F7E"/>
    <w:rsid w:val="00D221AF"/>
    <w:rsid w:val="00D251B4"/>
    <w:rsid w:val="00D2669E"/>
    <w:rsid w:val="00D2749D"/>
    <w:rsid w:val="00D2773D"/>
    <w:rsid w:val="00D30E3D"/>
    <w:rsid w:val="00D310AB"/>
    <w:rsid w:val="00D3157C"/>
    <w:rsid w:val="00D328A9"/>
    <w:rsid w:val="00D33121"/>
    <w:rsid w:val="00D36481"/>
    <w:rsid w:val="00D46304"/>
    <w:rsid w:val="00D46BEF"/>
    <w:rsid w:val="00D47106"/>
    <w:rsid w:val="00D51CF8"/>
    <w:rsid w:val="00D5234B"/>
    <w:rsid w:val="00D526DE"/>
    <w:rsid w:val="00D52CAD"/>
    <w:rsid w:val="00D5311E"/>
    <w:rsid w:val="00D53961"/>
    <w:rsid w:val="00D53DD5"/>
    <w:rsid w:val="00D56D58"/>
    <w:rsid w:val="00D573DB"/>
    <w:rsid w:val="00D57611"/>
    <w:rsid w:val="00D57C71"/>
    <w:rsid w:val="00D61E7E"/>
    <w:rsid w:val="00D635DC"/>
    <w:rsid w:val="00D66910"/>
    <w:rsid w:val="00D66F32"/>
    <w:rsid w:val="00D70ECD"/>
    <w:rsid w:val="00D72F2D"/>
    <w:rsid w:val="00D76919"/>
    <w:rsid w:val="00D7714F"/>
    <w:rsid w:val="00D801E6"/>
    <w:rsid w:val="00D823DF"/>
    <w:rsid w:val="00D82FD4"/>
    <w:rsid w:val="00D832E9"/>
    <w:rsid w:val="00D84CB4"/>
    <w:rsid w:val="00D85F37"/>
    <w:rsid w:val="00D866BF"/>
    <w:rsid w:val="00D870FA"/>
    <w:rsid w:val="00D87341"/>
    <w:rsid w:val="00D874C0"/>
    <w:rsid w:val="00D90927"/>
    <w:rsid w:val="00D9112F"/>
    <w:rsid w:val="00D930AB"/>
    <w:rsid w:val="00D93513"/>
    <w:rsid w:val="00D94532"/>
    <w:rsid w:val="00D94D79"/>
    <w:rsid w:val="00DA201C"/>
    <w:rsid w:val="00DA30B0"/>
    <w:rsid w:val="00DA3E8B"/>
    <w:rsid w:val="00DA5333"/>
    <w:rsid w:val="00DA561D"/>
    <w:rsid w:val="00DA583B"/>
    <w:rsid w:val="00DA6D44"/>
    <w:rsid w:val="00DA71B0"/>
    <w:rsid w:val="00DA76F0"/>
    <w:rsid w:val="00DB6191"/>
    <w:rsid w:val="00DB63EA"/>
    <w:rsid w:val="00DB7A52"/>
    <w:rsid w:val="00DC3523"/>
    <w:rsid w:val="00DC3B7D"/>
    <w:rsid w:val="00DC5842"/>
    <w:rsid w:val="00DC649D"/>
    <w:rsid w:val="00DC71F5"/>
    <w:rsid w:val="00DC7412"/>
    <w:rsid w:val="00DC7E57"/>
    <w:rsid w:val="00DD0085"/>
    <w:rsid w:val="00DD0C6F"/>
    <w:rsid w:val="00DD0CC5"/>
    <w:rsid w:val="00DD1040"/>
    <w:rsid w:val="00DD19EF"/>
    <w:rsid w:val="00DD24B6"/>
    <w:rsid w:val="00DD29FB"/>
    <w:rsid w:val="00DD3659"/>
    <w:rsid w:val="00DD3794"/>
    <w:rsid w:val="00DD575F"/>
    <w:rsid w:val="00DD5A9A"/>
    <w:rsid w:val="00DE0421"/>
    <w:rsid w:val="00DE2F94"/>
    <w:rsid w:val="00DE3375"/>
    <w:rsid w:val="00DE5CBF"/>
    <w:rsid w:val="00DE6523"/>
    <w:rsid w:val="00DF150D"/>
    <w:rsid w:val="00DF24FB"/>
    <w:rsid w:val="00E033BC"/>
    <w:rsid w:val="00E04D3C"/>
    <w:rsid w:val="00E04ECB"/>
    <w:rsid w:val="00E054B9"/>
    <w:rsid w:val="00E10560"/>
    <w:rsid w:val="00E12217"/>
    <w:rsid w:val="00E14FC6"/>
    <w:rsid w:val="00E20A47"/>
    <w:rsid w:val="00E242FA"/>
    <w:rsid w:val="00E25678"/>
    <w:rsid w:val="00E32355"/>
    <w:rsid w:val="00E336DC"/>
    <w:rsid w:val="00E337E5"/>
    <w:rsid w:val="00E3556F"/>
    <w:rsid w:val="00E40279"/>
    <w:rsid w:val="00E40285"/>
    <w:rsid w:val="00E41365"/>
    <w:rsid w:val="00E42673"/>
    <w:rsid w:val="00E435E8"/>
    <w:rsid w:val="00E442C5"/>
    <w:rsid w:val="00E45230"/>
    <w:rsid w:val="00E45953"/>
    <w:rsid w:val="00E4708C"/>
    <w:rsid w:val="00E47BF3"/>
    <w:rsid w:val="00E50071"/>
    <w:rsid w:val="00E5209E"/>
    <w:rsid w:val="00E53DB9"/>
    <w:rsid w:val="00E563B1"/>
    <w:rsid w:val="00E5699E"/>
    <w:rsid w:val="00E601F6"/>
    <w:rsid w:val="00E6055B"/>
    <w:rsid w:val="00E62171"/>
    <w:rsid w:val="00E6274B"/>
    <w:rsid w:val="00E62DB0"/>
    <w:rsid w:val="00E62EAB"/>
    <w:rsid w:val="00E6429E"/>
    <w:rsid w:val="00E658C4"/>
    <w:rsid w:val="00E66B5B"/>
    <w:rsid w:val="00E670A1"/>
    <w:rsid w:val="00E71305"/>
    <w:rsid w:val="00E71DB3"/>
    <w:rsid w:val="00E7360E"/>
    <w:rsid w:val="00E742CE"/>
    <w:rsid w:val="00E76B2B"/>
    <w:rsid w:val="00E80935"/>
    <w:rsid w:val="00E80F01"/>
    <w:rsid w:val="00E80F03"/>
    <w:rsid w:val="00E85C0A"/>
    <w:rsid w:val="00E9078E"/>
    <w:rsid w:val="00E93D27"/>
    <w:rsid w:val="00E93FA8"/>
    <w:rsid w:val="00E94075"/>
    <w:rsid w:val="00E942CC"/>
    <w:rsid w:val="00E95A3B"/>
    <w:rsid w:val="00E96408"/>
    <w:rsid w:val="00E96D5F"/>
    <w:rsid w:val="00E97ABD"/>
    <w:rsid w:val="00E97E0B"/>
    <w:rsid w:val="00EA0FA3"/>
    <w:rsid w:val="00EA1C6C"/>
    <w:rsid w:val="00EA3468"/>
    <w:rsid w:val="00EA468B"/>
    <w:rsid w:val="00EA4FA2"/>
    <w:rsid w:val="00EA789F"/>
    <w:rsid w:val="00EB08C5"/>
    <w:rsid w:val="00EB20CB"/>
    <w:rsid w:val="00EB3BA1"/>
    <w:rsid w:val="00EB5168"/>
    <w:rsid w:val="00EB57A3"/>
    <w:rsid w:val="00EC0E81"/>
    <w:rsid w:val="00EC2D5C"/>
    <w:rsid w:val="00EC3581"/>
    <w:rsid w:val="00EC35E4"/>
    <w:rsid w:val="00EC442F"/>
    <w:rsid w:val="00EC7302"/>
    <w:rsid w:val="00ED105A"/>
    <w:rsid w:val="00ED28C7"/>
    <w:rsid w:val="00ED2C56"/>
    <w:rsid w:val="00ED3FDD"/>
    <w:rsid w:val="00ED436D"/>
    <w:rsid w:val="00ED6C6F"/>
    <w:rsid w:val="00ED795A"/>
    <w:rsid w:val="00ED7C4B"/>
    <w:rsid w:val="00EE12CC"/>
    <w:rsid w:val="00EE1343"/>
    <w:rsid w:val="00EE433C"/>
    <w:rsid w:val="00EE523D"/>
    <w:rsid w:val="00EE66F7"/>
    <w:rsid w:val="00EE6959"/>
    <w:rsid w:val="00EF2347"/>
    <w:rsid w:val="00EF2AEE"/>
    <w:rsid w:val="00EF2D4B"/>
    <w:rsid w:val="00EF364D"/>
    <w:rsid w:val="00EF3E10"/>
    <w:rsid w:val="00EF5E46"/>
    <w:rsid w:val="00EF625F"/>
    <w:rsid w:val="00EF7AA5"/>
    <w:rsid w:val="00F01F5C"/>
    <w:rsid w:val="00F03061"/>
    <w:rsid w:val="00F04605"/>
    <w:rsid w:val="00F07A2E"/>
    <w:rsid w:val="00F07AD8"/>
    <w:rsid w:val="00F10B03"/>
    <w:rsid w:val="00F1100B"/>
    <w:rsid w:val="00F12236"/>
    <w:rsid w:val="00F12A65"/>
    <w:rsid w:val="00F12C85"/>
    <w:rsid w:val="00F1320D"/>
    <w:rsid w:val="00F15781"/>
    <w:rsid w:val="00F21A69"/>
    <w:rsid w:val="00F22DF3"/>
    <w:rsid w:val="00F243E8"/>
    <w:rsid w:val="00F25CA0"/>
    <w:rsid w:val="00F25F48"/>
    <w:rsid w:val="00F269E0"/>
    <w:rsid w:val="00F27192"/>
    <w:rsid w:val="00F324DF"/>
    <w:rsid w:val="00F3372C"/>
    <w:rsid w:val="00F34FE1"/>
    <w:rsid w:val="00F3503E"/>
    <w:rsid w:val="00F35331"/>
    <w:rsid w:val="00F35815"/>
    <w:rsid w:val="00F36188"/>
    <w:rsid w:val="00F36E13"/>
    <w:rsid w:val="00F37229"/>
    <w:rsid w:val="00F4011A"/>
    <w:rsid w:val="00F44F9B"/>
    <w:rsid w:val="00F46352"/>
    <w:rsid w:val="00F471FA"/>
    <w:rsid w:val="00F5025E"/>
    <w:rsid w:val="00F516AB"/>
    <w:rsid w:val="00F53A81"/>
    <w:rsid w:val="00F53E86"/>
    <w:rsid w:val="00F549F0"/>
    <w:rsid w:val="00F55250"/>
    <w:rsid w:val="00F553FA"/>
    <w:rsid w:val="00F55700"/>
    <w:rsid w:val="00F55AB9"/>
    <w:rsid w:val="00F56467"/>
    <w:rsid w:val="00F57E24"/>
    <w:rsid w:val="00F60D52"/>
    <w:rsid w:val="00F618E1"/>
    <w:rsid w:val="00F62678"/>
    <w:rsid w:val="00F62C8B"/>
    <w:rsid w:val="00F65022"/>
    <w:rsid w:val="00F70565"/>
    <w:rsid w:val="00F70757"/>
    <w:rsid w:val="00F71012"/>
    <w:rsid w:val="00F7285C"/>
    <w:rsid w:val="00F7477B"/>
    <w:rsid w:val="00F75F01"/>
    <w:rsid w:val="00F762F6"/>
    <w:rsid w:val="00F76A86"/>
    <w:rsid w:val="00F801F3"/>
    <w:rsid w:val="00F8144C"/>
    <w:rsid w:val="00F81B2F"/>
    <w:rsid w:val="00F8569E"/>
    <w:rsid w:val="00F85D09"/>
    <w:rsid w:val="00F86340"/>
    <w:rsid w:val="00F9016C"/>
    <w:rsid w:val="00F926BD"/>
    <w:rsid w:val="00F932C5"/>
    <w:rsid w:val="00F954DB"/>
    <w:rsid w:val="00F95A29"/>
    <w:rsid w:val="00F96245"/>
    <w:rsid w:val="00F962B2"/>
    <w:rsid w:val="00F96922"/>
    <w:rsid w:val="00F97F48"/>
    <w:rsid w:val="00FA05B0"/>
    <w:rsid w:val="00FA0C6A"/>
    <w:rsid w:val="00FA0C99"/>
    <w:rsid w:val="00FA2314"/>
    <w:rsid w:val="00FA305B"/>
    <w:rsid w:val="00FA3EA9"/>
    <w:rsid w:val="00FA46CD"/>
    <w:rsid w:val="00FA5AF6"/>
    <w:rsid w:val="00FA683B"/>
    <w:rsid w:val="00FA711E"/>
    <w:rsid w:val="00FA7CD9"/>
    <w:rsid w:val="00FB18A1"/>
    <w:rsid w:val="00FB39CD"/>
    <w:rsid w:val="00FB4506"/>
    <w:rsid w:val="00FB4E95"/>
    <w:rsid w:val="00FB700E"/>
    <w:rsid w:val="00FB71D8"/>
    <w:rsid w:val="00FC01D8"/>
    <w:rsid w:val="00FC05A8"/>
    <w:rsid w:val="00FC0EBC"/>
    <w:rsid w:val="00FC253E"/>
    <w:rsid w:val="00FC25BF"/>
    <w:rsid w:val="00FC3101"/>
    <w:rsid w:val="00FC4676"/>
    <w:rsid w:val="00FC4DA8"/>
    <w:rsid w:val="00FC5381"/>
    <w:rsid w:val="00FC5D0D"/>
    <w:rsid w:val="00FD061A"/>
    <w:rsid w:val="00FD0649"/>
    <w:rsid w:val="00FD2FF1"/>
    <w:rsid w:val="00FD39CE"/>
    <w:rsid w:val="00FD41B0"/>
    <w:rsid w:val="00FD5943"/>
    <w:rsid w:val="00FE0375"/>
    <w:rsid w:val="00FE0EF8"/>
    <w:rsid w:val="00FE1497"/>
    <w:rsid w:val="00FE19DA"/>
    <w:rsid w:val="00FE207B"/>
    <w:rsid w:val="00FE24FC"/>
    <w:rsid w:val="00FE4CC4"/>
    <w:rsid w:val="00FE64DC"/>
    <w:rsid w:val="00FE6DDC"/>
    <w:rsid w:val="00FE7DBD"/>
    <w:rsid w:val="00FF08F6"/>
    <w:rsid w:val="00FF2D59"/>
    <w:rsid w:val="00FF43D6"/>
    <w:rsid w:val="00FF4D3A"/>
    <w:rsid w:val="00FF54AD"/>
    <w:rsid w:val="00FF5637"/>
    <w:rsid w:val="00FF6ABB"/>
    <w:rsid w:val="00FF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23B5"/>
  <w15:chartTrackingRefBased/>
  <w15:docId w15:val="{21D72145-109D-4D0C-BED1-5B42DDDB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CC"/>
  </w:style>
  <w:style w:type="paragraph" w:styleId="Heading1">
    <w:name w:val="heading 1"/>
    <w:basedOn w:val="Normal"/>
    <w:next w:val="Normal"/>
    <w:link w:val="Heading1Char"/>
    <w:uiPriority w:val="9"/>
    <w:qFormat/>
    <w:rsid w:val="00E10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560"/>
    <w:rPr>
      <w:rFonts w:eastAsiaTheme="majorEastAsia" w:cstheme="majorBidi"/>
      <w:color w:val="272727" w:themeColor="text1" w:themeTint="D8"/>
    </w:rPr>
  </w:style>
  <w:style w:type="paragraph" w:styleId="Title">
    <w:name w:val="Title"/>
    <w:basedOn w:val="Normal"/>
    <w:next w:val="Normal"/>
    <w:link w:val="TitleChar"/>
    <w:uiPriority w:val="10"/>
    <w:qFormat/>
    <w:rsid w:val="00E10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560"/>
    <w:pPr>
      <w:spacing w:before="160"/>
      <w:jc w:val="center"/>
    </w:pPr>
    <w:rPr>
      <w:i/>
      <w:iCs/>
      <w:color w:val="404040" w:themeColor="text1" w:themeTint="BF"/>
    </w:rPr>
  </w:style>
  <w:style w:type="character" w:customStyle="1" w:styleId="QuoteChar">
    <w:name w:val="Quote Char"/>
    <w:basedOn w:val="DefaultParagraphFont"/>
    <w:link w:val="Quote"/>
    <w:uiPriority w:val="29"/>
    <w:rsid w:val="00E10560"/>
    <w:rPr>
      <w:i/>
      <w:iCs/>
      <w:color w:val="404040" w:themeColor="text1" w:themeTint="BF"/>
    </w:rPr>
  </w:style>
  <w:style w:type="paragraph" w:styleId="ListParagraph">
    <w:name w:val="List Paragraph"/>
    <w:basedOn w:val="Normal"/>
    <w:uiPriority w:val="34"/>
    <w:qFormat/>
    <w:rsid w:val="00E10560"/>
    <w:pPr>
      <w:ind w:left="720"/>
      <w:contextualSpacing/>
    </w:pPr>
  </w:style>
  <w:style w:type="character" w:styleId="IntenseEmphasis">
    <w:name w:val="Intense Emphasis"/>
    <w:basedOn w:val="DefaultParagraphFont"/>
    <w:uiPriority w:val="21"/>
    <w:qFormat/>
    <w:rsid w:val="00E10560"/>
    <w:rPr>
      <w:i/>
      <w:iCs/>
      <w:color w:val="0F4761" w:themeColor="accent1" w:themeShade="BF"/>
    </w:rPr>
  </w:style>
  <w:style w:type="paragraph" w:styleId="IntenseQuote">
    <w:name w:val="Intense Quote"/>
    <w:basedOn w:val="Normal"/>
    <w:next w:val="Normal"/>
    <w:link w:val="IntenseQuoteChar"/>
    <w:uiPriority w:val="30"/>
    <w:qFormat/>
    <w:rsid w:val="00E10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560"/>
    <w:rPr>
      <w:i/>
      <w:iCs/>
      <w:color w:val="0F4761" w:themeColor="accent1" w:themeShade="BF"/>
    </w:rPr>
  </w:style>
  <w:style w:type="character" w:styleId="IntenseReference">
    <w:name w:val="Intense Reference"/>
    <w:basedOn w:val="DefaultParagraphFont"/>
    <w:uiPriority w:val="32"/>
    <w:qFormat/>
    <w:rsid w:val="00E10560"/>
    <w:rPr>
      <w:b/>
      <w:bCs/>
      <w:smallCaps/>
      <w:color w:val="0F4761" w:themeColor="accent1" w:themeShade="BF"/>
      <w:spacing w:val="5"/>
    </w:rPr>
  </w:style>
  <w:style w:type="paragraph" w:styleId="Header">
    <w:name w:val="header"/>
    <w:basedOn w:val="Normal"/>
    <w:link w:val="HeaderChar"/>
    <w:uiPriority w:val="99"/>
    <w:unhideWhenUsed/>
    <w:rsid w:val="00940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A2F"/>
  </w:style>
  <w:style w:type="paragraph" w:styleId="Footer">
    <w:name w:val="footer"/>
    <w:basedOn w:val="Normal"/>
    <w:link w:val="FooterChar"/>
    <w:uiPriority w:val="99"/>
    <w:unhideWhenUsed/>
    <w:rsid w:val="00940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A2F"/>
  </w:style>
  <w:style w:type="character" w:styleId="CommentReference">
    <w:name w:val="annotation reference"/>
    <w:basedOn w:val="DefaultParagraphFont"/>
    <w:uiPriority w:val="99"/>
    <w:semiHidden/>
    <w:unhideWhenUsed/>
    <w:rsid w:val="00D46304"/>
    <w:rPr>
      <w:sz w:val="16"/>
      <w:szCs w:val="16"/>
    </w:rPr>
  </w:style>
  <w:style w:type="paragraph" w:styleId="CommentText">
    <w:name w:val="annotation text"/>
    <w:basedOn w:val="Normal"/>
    <w:link w:val="CommentTextChar"/>
    <w:uiPriority w:val="99"/>
    <w:unhideWhenUsed/>
    <w:rsid w:val="00D46304"/>
    <w:pPr>
      <w:spacing w:line="240" w:lineRule="auto"/>
    </w:pPr>
    <w:rPr>
      <w:sz w:val="20"/>
      <w:szCs w:val="20"/>
    </w:rPr>
  </w:style>
  <w:style w:type="character" w:customStyle="1" w:styleId="CommentTextChar">
    <w:name w:val="Comment Text Char"/>
    <w:basedOn w:val="DefaultParagraphFont"/>
    <w:link w:val="CommentText"/>
    <w:uiPriority w:val="99"/>
    <w:rsid w:val="00D46304"/>
    <w:rPr>
      <w:sz w:val="20"/>
      <w:szCs w:val="20"/>
    </w:rPr>
  </w:style>
  <w:style w:type="paragraph" w:styleId="CommentSubject">
    <w:name w:val="annotation subject"/>
    <w:basedOn w:val="CommentText"/>
    <w:next w:val="CommentText"/>
    <w:link w:val="CommentSubjectChar"/>
    <w:uiPriority w:val="99"/>
    <w:semiHidden/>
    <w:unhideWhenUsed/>
    <w:rsid w:val="00D46304"/>
    <w:rPr>
      <w:b/>
      <w:bCs/>
    </w:rPr>
  </w:style>
  <w:style w:type="character" w:customStyle="1" w:styleId="CommentSubjectChar">
    <w:name w:val="Comment Subject Char"/>
    <w:basedOn w:val="CommentTextChar"/>
    <w:link w:val="CommentSubject"/>
    <w:uiPriority w:val="99"/>
    <w:semiHidden/>
    <w:rsid w:val="00D46304"/>
    <w:rPr>
      <w:b/>
      <w:bCs/>
      <w:sz w:val="20"/>
      <w:szCs w:val="20"/>
    </w:rPr>
  </w:style>
  <w:style w:type="character" w:styleId="Mention">
    <w:name w:val="Mention"/>
    <w:basedOn w:val="DefaultParagraphFont"/>
    <w:uiPriority w:val="99"/>
    <w:unhideWhenUsed/>
    <w:rsid w:val="00B054F6"/>
    <w:rPr>
      <w:color w:val="2B579A"/>
      <w:shd w:val="clear" w:color="auto" w:fill="E1DFDD"/>
    </w:rPr>
  </w:style>
  <w:style w:type="paragraph" w:styleId="Revision">
    <w:name w:val="Revision"/>
    <w:hidden/>
    <w:uiPriority w:val="99"/>
    <w:semiHidden/>
    <w:rsid w:val="00A8748C"/>
    <w:pPr>
      <w:spacing w:after="0" w:line="240" w:lineRule="auto"/>
    </w:pPr>
  </w:style>
  <w:style w:type="character" w:styleId="Hyperlink">
    <w:name w:val="Hyperlink"/>
    <w:basedOn w:val="DefaultParagraphFont"/>
    <w:uiPriority w:val="99"/>
    <w:unhideWhenUsed/>
    <w:rsid w:val="00021DB2"/>
    <w:rPr>
      <w:color w:val="467886" w:themeColor="hyperlink"/>
      <w:u w:val="single"/>
    </w:rPr>
  </w:style>
  <w:style w:type="character" w:styleId="UnresolvedMention">
    <w:name w:val="Unresolved Mention"/>
    <w:basedOn w:val="DefaultParagraphFont"/>
    <w:uiPriority w:val="99"/>
    <w:semiHidden/>
    <w:unhideWhenUsed/>
    <w:rsid w:val="00021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fda.gov/regulatory-information/search-fda-guidance-documents/microdose-radiopharmaceutical-diagnostic-drugs-nonclinical-study-recommendations"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fda.gov/media/72325/download"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4.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1ED32-6FCE-47B6-AE93-80DDEBF399F5}">
  <we:reference id="wa200010453" version="1.0.0.1" store="Omex" storeType="OMEX"/>
  <we:alternateReferences>
    <we:reference id="WA200010453" version="1.0.0.1" store="Omex" storeType="OMEX"/>
  </we:alternateReferences>
  <we:properties>
    <we:property name="claude.fileId" value="&quot;ab472279-68c5-48ae-8e12-b9f0a26b8d9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BCB282-8108-4EE5-9D64-5B8A2004885E}">
  <ds:schemaRefs>
    <ds:schemaRef ds:uri="http://schemas.openxmlformats.org/officeDocument/2006/bibliography"/>
  </ds:schemaRefs>
</ds:datastoreItem>
</file>

<file path=customXml/itemProps2.xml><?xml version="1.0" encoding="utf-8"?>
<ds:datastoreItem xmlns:ds="http://schemas.openxmlformats.org/officeDocument/2006/customXml" ds:itemID="{5188BA2E-02D6-47D0-A3FD-06F14205EC03}">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3.xml><?xml version="1.0" encoding="utf-8"?>
<ds:datastoreItem xmlns:ds="http://schemas.openxmlformats.org/officeDocument/2006/customXml" ds:itemID="{6117677C-4B14-47FF-B9F3-E30B55F3F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1D91DC-F3B5-4CA4-8B23-DC9D6BCAC5FB}">
  <ds:schemaRefs>
    <ds:schemaRef ds:uri="http://schemas.microsoft.com/sharepoint/v3/contenttype/forms"/>
  </ds:schemaRefs>
</ds:datastoreItem>
</file>

<file path=docMetadata/LabelInfo.xml><?xml version="1.0" encoding="utf-8"?>
<clbl:labelList xmlns:clbl="http://schemas.microsoft.com/office/2020/mipLabelMetadata">
  <clbl:label id="{0d74513f-0122-4961-9f9d-1b0308a15633}" enabled="1" method="Privileged" siteId="{0ef4dffa-8c77-49f6-a7ba-d33398e9a997}" removed="0"/>
</clbl:labelList>
</file>

<file path=docProps/app.xml><?xml version="1.0" encoding="utf-8"?>
<Properties xmlns="http://schemas.openxmlformats.org/officeDocument/2006/extended-properties" xmlns:vt="http://schemas.openxmlformats.org/officeDocument/2006/docPropsVTypes">
  <Template>Normal</Template>
  <TotalTime>1413</TotalTime>
  <Pages>12</Pages>
  <Words>4783</Words>
  <Characters>27505</Characters>
  <Application>Microsoft Office Word</Application>
  <DocSecurity>0</DocSecurity>
  <Lines>482</Lines>
  <Paragraphs>188</Paragraphs>
  <ScaleCrop>false</ScaleCrop>
  <Company/>
  <LinksUpToDate>false</LinksUpToDate>
  <CharactersWithSpaces>32100</CharactersWithSpaces>
  <SharedDoc>false</SharedDoc>
  <HLinks>
    <vt:vector size="108" baseType="variant">
      <vt:variant>
        <vt:i4>4653127</vt:i4>
      </vt:variant>
      <vt:variant>
        <vt:i4>3</vt:i4>
      </vt:variant>
      <vt:variant>
        <vt:i4>0</vt:i4>
      </vt:variant>
      <vt:variant>
        <vt:i4>5</vt:i4>
      </vt:variant>
      <vt:variant>
        <vt:lpwstr>https://www.fda.gov/regulatory-information/search-fda-guidance-documents/microdose-radiopharmaceutical-diagnostic-drugs-nonclinical-study-recommendations</vt:lpwstr>
      </vt:variant>
      <vt:variant>
        <vt:lpwstr/>
      </vt:variant>
      <vt:variant>
        <vt:i4>4456465</vt:i4>
      </vt:variant>
      <vt:variant>
        <vt:i4>0</vt:i4>
      </vt:variant>
      <vt:variant>
        <vt:i4>0</vt:i4>
      </vt:variant>
      <vt:variant>
        <vt:i4>5</vt:i4>
      </vt:variant>
      <vt:variant>
        <vt:lpwstr>https://www.fda.gov/media/72325/download</vt:lpwstr>
      </vt:variant>
      <vt:variant>
        <vt:lpwstr/>
      </vt:variant>
      <vt:variant>
        <vt:i4>5505131</vt:i4>
      </vt:variant>
      <vt:variant>
        <vt:i4>45</vt:i4>
      </vt:variant>
      <vt:variant>
        <vt:i4>0</vt:i4>
      </vt:variant>
      <vt:variant>
        <vt:i4>5</vt:i4>
      </vt:variant>
      <vt:variant>
        <vt:lpwstr>mailto:RTavare@segotx.com</vt:lpwstr>
      </vt:variant>
      <vt:variant>
        <vt:lpwstr/>
      </vt:variant>
      <vt:variant>
        <vt:i4>5505131</vt:i4>
      </vt:variant>
      <vt:variant>
        <vt:i4>42</vt:i4>
      </vt:variant>
      <vt:variant>
        <vt:i4>0</vt:i4>
      </vt:variant>
      <vt:variant>
        <vt:i4>5</vt:i4>
      </vt:variant>
      <vt:variant>
        <vt:lpwstr>mailto:RTavare@segotx.com</vt:lpwstr>
      </vt:variant>
      <vt:variant>
        <vt:lpwstr/>
      </vt:variant>
      <vt:variant>
        <vt:i4>5505131</vt:i4>
      </vt:variant>
      <vt:variant>
        <vt:i4>39</vt:i4>
      </vt:variant>
      <vt:variant>
        <vt:i4>0</vt:i4>
      </vt:variant>
      <vt:variant>
        <vt:i4>5</vt:i4>
      </vt:variant>
      <vt:variant>
        <vt:lpwstr>mailto:RTavare@segotx.com</vt:lpwstr>
      </vt:variant>
      <vt:variant>
        <vt:lpwstr/>
      </vt:variant>
      <vt:variant>
        <vt:i4>2818079</vt:i4>
      </vt:variant>
      <vt:variant>
        <vt:i4>36</vt:i4>
      </vt:variant>
      <vt:variant>
        <vt:i4>0</vt:i4>
      </vt:variant>
      <vt:variant>
        <vt:i4>5</vt:i4>
      </vt:variant>
      <vt:variant>
        <vt:lpwstr>mailto:JVirk@segotx.com</vt:lpwstr>
      </vt:variant>
      <vt:variant>
        <vt:lpwstr/>
      </vt:variant>
      <vt:variant>
        <vt:i4>5505131</vt:i4>
      </vt:variant>
      <vt:variant>
        <vt:i4>33</vt:i4>
      </vt:variant>
      <vt:variant>
        <vt:i4>0</vt:i4>
      </vt:variant>
      <vt:variant>
        <vt:i4>5</vt:i4>
      </vt:variant>
      <vt:variant>
        <vt:lpwstr>mailto:RTavare@segotx.com</vt:lpwstr>
      </vt:variant>
      <vt:variant>
        <vt:lpwstr/>
      </vt:variant>
      <vt:variant>
        <vt:i4>5439615</vt:i4>
      </vt:variant>
      <vt:variant>
        <vt:i4>30</vt:i4>
      </vt:variant>
      <vt:variant>
        <vt:i4>0</vt:i4>
      </vt:variant>
      <vt:variant>
        <vt:i4>5</vt:i4>
      </vt:variant>
      <vt:variant>
        <vt:lpwstr>mailto:GMullen@segotx.com</vt:lpwstr>
      </vt:variant>
      <vt:variant>
        <vt:lpwstr/>
      </vt:variant>
      <vt:variant>
        <vt:i4>2818079</vt:i4>
      </vt:variant>
      <vt:variant>
        <vt:i4>27</vt:i4>
      </vt:variant>
      <vt:variant>
        <vt:i4>0</vt:i4>
      </vt:variant>
      <vt:variant>
        <vt:i4>5</vt:i4>
      </vt:variant>
      <vt:variant>
        <vt:lpwstr>mailto:JVirk@segotx.com</vt:lpwstr>
      </vt:variant>
      <vt:variant>
        <vt:lpwstr/>
      </vt:variant>
      <vt:variant>
        <vt:i4>2818079</vt:i4>
      </vt:variant>
      <vt:variant>
        <vt:i4>24</vt:i4>
      </vt:variant>
      <vt:variant>
        <vt:i4>0</vt:i4>
      </vt:variant>
      <vt:variant>
        <vt:i4>5</vt:i4>
      </vt:variant>
      <vt:variant>
        <vt:lpwstr>mailto:JVirk@segotx.com</vt:lpwstr>
      </vt:variant>
      <vt:variant>
        <vt:lpwstr/>
      </vt:variant>
      <vt:variant>
        <vt:i4>5439615</vt:i4>
      </vt:variant>
      <vt:variant>
        <vt:i4>21</vt:i4>
      </vt:variant>
      <vt:variant>
        <vt:i4>0</vt:i4>
      </vt:variant>
      <vt:variant>
        <vt:i4>5</vt:i4>
      </vt:variant>
      <vt:variant>
        <vt:lpwstr>mailto:GMullen@segotx.com</vt:lpwstr>
      </vt:variant>
      <vt:variant>
        <vt:lpwstr/>
      </vt:variant>
      <vt:variant>
        <vt:i4>5505131</vt:i4>
      </vt:variant>
      <vt:variant>
        <vt:i4>18</vt:i4>
      </vt:variant>
      <vt:variant>
        <vt:i4>0</vt:i4>
      </vt:variant>
      <vt:variant>
        <vt:i4>5</vt:i4>
      </vt:variant>
      <vt:variant>
        <vt:lpwstr>mailto:RTavare@segotx.com</vt:lpwstr>
      </vt:variant>
      <vt:variant>
        <vt:lpwstr/>
      </vt:variant>
      <vt:variant>
        <vt:i4>2818079</vt:i4>
      </vt:variant>
      <vt:variant>
        <vt:i4>15</vt:i4>
      </vt:variant>
      <vt:variant>
        <vt:i4>0</vt:i4>
      </vt:variant>
      <vt:variant>
        <vt:i4>5</vt:i4>
      </vt:variant>
      <vt:variant>
        <vt:lpwstr>mailto:JVirk@segotx.com</vt:lpwstr>
      </vt:variant>
      <vt:variant>
        <vt:lpwstr/>
      </vt:variant>
      <vt:variant>
        <vt:i4>5439615</vt:i4>
      </vt:variant>
      <vt:variant>
        <vt:i4>12</vt:i4>
      </vt:variant>
      <vt:variant>
        <vt:i4>0</vt:i4>
      </vt:variant>
      <vt:variant>
        <vt:i4>5</vt:i4>
      </vt:variant>
      <vt:variant>
        <vt:lpwstr>mailto:GMullen@segotx.com</vt:lpwstr>
      </vt:variant>
      <vt:variant>
        <vt:lpwstr/>
      </vt:variant>
      <vt:variant>
        <vt:i4>5439615</vt:i4>
      </vt:variant>
      <vt:variant>
        <vt:i4>9</vt:i4>
      </vt:variant>
      <vt:variant>
        <vt:i4>0</vt:i4>
      </vt:variant>
      <vt:variant>
        <vt:i4>5</vt:i4>
      </vt:variant>
      <vt:variant>
        <vt:lpwstr>mailto:GMullen@segotx.com</vt:lpwstr>
      </vt:variant>
      <vt:variant>
        <vt:lpwstr/>
      </vt:variant>
      <vt:variant>
        <vt:i4>5505131</vt:i4>
      </vt:variant>
      <vt:variant>
        <vt:i4>6</vt:i4>
      </vt:variant>
      <vt:variant>
        <vt:i4>0</vt:i4>
      </vt:variant>
      <vt:variant>
        <vt:i4>5</vt:i4>
      </vt:variant>
      <vt:variant>
        <vt:lpwstr>mailto:RTavare@segotx.com</vt:lpwstr>
      </vt:variant>
      <vt:variant>
        <vt:lpwstr/>
      </vt:variant>
      <vt:variant>
        <vt:i4>2818079</vt:i4>
      </vt:variant>
      <vt:variant>
        <vt:i4>3</vt:i4>
      </vt:variant>
      <vt:variant>
        <vt:i4>0</vt:i4>
      </vt:variant>
      <vt:variant>
        <vt:i4>5</vt:i4>
      </vt:variant>
      <vt:variant>
        <vt:lpwstr>mailto:JVirk@segotx.com</vt:lpwstr>
      </vt:variant>
      <vt:variant>
        <vt:lpwstr/>
      </vt:variant>
      <vt:variant>
        <vt:i4>2818079</vt:i4>
      </vt:variant>
      <vt:variant>
        <vt:i4>0</vt:i4>
      </vt:variant>
      <vt:variant>
        <vt:i4>0</vt:i4>
      </vt:variant>
      <vt:variant>
        <vt:i4>5</vt:i4>
      </vt:variant>
      <vt:variant>
        <vt:lpwstr>mailto:JVirk@segotx.com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Levin</dc:creator>
  <cp:keywords/>
  <dc:description/>
  <cp:lastModifiedBy>Becca Levin</cp:lastModifiedBy>
  <cp:revision>670</cp:revision>
  <cp:lastPrinted>2026-05-14T22:53:00Z</cp:lastPrinted>
  <dcterms:created xsi:type="dcterms:W3CDTF">2026-05-06T07:38:00Z</dcterms:created>
  <dcterms:modified xsi:type="dcterms:W3CDTF">2026-05-16T03:05:00Z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197f53a5,2a335ef3,47e2837e</vt:lpwstr>
  </property>
  <property fmtid="{D5CDD505-2E9C-101B-9397-08002B2CF9AE}" pid="3" name="ClassificationContentMarkingFooterFontProps">
    <vt:lpwstr>#000000,8,Aptos</vt:lpwstr>
  </property>
  <property fmtid="{D5CDD505-2E9C-101B-9397-08002B2CF9AE}" pid="4" name="ClassificationContentMarkingFooterText">
    <vt:lpwstr>Confidential</vt:lpwstr>
  </property>
  <property fmtid="{D5CDD505-2E9C-101B-9397-08002B2CF9AE}" pid="5" name="ContentTypeId">
    <vt:lpwstr>0x010100556EABB8B3F65B47BE025CC264113219</vt:lpwstr>
  </property>
  <property fmtid="{D5CDD505-2E9C-101B-9397-08002B2CF9AE}" pid="6" name="MediaServiceImageTags">
    <vt:lpwstr/>
  </property>
  <property fmtid="{D5CDD505-2E9C-101B-9397-08002B2CF9AE}" pid="7" name="docLang">
    <vt:lpwstr>en</vt:lpwstr>
  </property>
</Properties>
</file>