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C6E8" w14:textId="7D7E8F9D" w:rsidR="009D21D9" w:rsidRPr="0053724D" w:rsidRDefault="008970B5" w:rsidP="0053724D">
      <w:pPr>
        <w:spacing w:after="60"/>
        <w:jc w:val="both"/>
        <w:rPr>
          <w:rFonts w:ascii="Funnel Sans" w:hAnsi="Funnel Sans"/>
        </w:rPr>
      </w:pPr>
      <w:r w:rsidRPr="0053724D">
        <w:rPr>
          <w:rFonts w:ascii="Funnel Sans" w:hAnsi="Funnel Sans"/>
          <w:color w:val="002924"/>
          <w:sz w:val="36"/>
          <w:szCs w:val="36"/>
        </w:rPr>
        <w:t>NVF Due Diligence Responses</w:t>
      </w:r>
    </w:p>
    <w:p w14:paraId="534AC6EA" w14:textId="0CD4DCBF" w:rsidR="009D21D9" w:rsidRPr="0053724D" w:rsidRDefault="009D21D9" w:rsidP="0053724D">
      <w:pPr>
        <w:pBdr>
          <w:bottom w:val="single" w:sz="6" w:space="8" w:color="002924"/>
        </w:pBdr>
        <w:spacing w:after="300"/>
        <w:jc w:val="both"/>
        <w:rPr>
          <w:rFonts w:ascii="Funnel Sans" w:hAnsi="Funnel Sans"/>
        </w:rPr>
      </w:pPr>
    </w:p>
    <w:p w14:paraId="534AC6EC" w14:textId="77777777" w:rsidR="009D21D9" w:rsidRPr="00316E91" w:rsidRDefault="00000000" w:rsidP="00316E91">
      <w:pPr>
        <w:pStyle w:val="Heading2"/>
        <w:jc w:val="both"/>
        <w:rPr>
          <w:rFonts w:ascii="Funnel Sans" w:hAnsi="Funnel Sans"/>
          <w:b/>
          <w:bCs/>
        </w:rPr>
      </w:pPr>
      <w:r w:rsidRPr="00316E91">
        <w:rPr>
          <w:rFonts w:ascii="Funnel Sans" w:hAnsi="Funnel Sans"/>
          <w:b/>
          <w:bCs/>
        </w:rPr>
        <w:t>If the company could only prioritize two programs, which targets would be the most interesting ones to prioritize? What criteria would the team use to make that decision?</w:t>
      </w:r>
    </w:p>
    <w:p w14:paraId="3949E412" w14:textId="4DB9E529" w:rsidR="0013127A" w:rsidRPr="00316E91" w:rsidRDefault="00BB4ECC" w:rsidP="00316E91">
      <w:pPr>
        <w:pBdr>
          <w:bottom w:val="single" w:sz="4" w:space="8" w:color="B1C8B0"/>
        </w:pBdr>
        <w:spacing w:before="200" w:after="200"/>
        <w:jc w:val="both"/>
        <w:rPr>
          <w:rFonts w:ascii="Funnel Sans" w:hAnsi="Funnel Sans"/>
          <w:sz w:val="22"/>
          <w:szCs w:val="22"/>
        </w:rPr>
      </w:pPr>
      <w:r w:rsidRPr="00316E91">
        <w:rPr>
          <w:rFonts w:ascii="Funnel Sans" w:hAnsi="Funnel Sans"/>
          <w:sz w:val="22"/>
          <w:szCs w:val="22"/>
        </w:rPr>
        <w:t xml:space="preserve">We’ll hold off on naming specific targets in favor of letting Hit ID campaigns </w:t>
      </w:r>
      <w:proofErr w:type="gramStart"/>
      <w:r w:rsidRPr="00316E91">
        <w:rPr>
          <w:rFonts w:ascii="Funnel Sans" w:hAnsi="Funnel Sans"/>
          <w:sz w:val="22"/>
          <w:szCs w:val="22"/>
        </w:rPr>
        <w:t>readout</w:t>
      </w:r>
      <w:proofErr w:type="gramEnd"/>
      <w:r w:rsidRPr="00316E91">
        <w:rPr>
          <w:rFonts w:ascii="Funnel Sans" w:hAnsi="Funnel Sans"/>
          <w:sz w:val="22"/>
          <w:szCs w:val="22"/>
        </w:rPr>
        <w:t xml:space="preserve"> over the next 3 months. </w:t>
      </w:r>
      <w:r w:rsidR="001E2F68" w:rsidRPr="00316E91">
        <w:rPr>
          <w:rFonts w:ascii="Funnel Sans" w:hAnsi="Funnel Sans"/>
          <w:sz w:val="22"/>
          <w:szCs w:val="22"/>
        </w:rPr>
        <w:t>W</w:t>
      </w:r>
      <w:r w:rsidR="00A04F98" w:rsidRPr="00316E91">
        <w:rPr>
          <w:rFonts w:ascii="Funnel Sans" w:hAnsi="Funnel Sans"/>
          <w:sz w:val="22"/>
          <w:szCs w:val="22"/>
        </w:rPr>
        <w:t xml:space="preserve">e remain </w:t>
      </w:r>
      <w:r w:rsidR="00291126" w:rsidRPr="00316E91">
        <w:rPr>
          <w:rFonts w:ascii="Funnel Sans" w:hAnsi="Funnel Sans"/>
          <w:sz w:val="22"/>
          <w:szCs w:val="22"/>
        </w:rPr>
        <w:t>committed to advancing all five internal programs through initial screening</w:t>
      </w:r>
      <w:r w:rsidR="00B26781" w:rsidRPr="00316E91">
        <w:rPr>
          <w:rFonts w:ascii="Funnel Sans" w:hAnsi="Funnel Sans"/>
          <w:sz w:val="22"/>
          <w:szCs w:val="22"/>
        </w:rPr>
        <w:t>.</w:t>
      </w:r>
      <w:r w:rsidR="00A04F98" w:rsidRPr="00316E91">
        <w:rPr>
          <w:rFonts w:ascii="Funnel Sans" w:hAnsi="Funnel Sans"/>
          <w:sz w:val="22"/>
          <w:szCs w:val="22"/>
        </w:rPr>
        <w:t xml:space="preserve"> </w:t>
      </w:r>
    </w:p>
    <w:p w14:paraId="08642469" w14:textId="5521C7FC" w:rsidR="006C4C25" w:rsidRPr="00316E91" w:rsidRDefault="00020CAA" w:rsidP="00316E91">
      <w:pPr>
        <w:pBdr>
          <w:bottom w:val="single" w:sz="4" w:space="8" w:color="B1C8B0"/>
        </w:pBdr>
        <w:spacing w:before="200" w:after="200"/>
        <w:jc w:val="both"/>
        <w:rPr>
          <w:rFonts w:ascii="Funnel Sans" w:hAnsi="Funnel Sans"/>
          <w:sz w:val="22"/>
          <w:szCs w:val="22"/>
        </w:rPr>
      </w:pPr>
      <w:r w:rsidRPr="00316E91">
        <w:rPr>
          <w:rFonts w:ascii="Funnel Sans" w:hAnsi="Funnel Sans"/>
          <w:sz w:val="22"/>
          <w:szCs w:val="22"/>
        </w:rPr>
        <w:t>At that point w</w:t>
      </w:r>
      <w:r w:rsidR="00291126" w:rsidRPr="00316E91">
        <w:rPr>
          <w:rFonts w:ascii="Funnel Sans" w:hAnsi="Funnel Sans"/>
          <w:sz w:val="22"/>
          <w:szCs w:val="22"/>
        </w:rPr>
        <w:t xml:space="preserve">e expect that data to sharpen prioritization naturally through </w:t>
      </w:r>
      <w:r w:rsidR="00636E85" w:rsidRPr="00316E91">
        <w:rPr>
          <w:rFonts w:ascii="Funnel Sans" w:hAnsi="Funnel Sans"/>
          <w:sz w:val="22"/>
          <w:szCs w:val="22"/>
        </w:rPr>
        <w:t>differential binder affinity, selectivity and tractability across the programs</w:t>
      </w:r>
      <w:r w:rsidR="009A68F2" w:rsidRPr="00316E91">
        <w:rPr>
          <w:rFonts w:ascii="Funnel Sans" w:hAnsi="Funnel Sans"/>
          <w:sz w:val="22"/>
          <w:szCs w:val="22"/>
        </w:rPr>
        <w:t>.</w:t>
      </w:r>
      <w:r w:rsidR="00702FE0" w:rsidRPr="00316E91">
        <w:rPr>
          <w:rFonts w:ascii="Funnel Sans" w:hAnsi="Funnel Sans"/>
          <w:sz w:val="22"/>
          <w:szCs w:val="22"/>
        </w:rPr>
        <w:t xml:space="preserve"> </w:t>
      </w:r>
      <w:r w:rsidR="00E75714" w:rsidRPr="00316E91">
        <w:rPr>
          <w:rFonts w:ascii="Funnel Sans" w:hAnsi="Funnel Sans"/>
          <w:sz w:val="22"/>
          <w:szCs w:val="22"/>
        </w:rPr>
        <w:t>If screening / hit ID data is equivalent, w</w:t>
      </w:r>
      <w:r w:rsidR="00636E85" w:rsidRPr="00316E91">
        <w:rPr>
          <w:rFonts w:ascii="Funnel Sans" w:hAnsi="Funnel Sans"/>
          <w:sz w:val="22"/>
          <w:szCs w:val="22"/>
        </w:rPr>
        <w:t>e would likely review targets for strength of expression / cleanliness</w:t>
      </w:r>
      <w:r w:rsidR="00CD6FE5" w:rsidRPr="00316E91">
        <w:rPr>
          <w:rFonts w:ascii="Funnel Sans" w:hAnsi="Funnel Sans"/>
          <w:sz w:val="22"/>
          <w:szCs w:val="22"/>
        </w:rPr>
        <w:t xml:space="preserve">. </w:t>
      </w:r>
      <w:r w:rsidR="00E75714" w:rsidRPr="00316E91">
        <w:rPr>
          <w:rFonts w:ascii="Funnel Sans" w:hAnsi="Funnel Sans"/>
          <w:sz w:val="22"/>
          <w:szCs w:val="22"/>
        </w:rPr>
        <w:t xml:space="preserve">Lastly, we would likely aim to diversify across indications, perhaps picking </w:t>
      </w:r>
      <w:r w:rsidR="008B0D44" w:rsidRPr="00316E91">
        <w:rPr>
          <w:rFonts w:ascii="Funnel Sans" w:hAnsi="Funnel Sans"/>
          <w:sz w:val="22"/>
          <w:szCs w:val="22"/>
        </w:rPr>
        <w:t>one</w:t>
      </w:r>
      <w:r w:rsidR="00E75714" w:rsidRPr="00316E91">
        <w:rPr>
          <w:rFonts w:ascii="Funnel Sans" w:hAnsi="Funnel Sans"/>
          <w:sz w:val="22"/>
          <w:szCs w:val="22"/>
        </w:rPr>
        <w:t xml:space="preserve"> prostate target and one non-prostate target.</w:t>
      </w:r>
    </w:p>
    <w:p w14:paraId="79EBA233" w14:textId="66887C5D" w:rsidR="00E75714" w:rsidRPr="00316E91" w:rsidRDefault="006C4C25" w:rsidP="00316E91">
      <w:pPr>
        <w:pBdr>
          <w:bottom w:val="single" w:sz="4" w:space="8" w:color="B1C8B0"/>
        </w:pBdr>
        <w:spacing w:before="200" w:after="200"/>
        <w:jc w:val="both"/>
        <w:rPr>
          <w:rFonts w:ascii="Funnel Sans" w:hAnsi="Funnel Sans"/>
          <w:sz w:val="22"/>
          <w:szCs w:val="22"/>
        </w:rPr>
      </w:pPr>
      <w:r w:rsidRPr="00316E91">
        <w:rPr>
          <w:rFonts w:ascii="Funnel Sans" w:hAnsi="Funnel Sans"/>
          <w:sz w:val="22"/>
          <w:szCs w:val="22"/>
        </w:rPr>
        <w:t xml:space="preserve">Note: CLDN1 is likely to </w:t>
      </w:r>
      <w:r w:rsidR="008A77E0" w:rsidRPr="00316E91">
        <w:rPr>
          <w:rFonts w:ascii="Funnel Sans" w:hAnsi="Funnel Sans"/>
          <w:sz w:val="22"/>
          <w:szCs w:val="22"/>
        </w:rPr>
        <w:t>take additional time due to transmembrane protein handling requirements.</w:t>
      </w:r>
    </w:p>
    <w:p w14:paraId="534AC6EF" w14:textId="77777777" w:rsidR="009D21D9" w:rsidRPr="00316E91" w:rsidRDefault="00000000" w:rsidP="00316E91">
      <w:pPr>
        <w:pStyle w:val="Heading2"/>
        <w:jc w:val="both"/>
        <w:rPr>
          <w:rFonts w:ascii="Funnel Sans" w:hAnsi="Funnel Sans"/>
          <w:b/>
          <w:bCs/>
        </w:rPr>
      </w:pPr>
      <w:r w:rsidRPr="00316E91">
        <w:rPr>
          <w:rFonts w:ascii="Funnel Sans" w:hAnsi="Funnel Sans"/>
          <w:b/>
          <w:bCs/>
        </w:rPr>
        <w:t>Would that change the budget considerations and the progress of the programs? For example, would the company be able to advance even one program into the clinic and achieve Ph1 data on the $80 seed financing?</w:t>
      </w:r>
    </w:p>
    <w:p w14:paraId="73117EC0" w14:textId="77777777" w:rsidR="00813BDF" w:rsidRPr="00316E91" w:rsidRDefault="009059C8" w:rsidP="00316E91">
      <w:pPr>
        <w:spacing w:after="200" w:line="276" w:lineRule="auto"/>
        <w:jc w:val="both"/>
        <w:rPr>
          <w:rFonts w:ascii="Funnel Sans" w:hAnsi="Funnel Sans"/>
          <w:sz w:val="22"/>
          <w:szCs w:val="22"/>
        </w:rPr>
      </w:pPr>
      <w:r w:rsidRPr="00316E91">
        <w:rPr>
          <w:rFonts w:ascii="Funnel Sans" w:hAnsi="Funnel Sans"/>
          <w:sz w:val="22"/>
          <w:szCs w:val="22"/>
        </w:rPr>
        <w:t xml:space="preserve">Narrowing the portfolio would certainly extend runway and allow us to advance further through clinical studies. </w:t>
      </w:r>
      <w:r w:rsidR="00E0344D" w:rsidRPr="00316E91">
        <w:rPr>
          <w:rFonts w:ascii="Funnel Sans" w:hAnsi="Funnel Sans"/>
          <w:sz w:val="22"/>
          <w:szCs w:val="22"/>
        </w:rPr>
        <w:t>Based on our experience and recent benchmarked transactions,</w:t>
      </w:r>
      <w:r w:rsidRPr="00316E91">
        <w:rPr>
          <w:rFonts w:ascii="Funnel Sans" w:hAnsi="Funnel Sans"/>
          <w:sz w:val="22"/>
          <w:szCs w:val="22"/>
        </w:rPr>
        <w:t xml:space="preserve"> Phase 0 human dosimetry i</w:t>
      </w:r>
      <w:r w:rsidR="0083231D" w:rsidRPr="00316E91">
        <w:rPr>
          <w:rFonts w:ascii="Funnel Sans" w:hAnsi="Funnel Sans"/>
          <w:sz w:val="22"/>
          <w:szCs w:val="22"/>
        </w:rPr>
        <w:t>s the</w:t>
      </w:r>
      <w:r w:rsidRPr="00316E91">
        <w:rPr>
          <w:rFonts w:ascii="Funnel Sans" w:hAnsi="Funnel Sans"/>
          <w:sz w:val="22"/>
          <w:szCs w:val="22"/>
        </w:rPr>
        <w:t xml:space="preserve"> primary </w:t>
      </w:r>
      <w:r w:rsidR="0083231D" w:rsidRPr="00316E91">
        <w:rPr>
          <w:rFonts w:ascii="Funnel Sans" w:hAnsi="Funnel Sans"/>
          <w:sz w:val="22"/>
          <w:szCs w:val="22"/>
        </w:rPr>
        <w:t>derisking/</w:t>
      </w:r>
      <w:r w:rsidRPr="00316E91">
        <w:rPr>
          <w:rFonts w:ascii="Funnel Sans" w:hAnsi="Funnel Sans"/>
          <w:sz w:val="22"/>
          <w:szCs w:val="22"/>
        </w:rPr>
        <w:t>value inflection point in RLT</w:t>
      </w:r>
      <w:r w:rsidR="009D5493" w:rsidRPr="00316E91">
        <w:rPr>
          <w:rFonts w:ascii="Funnel Sans" w:hAnsi="Funnel Sans"/>
          <w:sz w:val="22"/>
          <w:szCs w:val="22"/>
        </w:rPr>
        <w:t>. T</w:t>
      </w:r>
      <w:r w:rsidRPr="00316E91">
        <w:rPr>
          <w:rFonts w:ascii="Funnel Sans" w:hAnsi="Funnel Sans"/>
          <w:sz w:val="22"/>
          <w:szCs w:val="22"/>
        </w:rPr>
        <w:t xml:space="preserve">he seed financing is sized to reach that milestone on </w:t>
      </w:r>
      <w:r w:rsidR="00552AF7" w:rsidRPr="00316E91">
        <w:rPr>
          <w:rFonts w:ascii="Funnel Sans" w:hAnsi="Funnel Sans"/>
          <w:sz w:val="22"/>
          <w:szCs w:val="22"/>
        </w:rPr>
        <w:t>two</w:t>
      </w:r>
      <w:r w:rsidRPr="00316E91">
        <w:rPr>
          <w:rFonts w:ascii="Funnel Sans" w:hAnsi="Funnel Sans"/>
          <w:sz w:val="22"/>
          <w:szCs w:val="22"/>
        </w:rPr>
        <w:t xml:space="preserve"> programs. </w:t>
      </w:r>
    </w:p>
    <w:p w14:paraId="34349FDA" w14:textId="1654FE27" w:rsidR="009059C8" w:rsidRPr="00316E91" w:rsidRDefault="009059C8" w:rsidP="00316E91">
      <w:pPr>
        <w:spacing w:after="200" w:line="276" w:lineRule="auto"/>
        <w:jc w:val="both"/>
        <w:rPr>
          <w:rFonts w:ascii="Funnel Sans" w:hAnsi="Funnel Sans"/>
          <w:sz w:val="22"/>
          <w:szCs w:val="22"/>
        </w:rPr>
      </w:pPr>
      <w:r w:rsidRPr="00316E91">
        <w:rPr>
          <w:rFonts w:ascii="Funnel Sans" w:hAnsi="Funnel Sans"/>
          <w:sz w:val="22"/>
          <w:szCs w:val="22"/>
        </w:rPr>
        <w:t xml:space="preserve">Phase 1 efficacy data within a seed round is possible in a two-program scenario, but it </w:t>
      </w:r>
      <w:r w:rsidR="000B4F18" w:rsidRPr="00316E91">
        <w:rPr>
          <w:rFonts w:ascii="Funnel Sans" w:hAnsi="Funnel Sans"/>
          <w:sz w:val="22"/>
          <w:szCs w:val="22"/>
        </w:rPr>
        <w:t>severely</w:t>
      </w:r>
      <w:r w:rsidRPr="00316E91">
        <w:rPr>
          <w:rFonts w:ascii="Funnel Sans" w:hAnsi="Funnel Sans"/>
          <w:sz w:val="22"/>
          <w:szCs w:val="22"/>
        </w:rPr>
        <w:t xml:space="preserve"> concentrates risk on a single readout. Sego's plan prioritizes generating Phase 0 data across two targets, selecting lead compounds with human evidence, and entering </w:t>
      </w:r>
      <w:proofErr w:type="gramStart"/>
      <w:r w:rsidRPr="00316E91">
        <w:rPr>
          <w:rFonts w:ascii="Funnel Sans" w:hAnsi="Funnel Sans"/>
          <w:sz w:val="22"/>
          <w:szCs w:val="22"/>
        </w:rPr>
        <w:t>the Series</w:t>
      </w:r>
      <w:proofErr w:type="gramEnd"/>
      <w:r w:rsidRPr="00316E91">
        <w:rPr>
          <w:rFonts w:ascii="Funnel Sans" w:hAnsi="Funnel Sans"/>
          <w:sz w:val="22"/>
          <w:szCs w:val="22"/>
        </w:rPr>
        <w:t xml:space="preserve"> A with the most de-risked and transactable dataset. </w:t>
      </w:r>
    </w:p>
    <w:p w14:paraId="534AC6F1" w14:textId="6AE58622" w:rsidR="009D21D9" w:rsidRPr="00316E91" w:rsidRDefault="003F57DD" w:rsidP="00316E91">
      <w:pPr>
        <w:spacing w:after="200" w:line="276" w:lineRule="auto"/>
        <w:jc w:val="both"/>
        <w:rPr>
          <w:rFonts w:ascii="Funnel Sans" w:hAnsi="Funnel Sans"/>
          <w:sz w:val="22"/>
          <w:szCs w:val="22"/>
        </w:rPr>
      </w:pPr>
      <w:r w:rsidRPr="00316E91">
        <w:rPr>
          <w:rFonts w:ascii="Funnel Sans" w:hAnsi="Funnel Sans"/>
          <w:sz w:val="22"/>
          <w:szCs w:val="22"/>
        </w:rPr>
        <w:t xml:space="preserve">Benchmarked transactions: OncoACP3 acquired by BMS for $1.35B, and </w:t>
      </w:r>
      <w:proofErr w:type="spellStart"/>
      <w:r w:rsidRPr="00316E91">
        <w:rPr>
          <w:rFonts w:ascii="Funnel Sans" w:hAnsi="Funnel Sans"/>
          <w:sz w:val="22"/>
          <w:szCs w:val="22"/>
        </w:rPr>
        <w:t>Aktis</w:t>
      </w:r>
      <w:proofErr w:type="spellEnd"/>
      <w:r w:rsidRPr="00316E91">
        <w:rPr>
          <w:rFonts w:ascii="Funnel Sans" w:hAnsi="Funnel Sans"/>
          <w:sz w:val="22"/>
          <w:szCs w:val="22"/>
        </w:rPr>
        <w:t xml:space="preserve"> was valued at $1.2B in their recent IPO, all </w:t>
      </w:r>
      <w:r w:rsidR="00C87327" w:rsidRPr="00316E91">
        <w:rPr>
          <w:rFonts w:ascii="Funnel Sans" w:hAnsi="Funnel Sans"/>
          <w:sz w:val="22"/>
          <w:szCs w:val="22"/>
        </w:rPr>
        <w:t xml:space="preserve">largely </w:t>
      </w:r>
      <w:r w:rsidRPr="00316E91">
        <w:rPr>
          <w:rFonts w:ascii="Funnel Sans" w:hAnsi="Funnel Sans"/>
          <w:sz w:val="22"/>
          <w:szCs w:val="22"/>
        </w:rPr>
        <w:t>on Phase 0 dosimetry</w:t>
      </w:r>
      <w:r w:rsidR="00C87327" w:rsidRPr="00316E91">
        <w:rPr>
          <w:rFonts w:ascii="Funnel Sans" w:hAnsi="Funnel Sans"/>
          <w:sz w:val="22"/>
          <w:szCs w:val="22"/>
        </w:rPr>
        <w:t xml:space="preserve"> of lead compound</w:t>
      </w:r>
      <w:r w:rsidRPr="00316E91">
        <w:rPr>
          <w:rFonts w:ascii="Funnel Sans" w:hAnsi="Funnel Sans"/>
          <w:sz w:val="22"/>
          <w:szCs w:val="22"/>
        </w:rPr>
        <w:t xml:space="preserve">. </w:t>
      </w:r>
    </w:p>
    <w:p w14:paraId="534AC6F2" w14:textId="77777777" w:rsidR="009D21D9" w:rsidRPr="00316E91" w:rsidRDefault="00000000" w:rsidP="00316E91">
      <w:pPr>
        <w:pStyle w:val="Heading2"/>
        <w:jc w:val="both"/>
        <w:rPr>
          <w:rFonts w:ascii="Funnel Sans" w:hAnsi="Funnel Sans"/>
          <w:b/>
          <w:bCs/>
        </w:rPr>
      </w:pPr>
      <w:r w:rsidRPr="00316E91">
        <w:rPr>
          <w:rFonts w:ascii="Funnel Sans" w:hAnsi="Funnel Sans"/>
          <w:b/>
          <w:bCs/>
        </w:rPr>
        <w:t>For prostate cancer, what subset of patients would be best suited for a KLK2 or ACP3-targeted therapy especially when considering the dominant PSMA-targeted approaches? Would this be post-ARPI, PSMA negative or refractory patients for example? Is this pre or post Pluvicto? How would this generally compete with PSMA RLTs – not just Pluvicto but also next-gen PSMA approaches?</w:t>
      </w:r>
    </w:p>
    <w:p w14:paraId="349A86D2" w14:textId="1324FF48" w:rsidR="00694FC6"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lastRenderedPageBreak/>
        <w:t>The initial patient population for both ACP3 and KLK2 is post-ARPI mCRPC, including both PSMA-positive and PSMA-negative patients</w:t>
      </w:r>
      <w:r w:rsidR="00F92599" w:rsidRPr="00316E91">
        <w:rPr>
          <w:rFonts w:ascii="Funnel Sans" w:hAnsi="Funnel Sans"/>
          <w:sz w:val="22"/>
          <w:szCs w:val="22"/>
        </w:rPr>
        <w:t>. There is a minimum e</w:t>
      </w:r>
      <w:r w:rsidR="00CC5F9D" w:rsidRPr="00316E91">
        <w:rPr>
          <w:rFonts w:ascii="Funnel Sans" w:hAnsi="Funnel Sans"/>
          <w:sz w:val="22"/>
          <w:szCs w:val="22"/>
        </w:rPr>
        <w:t xml:space="preserve">nrollment </w:t>
      </w:r>
      <w:r w:rsidR="00694FC6" w:rsidRPr="00316E91">
        <w:rPr>
          <w:rFonts w:ascii="Funnel Sans" w:hAnsi="Funnel Sans"/>
          <w:sz w:val="22"/>
          <w:szCs w:val="22"/>
        </w:rPr>
        <w:t>for the</w:t>
      </w:r>
      <w:r w:rsidR="00D905C0" w:rsidRPr="00316E91">
        <w:rPr>
          <w:rFonts w:ascii="Funnel Sans" w:hAnsi="Funnel Sans"/>
          <w:sz w:val="22"/>
          <w:szCs w:val="22"/>
        </w:rPr>
        <w:t xml:space="preserve"> </w:t>
      </w:r>
      <w:r w:rsidRPr="00316E91">
        <w:rPr>
          <w:rFonts w:ascii="Funnel Sans" w:hAnsi="Funnel Sans"/>
          <w:sz w:val="22"/>
          <w:szCs w:val="22"/>
        </w:rPr>
        <w:t>~15% of high-risk mCRPC patient</w:t>
      </w:r>
      <w:r w:rsidR="004053F3" w:rsidRPr="00316E91">
        <w:rPr>
          <w:rFonts w:ascii="Funnel Sans" w:hAnsi="Funnel Sans"/>
          <w:sz w:val="22"/>
          <w:szCs w:val="22"/>
        </w:rPr>
        <w:t xml:space="preserve"> cohort</w:t>
      </w:r>
      <w:r w:rsidRPr="00316E91">
        <w:rPr>
          <w:rFonts w:ascii="Funnel Sans" w:hAnsi="Funnel Sans"/>
          <w:sz w:val="22"/>
          <w:szCs w:val="22"/>
        </w:rPr>
        <w:t xml:space="preserve"> who are PSMA-low/negative and currently ineligible for any PSMA-targeted therapy. </w:t>
      </w:r>
    </w:p>
    <w:p w14:paraId="105E479C" w14:textId="77777777" w:rsidR="00DC0701"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Both programs are designed to operate</w:t>
      </w:r>
      <w:r w:rsidR="00134652" w:rsidRPr="00316E91">
        <w:rPr>
          <w:rFonts w:ascii="Funnel Sans" w:hAnsi="Funnel Sans"/>
          <w:sz w:val="22"/>
          <w:szCs w:val="22"/>
        </w:rPr>
        <w:t xml:space="preserve"> eventually</w:t>
      </w:r>
      <w:r w:rsidRPr="00316E91">
        <w:rPr>
          <w:rFonts w:ascii="Funnel Sans" w:hAnsi="Funnel Sans"/>
          <w:sz w:val="22"/>
          <w:szCs w:val="22"/>
        </w:rPr>
        <w:t xml:space="preserve"> in both pre- and post-Pluvicto settings. In the post-Pluvicto population, there is no established standard of care, and ACP3/KLK2 target different antigens with no meaningful overlap in organ-at-risk exposure beyond kidney. </w:t>
      </w:r>
    </w:p>
    <w:p w14:paraId="1BD937F9" w14:textId="77777777" w:rsidR="00CC72E0"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In the pre-Pluvicto or Pluvicto-eligible population, the intent is head-to-head superiority: ACP3</w:t>
      </w:r>
      <w:r w:rsidR="0025379F" w:rsidRPr="00316E91">
        <w:rPr>
          <w:rFonts w:ascii="Funnel Sans" w:hAnsi="Funnel Sans"/>
          <w:sz w:val="22"/>
          <w:szCs w:val="22"/>
        </w:rPr>
        <w:t xml:space="preserve"> and KLK2 have</w:t>
      </w:r>
      <w:r w:rsidRPr="00316E91">
        <w:rPr>
          <w:rFonts w:ascii="Funnel Sans" w:hAnsi="Funnel Sans"/>
          <w:sz w:val="22"/>
          <w:szCs w:val="22"/>
        </w:rPr>
        <w:t xml:space="preserve"> no expression in salivary gland or kidney, eliminating Pluvicto’s dose-limiting toxicities, which</w:t>
      </w:r>
      <w:r w:rsidR="00CC72E0" w:rsidRPr="00316E91">
        <w:rPr>
          <w:rFonts w:ascii="Funnel Sans" w:hAnsi="Funnel Sans"/>
          <w:sz w:val="22"/>
          <w:szCs w:val="22"/>
        </w:rPr>
        <w:t xml:space="preserve"> </w:t>
      </w:r>
      <w:r w:rsidRPr="00316E91">
        <w:rPr>
          <w:rFonts w:ascii="Funnel Sans" w:hAnsi="Funnel Sans"/>
          <w:sz w:val="22"/>
          <w:szCs w:val="22"/>
        </w:rPr>
        <w:t xml:space="preserve">higher cumulative tumor dose, </w:t>
      </w:r>
      <w:r w:rsidR="00CC72E0" w:rsidRPr="00316E91">
        <w:rPr>
          <w:rFonts w:ascii="Funnel Sans" w:hAnsi="Funnel Sans"/>
          <w:sz w:val="22"/>
          <w:szCs w:val="22"/>
        </w:rPr>
        <w:t>leading to</w:t>
      </w:r>
      <w:r w:rsidRPr="00316E91">
        <w:rPr>
          <w:rFonts w:ascii="Funnel Sans" w:hAnsi="Funnel Sans"/>
          <w:sz w:val="22"/>
          <w:szCs w:val="22"/>
        </w:rPr>
        <w:t xml:space="preserve"> better PFS/OS. </w:t>
      </w:r>
    </w:p>
    <w:p w14:paraId="534AC6F3" w14:textId="6A0C6ADE" w:rsidR="009D21D9" w:rsidRPr="00316E91" w:rsidRDefault="00870172" w:rsidP="00316E91">
      <w:pPr>
        <w:spacing w:after="200" w:line="276" w:lineRule="auto"/>
        <w:jc w:val="both"/>
        <w:rPr>
          <w:rFonts w:ascii="Funnel Sans" w:hAnsi="Funnel Sans"/>
          <w:sz w:val="22"/>
          <w:szCs w:val="22"/>
        </w:rPr>
      </w:pPr>
      <w:r w:rsidRPr="00316E91">
        <w:rPr>
          <w:rFonts w:ascii="Funnel Sans" w:hAnsi="Funnel Sans"/>
          <w:sz w:val="22"/>
          <w:szCs w:val="22"/>
        </w:rPr>
        <w:t xml:space="preserve">Next-generation PSMA approaches </w:t>
      </w:r>
      <w:r w:rsidR="00EA1AD0" w:rsidRPr="00316E91">
        <w:rPr>
          <w:rFonts w:ascii="Funnel Sans" w:hAnsi="Funnel Sans"/>
          <w:sz w:val="22"/>
          <w:szCs w:val="22"/>
        </w:rPr>
        <w:t xml:space="preserve">cannot </w:t>
      </w:r>
      <w:r w:rsidR="0066166A" w:rsidRPr="00316E91">
        <w:rPr>
          <w:rFonts w:ascii="Funnel Sans" w:hAnsi="Funnel Sans"/>
          <w:sz w:val="22"/>
          <w:szCs w:val="22"/>
        </w:rPr>
        <w:t xml:space="preserve">bypass target mediated uptake in </w:t>
      </w:r>
      <w:r w:rsidR="00AE2B1F" w:rsidRPr="00316E91">
        <w:rPr>
          <w:rFonts w:ascii="Funnel Sans" w:hAnsi="Funnel Sans"/>
          <w:sz w:val="22"/>
          <w:szCs w:val="22"/>
        </w:rPr>
        <w:t xml:space="preserve">those </w:t>
      </w:r>
      <w:r w:rsidR="0066166A" w:rsidRPr="00316E91">
        <w:rPr>
          <w:rFonts w:ascii="Funnel Sans" w:hAnsi="Funnel Sans"/>
          <w:sz w:val="22"/>
          <w:szCs w:val="22"/>
        </w:rPr>
        <w:t xml:space="preserve">dose limiting organs. </w:t>
      </w:r>
      <w:r w:rsidRPr="00316E91">
        <w:rPr>
          <w:rFonts w:ascii="Funnel Sans" w:hAnsi="Funnel Sans"/>
          <w:sz w:val="22"/>
          <w:szCs w:val="22"/>
        </w:rPr>
        <w:t>ACP3 and KLK2 sidestep this entirely. The wider therapeutic index</w:t>
      </w:r>
      <w:r w:rsidR="00AE2B1F" w:rsidRPr="00316E91">
        <w:rPr>
          <w:rFonts w:ascii="Funnel Sans" w:hAnsi="Funnel Sans"/>
          <w:sz w:val="22"/>
          <w:szCs w:val="22"/>
        </w:rPr>
        <w:t xml:space="preserve"> derived from lower </w:t>
      </w:r>
      <w:r w:rsidR="00FE16F9" w:rsidRPr="00316E91">
        <w:rPr>
          <w:rFonts w:ascii="Funnel Sans" w:hAnsi="Funnel Sans"/>
          <w:sz w:val="22"/>
          <w:szCs w:val="22"/>
        </w:rPr>
        <w:t xml:space="preserve">uptake in dose limiting organs </w:t>
      </w:r>
      <w:r w:rsidRPr="00316E91">
        <w:rPr>
          <w:rFonts w:ascii="Funnel Sans" w:hAnsi="Funnel Sans"/>
          <w:sz w:val="22"/>
          <w:szCs w:val="22"/>
        </w:rPr>
        <w:t>supports earlier-line positioning</w:t>
      </w:r>
      <w:r w:rsidR="00FE16F9" w:rsidRPr="00316E91">
        <w:rPr>
          <w:rFonts w:ascii="Funnel Sans" w:hAnsi="Funnel Sans"/>
          <w:sz w:val="22"/>
          <w:szCs w:val="22"/>
        </w:rPr>
        <w:t xml:space="preserve">. </w:t>
      </w:r>
    </w:p>
    <w:p w14:paraId="534AC6F4"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6F5" w14:textId="77777777" w:rsidR="009D21D9" w:rsidRPr="00316E91" w:rsidRDefault="00000000" w:rsidP="00316E91">
      <w:pPr>
        <w:pStyle w:val="Heading2"/>
        <w:jc w:val="both"/>
        <w:rPr>
          <w:rFonts w:ascii="Funnel Sans" w:hAnsi="Funnel Sans"/>
          <w:b/>
          <w:bCs/>
        </w:rPr>
      </w:pPr>
      <w:r w:rsidRPr="00316E91">
        <w:rPr>
          <w:rFonts w:ascii="Funnel Sans" w:hAnsi="Funnel Sans"/>
          <w:b/>
          <w:bCs/>
        </w:rPr>
        <w:t xml:space="preserve">What is the team’s view on J&amp;J’s KLK2 RLT? Aside from some of the </w:t>
      </w:r>
      <w:proofErr w:type="gramStart"/>
      <w:r w:rsidRPr="00316E91">
        <w:rPr>
          <w:rFonts w:ascii="Funnel Sans" w:hAnsi="Funnel Sans"/>
          <w:b/>
          <w:bCs/>
        </w:rPr>
        <w:t>toxicity</w:t>
      </w:r>
      <w:proofErr w:type="gramEnd"/>
      <w:r w:rsidRPr="00316E91">
        <w:rPr>
          <w:rFonts w:ascii="Funnel Sans" w:hAnsi="Funnel Sans"/>
          <w:b/>
          <w:bCs/>
        </w:rPr>
        <w:t xml:space="preserve"> issues that could be derived from their antibody-based format, how will Sego’s KLK2 drug be positioned clinically against J&amp;J?</w:t>
      </w:r>
    </w:p>
    <w:p w14:paraId="27140C1D" w14:textId="77777777" w:rsidR="004B57EB" w:rsidRPr="00316E91" w:rsidRDefault="00654E37" w:rsidP="00316E91">
      <w:pPr>
        <w:spacing w:after="200" w:line="276" w:lineRule="auto"/>
        <w:jc w:val="both"/>
        <w:rPr>
          <w:rFonts w:ascii="Funnel Sans" w:hAnsi="Funnel Sans"/>
          <w:sz w:val="22"/>
          <w:szCs w:val="22"/>
        </w:rPr>
      </w:pPr>
      <w:r w:rsidRPr="00316E91">
        <w:rPr>
          <w:rFonts w:ascii="Funnel Sans" w:hAnsi="Funnel Sans"/>
          <w:sz w:val="22"/>
          <w:szCs w:val="22"/>
        </w:rPr>
        <w:t xml:space="preserve">JNJ-6420 validated KLK2 as a clinically tractable RLT target </w:t>
      </w:r>
      <w:r w:rsidR="001D75AA" w:rsidRPr="00316E91">
        <w:rPr>
          <w:rFonts w:ascii="Funnel Sans" w:hAnsi="Funnel Sans"/>
          <w:sz w:val="22"/>
          <w:szCs w:val="22"/>
        </w:rPr>
        <w:t>through target engagement and dose</w:t>
      </w:r>
      <w:r w:rsidR="00FD4319" w:rsidRPr="00316E91">
        <w:rPr>
          <w:rFonts w:ascii="Funnel Sans" w:hAnsi="Funnel Sans"/>
          <w:sz w:val="22"/>
          <w:szCs w:val="22"/>
        </w:rPr>
        <w:t xml:space="preserve"> dependent response. </w:t>
      </w:r>
      <w:r w:rsidR="00EF3CD5" w:rsidRPr="00316E91">
        <w:rPr>
          <w:rFonts w:ascii="Funnel Sans" w:hAnsi="Funnel Sans"/>
          <w:sz w:val="22"/>
          <w:szCs w:val="22"/>
        </w:rPr>
        <w:t>However, the</w:t>
      </w:r>
      <w:r w:rsidR="00CF2263" w:rsidRPr="00316E91">
        <w:rPr>
          <w:rFonts w:ascii="Funnel Sans" w:hAnsi="Funnel Sans"/>
          <w:sz w:val="22"/>
          <w:szCs w:val="22"/>
        </w:rPr>
        <w:t xml:space="preserve"> Phase 1 data (n=89) reported four treatment-related deaths, including two from ILD at cumulative doses </w:t>
      </w:r>
      <w:r w:rsidR="00CF2263" w:rsidRPr="00316E91">
        <w:rPr>
          <w:rFonts w:ascii="Cambria Math" w:hAnsi="Cambria Math" w:cs="Cambria Math"/>
          <w:sz w:val="22"/>
          <w:szCs w:val="22"/>
        </w:rPr>
        <w:t>≥</w:t>
      </w:r>
      <w:r w:rsidR="00CF2263" w:rsidRPr="00316E91">
        <w:rPr>
          <w:rFonts w:ascii="Funnel Sans" w:hAnsi="Funnel Sans"/>
          <w:sz w:val="22"/>
          <w:szCs w:val="22"/>
        </w:rPr>
        <w:t xml:space="preserve">600 </w:t>
      </w:r>
      <w:proofErr w:type="spellStart"/>
      <w:r w:rsidR="00CF2263" w:rsidRPr="00316E91">
        <w:rPr>
          <w:rFonts w:ascii="Funnel Sans" w:hAnsi="Funnel Sans" w:cs="Funnel Sans"/>
          <w:sz w:val="22"/>
          <w:szCs w:val="22"/>
        </w:rPr>
        <w:t>μ</w:t>
      </w:r>
      <w:r w:rsidR="00CF2263" w:rsidRPr="00316E91">
        <w:rPr>
          <w:rFonts w:ascii="Funnel Sans" w:hAnsi="Funnel Sans"/>
          <w:sz w:val="22"/>
          <w:szCs w:val="22"/>
        </w:rPr>
        <w:t>Ci</w:t>
      </w:r>
      <w:proofErr w:type="spellEnd"/>
      <w:r w:rsidR="00CF2263" w:rsidRPr="00316E91">
        <w:rPr>
          <w:rFonts w:ascii="Funnel Sans" w:hAnsi="Funnel Sans"/>
          <w:sz w:val="22"/>
          <w:szCs w:val="22"/>
        </w:rPr>
        <w:t xml:space="preserve">, with 9% ILD incidence and 63% thrombocytopenia in the </w:t>
      </w:r>
      <w:r w:rsidR="00CF2263" w:rsidRPr="00316E91">
        <w:rPr>
          <w:rFonts w:ascii="Cambria Math" w:hAnsi="Cambria Math" w:cs="Cambria Math"/>
          <w:sz w:val="22"/>
          <w:szCs w:val="22"/>
        </w:rPr>
        <w:t>≥</w:t>
      </w:r>
      <w:r w:rsidR="00CF2263" w:rsidRPr="00316E91">
        <w:rPr>
          <w:rFonts w:ascii="Funnel Sans" w:hAnsi="Funnel Sans"/>
          <w:sz w:val="22"/>
          <w:szCs w:val="22"/>
        </w:rPr>
        <w:t xml:space="preserve">150 </w:t>
      </w:r>
      <w:proofErr w:type="spellStart"/>
      <w:r w:rsidR="00CF2263" w:rsidRPr="00316E91">
        <w:rPr>
          <w:rFonts w:ascii="Funnel Sans" w:hAnsi="Funnel Sans" w:cs="Funnel Sans"/>
          <w:sz w:val="22"/>
          <w:szCs w:val="22"/>
        </w:rPr>
        <w:t>μ</w:t>
      </w:r>
      <w:r w:rsidR="00CF2263" w:rsidRPr="00316E91">
        <w:rPr>
          <w:rFonts w:ascii="Funnel Sans" w:hAnsi="Funnel Sans"/>
          <w:sz w:val="22"/>
          <w:szCs w:val="22"/>
        </w:rPr>
        <w:t>Ci</w:t>
      </w:r>
      <w:proofErr w:type="spellEnd"/>
      <w:r w:rsidR="00CF2263" w:rsidRPr="00316E91">
        <w:rPr>
          <w:rFonts w:ascii="Funnel Sans" w:hAnsi="Funnel Sans"/>
          <w:sz w:val="22"/>
          <w:szCs w:val="22"/>
        </w:rPr>
        <w:t xml:space="preserve"> cohorts </w:t>
      </w:r>
      <w:r w:rsidR="00E16AD7" w:rsidRPr="00316E91">
        <w:rPr>
          <w:rFonts w:ascii="Funnel Sans" w:hAnsi="Funnel Sans"/>
          <w:sz w:val="22"/>
          <w:szCs w:val="22"/>
        </w:rPr>
        <w:t>(</w:t>
      </w:r>
      <w:r w:rsidR="00CF2263" w:rsidRPr="00316E91">
        <w:rPr>
          <w:rFonts w:ascii="Funnel Sans" w:hAnsi="Funnel Sans"/>
          <w:sz w:val="22"/>
          <w:szCs w:val="22"/>
        </w:rPr>
        <w:t>ASCO 2024, JCO 42:5010</w:t>
      </w:r>
      <w:r w:rsidR="00E16AD7" w:rsidRPr="00316E91">
        <w:rPr>
          <w:rFonts w:ascii="Funnel Sans" w:hAnsi="Funnel Sans"/>
          <w:sz w:val="22"/>
          <w:szCs w:val="22"/>
        </w:rPr>
        <w:t xml:space="preserve">). </w:t>
      </w:r>
      <w:r w:rsidR="004B57EB" w:rsidRPr="00316E91">
        <w:rPr>
          <w:rFonts w:ascii="Funnel Sans" w:hAnsi="Funnel Sans"/>
          <w:sz w:val="22"/>
          <w:szCs w:val="22"/>
        </w:rPr>
        <w:t xml:space="preserve"> </w:t>
      </w:r>
    </w:p>
    <w:p w14:paraId="68BC9FF5" w14:textId="77777777" w:rsidR="004B57EB" w:rsidRPr="00316E91" w:rsidRDefault="00CD2910" w:rsidP="00316E91">
      <w:pPr>
        <w:spacing w:after="200" w:line="276" w:lineRule="auto"/>
        <w:jc w:val="both"/>
        <w:rPr>
          <w:rFonts w:ascii="Funnel Sans" w:hAnsi="Funnel Sans"/>
          <w:sz w:val="22"/>
          <w:szCs w:val="22"/>
        </w:rPr>
      </w:pPr>
      <w:r w:rsidRPr="00316E91">
        <w:rPr>
          <w:rFonts w:ascii="Funnel Sans" w:hAnsi="Funnel Sans"/>
          <w:sz w:val="22"/>
          <w:szCs w:val="22"/>
        </w:rPr>
        <w:t>Antibodies cause toxicity with RLT due to the</w:t>
      </w:r>
      <w:r w:rsidR="00090436" w:rsidRPr="00316E91">
        <w:rPr>
          <w:rFonts w:ascii="Funnel Sans" w:hAnsi="Funnel Sans"/>
          <w:sz w:val="22"/>
          <w:szCs w:val="22"/>
        </w:rPr>
        <w:t xml:space="preserve"> </w:t>
      </w:r>
      <w:r w:rsidRPr="00316E91">
        <w:rPr>
          <w:rFonts w:ascii="Funnel Sans" w:hAnsi="Funnel Sans"/>
          <w:sz w:val="22"/>
          <w:szCs w:val="22"/>
        </w:rPr>
        <w:t>(</w:t>
      </w:r>
      <w:proofErr w:type="spellStart"/>
      <w:r w:rsidRPr="00316E91">
        <w:rPr>
          <w:rFonts w:ascii="Funnel Sans" w:hAnsi="Funnel Sans"/>
          <w:sz w:val="22"/>
          <w:szCs w:val="22"/>
        </w:rPr>
        <w:t>i</w:t>
      </w:r>
      <w:proofErr w:type="spellEnd"/>
      <w:r w:rsidRPr="00316E91">
        <w:rPr>
          <w:rFonts w:ascii="Funnel Sans" w:hAnsi="Funnel Sans"/>
          <w:sz w:val="22"/>
          <w:szCs w:val="22"/>
        </w:rPr>
        <w:t xml:space="preserve">) prolonged blood residence (days to weeks) drives sustained marrow irradiation and cumulative lung dose, (ii) Fc-gamma receptor engagement promotes nonspecific hematologic toxicity independent of KLK2 expression, </w:t>
      </w:r>
      <w:r w:rsidR="00090436" w:rsidRPr="00316E91">
        <w:rPr>
          <w:rFonts w:ascii="Funnel Sans" w:hAnsi="Funnel Sans"/>
          <w:sz w:val="22"/>
          <w:szCs w:val="22"/>
        </w:rPr>
        <w:t xml:space="preserve">and </w:t>
      </w:r>
      <w:r w:rsidRPr="00316E91">
        <w:rPr>
          <w:rFonts w:ascii="Funnel Sans" w:hAnsi="Funnel Sans"/>
          <w:sz w:val="22"/>
          <w:szCs w:val="22"/>
        </w:rPr>
        <w:t xml:space="preserve">(iii) saturating mass doses amplify off-target tissue exposure. </w:t>
      </w:r>
    </w:p>
    <w:p w14:paraId="2F6D73EB" w14:textId="1A31821E" w:rsidR="00135EF5" w:rsidRPr="00316E91" w:rsidRDefault="00135EF5" w:rsidP="00316E91">
      <w:pPr>
        <w:spacing w:after="200" w:line="276" w:lineRule="auto"/>
        <w:jc w:val="both"/>
        <w:rPr>
          <w:rFonts w:ascii="Funnel Sans" w:hAnsi="Funnel Sans"/>
          <w:sz w:val="22"/>
          <w:szCs w:val="22"/>
        </w:rPr>
      </w:pPr>
      <w:r w:rsidRPr="00316E91">
        <w:rPr>
          <w:rFonts w:ascii="Funnel Sans" w:hAnsi="Funnel Sans"/>
          <w:sz w:val="22"/>
          <w:szCs w:val="22"/>
        </w:rPr>
        <w:t>More broadly, we believe the combination of antibody PK and alpha-emitting payloads like Ac-225 presents a fundamental pharmacologic mismatch</w:t>
      </w:r>
      <w:r w:rsidR="004B57EB" w:rsidRPr="00316E91">
        <w:rPr>
          <w:rFonts w:ascii="Funnel Sans" w:hAnsi="Funnel Sans"/>
          <w:sz w:val="22"/>
          <w:szCs w:val="22"/>
        </w:rPr>
        <w:t xml:space="preserve">, </w:t>
      </w:r>
      <w:r w:rsidRPr="00316E91">
        <w:rPr>
          <w:rFonts w:ascii="Funnel Sans" w:hAnsi="Funnel Sans"/>
          <w:sz w:val="22"/>
          <w:szCs w:val="22"/>
        </w:rPr>
        <w:t xml:space="preserve">prolonged circulation with high-LET isotope generates unavoidable cumulative normal-tissue </w:t>
      </w:r>
      <w:r w:rsidR="00797582" w:rsidRPr="00316E91">
        <w:rPr>
          <w:rFonts w:ascii="Funnel Sans" w:hAnsi="Funnel Sans"/>
          <w:sz w:val="22"/>
          <w:szCs w:val="22"/>
        </w:rPr>
        <w:t>radiation</w:t>
      </w:r>
      <w:r w:rsidRPr="00316E91">
        <w:rPr>
          <w:rFonts w:ascii="Funnel Sans" w:hAnsi="Funnel Sans"/>
          <w:sz w:val="22"/>
          <w:szCs w:val="22"/>
        </w:rPr>
        <w:t xml:space="preserve"> that will be difficult to manage through dose modification alone, making a viable therapeutic index unlikely</w:t>
      </w:r>
      <w:r w:rsidR="0009198E" w:rsidRPr="00316E91">
        <w:rPr>
          <w:rFonts w:ascii="Funnel Sans" w:hAnsi="Funnel Sans"/>
          <w:sz w:val="22"/>
          <w:szCs w:val="22"/>
        </w:rPr>
        <w:t>.</w:t>
      </w:r>
    </w:p>
    <w:p w14:paraId="77C5E7E1" w14:textId="590A0BE9" w:rsidR="009C5981"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Sego’s </w:t>
      </w:r>
      <w:r w:rsidR="004B57EB" w:rsidRPr="00316E91">
        <w:rPr>
          <w:rFonts w:ascii="Funnel Sans" w:hAnsi="Funnel Sans"/>
          <w:sz w:val="22"/>
          <w:szCs w:val="22"/>
        </w:rPr>
        <w:t>small molecule</w:t>
      </w:r>
      <w:r w:rsidR="00454E35" w:rsidRPr="00316E91">
        <w:rPr>
          <w:rFonts w:ascii="Funnel Sans" w:hAnsi="Funnel Sans"/>
          <w:sz w:val="22"/>
          <w:szCs w:val="22"/>
        </w:rPr>
        <w:t>s and</w:t>
      </w:r>
      <w:r w:rsidRPr="00316E91">
        <w:rPr>
          <w:rFonts w:ascii="Funnel Sans" w:hAnsi="Funnel Sans"/>
          <w:sz w:val="22"/>
          <w:szCs w:val="22"/>
        </w:rPr>
        <w:t xml:space="preserve"> </w:t>
      </w:r>
      <w:r w:rsidR="00EF733E" w:rsidRPr="00316E91">
        <w:rPr>
          <w:rFonts w:ascii="Funnel Sans" w:hAnsi="Funnel Sans"/>
          <w:sz w:val="22"/>
          <w:szCs w:val="22"/>
        </w:rPr>
        <w:t>peptide</w:t>
      </w:r>
      <w:r w:rsidR="00482DA3" w:rsidRPr="00316E91">
        <w:rPr>
          <w:rFonts w:ascii="Funnel Sans" w:hAnsi="Funnel Sans"/>
          <w:sz w:val="22"/>
          <w:szCs w:val="22"/>
        </w:rPr>
        <w:t>s are designed to</w:t>
      </w:r>
      <w:r w:rsidRPr="00316E91">
        <w:rPr>
          <w:rFonts w:ascii="Funnel Sans" w:hAnsi="Funnel Sans"/>
          <w:sz w:val="22"/>
          <w:szCs w:val="22"/>
        </w:rPr>
        <w:t xml:space="preserve"> eliminate all three</w:t>
      </w:r>
      <w:r w:rsidR="00135EF5" w:rsidRPr="00316E91">
        <w:rPr>
          <w:rFonts w:ascii="Funnel Sans" w:hAnsi="Funnel Sans"/>
          <w:sz w:val="22"/>
          <w:szCs w:val="22"/>
        </w:rPr>
        <w:t xml:space="preserve"> liabilities</w:t>
      </w:r>
      <w:r w:rsidR="009315D8" w:rsidRPr="00316E91">
        <w:rPr>
          <w:rFonts w:ascii="Funnel Sans" w:hAnsi="Funnel Sans"/>
          <w:sz w:val="22"/>
          <w:szCs w:val="22"/>
        </w:rPr>
        <w:t>.</w:t>
      </w:r>
      <w:r w:rsidRPr="00316E91">
        <w:rPr>
          <w:rFonts w:ascii="Funnel Sans" w:hAnsi="Funnel Sans"/>
          <w:sz w:val="22"/>
          <w:szCs w:val="22"/>
        </w:rPr>
        <w:t xml:space="preserve"> Short circulating half-life (</w:t>
      </w:r>
      <w:r w:rsidR="0009198E" w:rsidRPr="00316E91">
        <w:rPr>
          <w:rFonts w:ascii="Funnel Sans" w:hAnsi="Funnel Sans"/>
          <w:sz w:val="22"/>
          <w:szCs w:val="22"/>
        </w:rPr>
        <w:t xml:space="preserve">tens </w:t>
      </w:r>
      <w:r w:rsidR="00711ADA" w:rsidRPr="00316E91">
        <w:rPr>
          <w:rFonts w:ascii="Funnel Sans" w:hAnsi="Funnel Sans"/>
          <w:sz w:val="22"/>
          <w:szCs w:val="22"/>
        </w:rPr>
        <w:t xml:space="preserve">of minutes) reduces blood-pool and lung </w:t>
      </w:r>
      <w:r w:rsidR="00577F7C" w:rsidRPr="00316E91">
        <w:rPr>
          <w:rFonts w:ascii="Funnel Sans" w:hAnsi="Funnel Sans"/>
          <w:sz w:val="22"/>
          <w:szCs w:val="22"/>
        </w:rPr>
        <w:t xml:space="preserve">radiation </w:t>
      </w:r>
      <w:r w:rsidR="00711ADA" w:rsidRPr="00316E91">
        <w:rPr>
          <w:rFonts w:ascii="Funnel Sans" w:hAnsi="Funnel Sans"/>
          <w:sz w:val="22"/>
          <w:szCs w:val="22"/>
        </w:rPr>
        <w:t xml:space="preserve">exposure. </w:t>
      </w:r>
      <w:r w:rsidRPr="00316E91">
        <w:rPr>
          <w:rFonts w:ascii="Funnel Sans" w:hAnsi="Funnel Sans"/>
          <w:sz w:val="22"/>
          <w:szCs w:val="22"/>
        </w:rPr>
        <w:t xml:space="preserve">No Fc domain removes the marrow sink. Non-saturating doses restrict binding to high-expression tumor. </w:t>
      </w:r>
      <w:r w:rsidR="00797582" w:rsidRPr="00316E91">
        <w:rPr>
          <w:rFonts w:ascii="Funnel Sans" w:hAnsi="Funnel Sans"/>
          <w:sz w:val="22"/>
          <w:szCs w:val="22"/>
        </w:rPr>
        <w:t xml:space="preserve">The </w:t>
      </w:r>
      <w:r w:rsidRPr="00316E91">
        <w:rPr>
          <w:rFonts w:ascii="Funnel Sans" w:hAnsi="Funnel Sans"/>
          <w:sz w:val="22"/>
          <w:szCs w:val="22"/>
        </w:rPr>
        <w:t xml:space="preserve">Phase 0 </w:t>
      </w:r>
      <w:r w:rsidR="00923C1A" w:rsidRPr="00316E91">
        <w:rPr>
          <w:rFonts w:ascii="Funnel Sans" w:hAnsi="Funnel Sans"/>
          <w:sz w:val="22"/>
          <w:szCs w:val="22"/>
        </w:rPr>
        <w:t>stud</w:t>
      </w:r>
      <w:r w:rsidR="00797582" w:rsidRPr="00316E91">
        <w:rPr>
          <w:rFonts w:ascii="Funnel Sans" w:hAnsi="Funnel Sans"/>
          <w:sz w:val="22"/>
          <w:szCs w:val="22"/>
        </w:rPr>
        <w:t>y</w:t>
      </w:r>
      <w:r w:rsidRPr="00316E91">
        <w:rPr>
          <w:rFonts w:ascii="Funnel Sans" w:hAnsi="Funnel Sans"/>
          <w:sz w:val="22"/>
          <w:szCs w:val="22"/>
        </w:rPr>
        <w:t xml:space="preserve"> will confirm lung and marrow dosimetry before any therapeutic activity is administered. </w:t>
      </w:r>
    </w:p>
    <w:p w14:paraId="534AC6F6" w14:textId="22319544" w:rsidR="009D21D9"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lastRenderedPageBreak/>
        <w:t xml:space="preserve">Sego will position KLK2-RLT as a backbone agent in earlier lines of prostate cancer, not </w:t>
      </w:r>
      <w:r w:rsidR="00D40D69" w:rsidRPr="00316E91">
        <w:rPr>
          <w:rFonts w:ascii="Funnel Sans" w:hAnsi="Funnel Sans"/>
          <w:sz w:val="22"/>
          <w:szCs w:val="22"/>
        </w:rPr>
        <w:t>the late-line, dose-limited setting that defines J&amp;J’s current development path</w:t>
      </w:r>
      <w:r w:rsidR="0016378F" w:rsidRPr="00316E91">
        <w:rPr>
          <w:rFonts w:ascii="Funnel Sans" w:hAnsi="Funnel Sans"/>
          <w:sz w:val="22"/>
          <w:szCs w:val="22"/>
        </w:rPr>
        <w:t>.</w:t>
      </w:r>
      <w:r w:rsidR="00F03E23" w:rsidRPr="00316E91">
        <w:rPr>
          <w:rFonts w:ascii="Funnel Sans" w:hAnsi="Funnel Sans"/>
          <w:sz w:val="22"/>
          <w:szCs w:val="22"/>
        </w:rPr>
        <w:t xml:space="preserve"> </w:t>
      </w:r>
      <w:r w:rsidR="0016378F" w:rsidRPr="00316E91">
        <w:rPr>
          <w:rFonts w:ascii="Funnel Sans" w:hAnsi="Funnel Sans"/>
          <w:sz w:val="22"/>
          <w:szCs w:val="22"/>
        </w:rPr>
        <w:t>A</w:t>
      </w:r>
      <w:r w:rsidRPr="00316E91">
        <w:rPr>
          <w:rFonts w:ascii="Funnel Sans" w:hAnsi="Funnel Sans"/>
          <w:sz w:val="22"/>
          <w:szCs w:val="22"/>
        </w:rPr>
        <w:t xml:space="preserve"> wider therapeutic index </w:t>
      </w:r>
      <w:proofErr w:type="gramStart"/>
      <w:r w:rsidRPr="00316E91">
        <w:rPr>
          <w:rFonts w:ascii="Funnel Sans" w:hAnsi="Funnel Sans"/>
          <w:sz w:val="22"/>
          <w:szCs w:val="22"/>
        </w:rPr>
        <w:t xml:space="preserve">supports </w:t>
      </w:r>
      <w:r w:rsidR="00486340" w:rsidRPr="00316E91">
        <w:rPr>
          <w:rFonts w:ascii="Funnel Sans" w:hAnsi="Funnel Sans"/>
          <w:sz w:val="22"/>
          <w:szCs w:val="22"/>
        </w:rPr>
        <w:t xml:space="preserve"> </w:t>
      </w:r>
      <w:r w:rsidRPr="00316E91">
        <w:rPr>
          <w:rFonts w:ascii="Funnel Sans" w:hAnsi="Funnel Sans"/>
          <w:sz w:val="22"/>
          <w:szCs w:val="22"/>
        </w:rPr>
        <w:t>higher</w:t>
      </w:r>
      <w:proofErr w:type="gramEnd"/>
      <w:r w:rsidRPr="00316E91">
        <w:rPr>
          <w:rFonts w:ascii="Funnel Sans" w:hAnsi="Funnel Sans"/>
          <w:sz w:val="22"/>
          <w:szCs w:val="22"/>
        </w:rPr>
        <w:t xml:space="preserve"> cumulative tumor doses</w:t>
      </w:r>
      <w:r w:rsidR="00CD6ADA" w:rsidRPr="00316E91">
        <w:rPr>
          <w:rFonts w:ascii="Funnel Sans" w:hAnsi="Funnel Sans"/>
          <w:sz w:val="22"/>
          <w:szCs w:val="22"/>
        </w:rPr>
        <w:t>, and critically, enables combination strategies such as pairing with ARPIs where additive of synergistic efficacy would be expected but only feasible with a safety profile that tolerates chronic co-administration</w:t>
      </w:r>
      <w:r w:rsidR="00C24FF1" w:rsidRPr="00316E91">
        <w:rPr>
          <w:rFonts w:ascii="Funnel Sans" w:hAnsi="Funnel Sans"/>
          <w:sz w:val="22"/>
          <w:szCs w:val="22"/>
        </w:rPr>
        <w:t>.</w:t>
      </w:r>
    </w:p>
    <w:p w14:paraId="534AC6F7"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6F8" w14:textId="6108D35B" w:rsidR="009D21D9" w:rsidRPr="00316E91" w:rsidRDefault="00000000" w:rsidP="00316E91">
      <w:pPr>
        <w:pStyle w:val="Heading2"/>
        <w:jc w:val="both"/>
        <w:rPr>
          <w:rFonts w:ascii="Funnel Sans" w:hAnsi="Funnel Sans"/>
          <w:b/>
          <w:bCs/>
        </w:rPr>
      </w:pPr>
      <w:r w:rsidRPr="00316E91">
        <w:rPr>
          <w:rFonts w:ascii="Funnel Sans" w:hAnsi="Funnel Sans"/>
          <w:b/>
          <w:bCs/>
        </w:rPr>
        <w:t xml:space="preserve">Given that </w:t>
      </w:r>
      <w:proofErr w:type="spellStart"/>
      <w:r w:rsidRPr="00316E91">
        <w:rPr>
          <w:rFonts w:ascii="Funnel Sans" w:hAnsi="Funnel Sans"/>
          <w:b/>
          <w:bCs/>
        </w:rPr>
        <w:t>Razye’s</w:t>
      </w:r>
      <w:proofErr w:type="spellEnd"/>
      <w:r w:rsidRPr="00316E91">
        <w:rPr>
          <w:rFonts w:ascii="Funnel Sans" w:hAnsi="Funnel Sans"/>
          <w:b/>
          <w:bCs/>
        </w:rPr>
        <w:t xml:space="preserve"> OncoACP3 binder (small molecule) is ahead of Sego in the ACP3 space, what </w:t>
      </w:r>
      <w:proofErr w:type="gramStart"/>
      <w:r w:rsidRPr="00316E91">
        <w:rPr>
          <w:rFonts w:ascii="Funnel Sans" w:hAnsi="Funnel Sans"/>
          <w:b/>
          <w:bCs/>
        </w:rPr>
        <w:t>does</w:t>
      </w:r>
      <w:proofErr w:type="gramEnd"/>
      <w:r w:rsidRPr="00316E91">
        <w:rPr>
          <w:rFonts w:ascii="Funnel Sans" w:hAnsi="Funnel Sans"/>
          <w:b/>
          <w:bCs/>
        </w:rPr>
        <w:t xml:space="preserve"> the team think are areas of differentiation when designing a novel peptide binder?</w:t>
      </w:r>
    </w:p>
    <w:p w14:paraId="00AAC3F6" w14:textId="390CD777" w:rsidR="002C692D" w:rsidRPr="00316E91" w:rsidRDefault="00471D08" w:rsidP="00316E91">
      <w:pPr>
        <w:spacing w:after="200" w:line="276" w:lineRule="auto"/>
        <w:jc w:val="both"/>
        <w:rPr>
          <w:rFonts w:ascii="Funnel Sans" w:hAnsi="Funnel Sans"/>
          <w:sz w:val="22"/>
          <w:szCs w:val="22"/>
        </w:rPr>
      </w:pPr>
      <w:r w:rsidRPr="00316E91">
        <w:rPr>
          <w:rFonts w:ascii="Funnel Sans" w:hAnsi="Funnel Sans"/>
          <w:sz w:val="22"/>
          <w:szCs w:val="22"/>
        </w:rPr>
        <w:t>We believe the molecule</w:t>
      </w:r>
      <w:r w:rsidR="002C692D" w:rsidRPr="00316E91">
        <w:rPr>
          <w:rFonts w:ascii="Funnel Sans" w:hAnsi="Funnel Sans"/>
          <w:sz w:val="22"/>
          <w:szCs w:val="22"/>
        </w:rPr>
        <w:t xml:space="preserve"> has several liabilities that can be significantly improved. </w:t>
      </w:r>
      <w:r w:rsidR="00071A1A" w:rsidRPr="00316E91">
        <w:rPr>
          <w:rFonts w:ascii="Funnel Sans" w:hAnsi="Funnel Sans"/>
          <w:sz w:val="22"/>
          <w:szCs w:val="22"/>
        </w:rPr>
        <w:t>We believe we can differentiate by</w:t>
      </w:r>
      <w:r w:rsidR="00C92759" w:rsidRPr="00316E91">
        <w:rPr>
          <w:rFonts w:ascii="Funnel Sans" w:hAnsi="Funnel Sans"/>
          <w:sz w:val="22"/>
          <w:szCs w:val="22"/>
        </w:rPr>
        <w:t xml:space="preserve"> (</w:t>
      </w:r>
      <w:proofErr w:type="spellStart"/>
      <w:r w:rsidR="00C92759" w:rsidRPr="00316E91">
        <w:rPr>
          <w:rFonts w:ascii="Funnel Sans" w:hAnsi="Funnel Sans"/>
          <w:sz w:val="22"/>
          <w:szCs w:val="22"/>
        </w:rPr>
        <w:t>i</w:t>
      </w:r>
      <w:proofErr w:type="spellEnd"/>
      <w:r w:rsidR="00C92759" w:rsidRPr="00316E91">
        <w:rPr>
          <w:rFonts w:ascii="Funnel Sans" w:hAnsi="Funnel Sans"/>
          <w:sz w:val="22"/>
          <w:szCs w:val="22"/>
        </w:rPr>
        <w:t xml:space="preserve">) designing for </w:t>
      </w:r>
      <w:r w:rsidR="007158E2" w:rsidRPr="00316E91">
        <w:rPr>
          <w:rFonts w:ascii="Funnel Sans" w:hAnsi="Funnel Sans"/>
          <w:sz w:val="22"/>
          <w:szCs w:val="22"/>
        </w:rPr>
        <w:t xml:space="preserve">rapid </w:t>
      </w:r>
      <w:r w:rsidR="00C92759" w:rsidRPr="00316E91">
        <w:rPr>
          <w:rFonts w:ascii="Funnel Sans" w:hAnsi="Funnel Sans"/>
          <w:sz w:val="22"/>
          <w:szCs w:val="22"/>
        </w:rPr>
        <w:t>cellular internalization</w:t>
      </w:r>
      <w:r w:rsidR="00071A1A" w:rsidRPr="00316E91">
        <w:rPr>
          <w:rFonts w:ascii="Funnel Sans" w:hAnsi="Funnel Sans"/>
          <w:sz w:val="22"/>
          <w:szCs w:val="22"/>
        </w:rPr>
        <w:t>,</w:t>
      </w:r>
      <w:r w:rsidR="00C92759" w:rsidRPr="00316E91">
        <w:rPr>
          <w:rFonts w:ascii="Funnel Sans" w:hAnsi="Funnel Sans"/>
          <w:sz w:val="22"/>
          <w:szCs w:val="22"/>
        </w:rPr>
        <w:t xml:space="preserve"> and (ii) engineering a shorter pharmacokinetic half-life to reduce bone marrow exposure. </w:t>
      </w:r>
    </w:p>
    <w:p w14:paraId="4206A453" w14:textId="374C0AD1" w:rsidR="00E2016A" w:rsidRPr="00316E91" w:rsidRDefault="00C92759" w:rsidP="00316E91">
      <w:pPr>
        <w:spacing w:after="200" w:line="276" w:lineRule="auto"/>
        <w:jc w:val="both"/>
        <w:rPr>
          <w:rFonts w:ascii="Funnel Sans" w:hAnsi="Funnel Sans"/>
          <w:sz w:val="22"/>
          <w:szCs w:val="22"/>
        </w:rPr>
      </w:pPr>
      <w:r w:rsidRPr="00316E91">
        <w:rPr>
          <w:rFonts w:ascii="Funnel Sans" w:hAnsi="Funnel Sans"/>
          <w:sz w:val="22"/>
          <w:szCs w:val="22"/>
        </w:rPr>
        <w:t>OncoACP3 binds ACP3 on the cell surface but preclinical data indicate it does not internalize, limiting the DNA damage achievable with Auger emitters (</w:t>
      </w:r>
      <w:r w:rsidRPr="00316E91">
        <w:rPr>
          <w:rFonts w:ascii="Funnel Sans" w:hAnsi="Funnel Sans"/>
          <w:sz w:val="22"/>
          <w:szCs w:val="22"/>
          <w:vertAlign w:val="superscript"/>
        </w:rPr>
        <w:t>161</w:t>
      </w:r>
      <w:r w:rsidRPr="00316E91">
        <w:rPr>
          <w:rFonts w:ascii="Funnel Sans" w:hAnsi="Funnel Sans"/>
          <w:sz w:val="22"/>
          <w:szCs w:val="22"/>
        </w:rPr>
        <w:t>Tb) or alpha emitters (</w:t>
      </w:r>
      <w:r w:rsidRPr="00316E91">
        <w:rPr>
          <w:rFonts w:ascii="Funnel Sans" w:hAnsi="Funnel Sans"/>
          <w:sz w:val="22"/>
          <w:szCs w:val="22"/>
          <w:vertAlign w:val="superscript"/>
        </w:rPr>
        <w:t>225</w:t>
      </w:r>
      <w:r w:rsidRPr="00316E91">
        <w:rPr>
          <w:rFonts w:ascii="Funnel Sans" w:hAnsi="Funnel Sans"/>
          <w:sz w:val="22"/>
          <w:szCs w:val="22"/>
        </w:rPr>
        <w:t>Ac) that are most lethal when delivered intracellularly (</w:t>
      </w:r>
      <w:hyperlink r:id="rId10" w:history="1">
        <w:r w:rsidR="00DF32D3" w:rsidRPr="00316E91">
          <w:rPr>
            <w:rStyle w:val="Hyperlink"/>
            <w:rFonts w:ascii="Funnel Sans" w:hAnsi="Funnel Sans"/>
            <w:sz w:val="22"/>
            <w:szCs w:val="22"/>
          </w:rPr>
          <w:t>Georgiev, Nat Biomed Eng, 2025</w:t>
        </w:r>
      </w:hyperlink>
      <w:r w:rsidRPr="00316E91">
        <w:rPr>
          <w:rFonts w:ascii="Funnel Sans" w:hAnsi="Funnel Sans"/>
          <w:sz w:val="22"/>
          <w:szCs w:val="22"/>
        </w:rPr>
        <w:t xml:space="preserve">). Sego is designing </w:t>
      </w:r>
      <w:r w:rsidR="001B6C96" w:rsidRPr="00316E91">
        <w:rPr>
          <w:rFonts w:ascii="Funnel Sans" w:hAnsi="Funnel Sans"/>
          <w:sz w:val="22"/>
          <w:szCs w:val="22"/>
        </w:rPr>
        <w:t xml:space="preserve">small </w:t>
      </w:r>
      <w:proofErr w:type="gramStart"/>
      <w:r w:rsidR="001B6C96" w:rsidRPr="00316E91">
        <w:rPr>
          <w:rFonts w:ascii="Funnel Sans" w:hAnsi="Funnel Sans"/>
          <w:sz w:val="22"/>
          <w:szCs w:val="22"/>
        </w:rPr>
        <w:t>molecule</w:t>
      </w:r>
      <w:proofErr w:type="gramEnd"/>
      <w:r w:rsidR="001B6C96" w:rsidRPr="00316E91">
        <w:rPr>
          <w:rFonts w:ascii="Funnel Sans" w:hAnsi="Funnel Sans"/>
          <w:sz w:val="22"/>
          <w:szCs w:val="22"/>
        </w:rPr>
        <w:t xml:space="preserve"> and</w:t>
      </w:r>
      <w:r w:rsidRPr="00316E91">
        <w:rPr>
          <w:rFonts w:ascii="Funnel Sans" w:hAnsi="Funnel Sans"/>
          <w:sz w:val="22"/>
          <w:szCs w:val="22"/>
        </w:rPr>
        <w:t xml:space="preserve"> peptides that bind, internalize, and are retained in the cell, delivering the isotope where alpha and Auger emissions inflict irreparable double-strand breaks. </w:t>
      </w:r>
    </w:p>
    <w:p w14:paraId="534AC6F9" w14:textId="3C402B19" w:rsidR="009D21D9" w:rsidRPr="00316E91" w:rsidRDefault="00C92759" w:rsidP="00316E91">
      <w:pPr>
        <w:spacing w:after="200" w:line="276" w:lineRule="auto"/>
        <w:jc w:val="both"/>
        <w:rPr>
          <w:rFonts w:ascii="Funnel Sans" w:hAnsi="Funnel Sans"/>
          <w:sz w:val="22"/>
          <w:szCs w:val="22"/>
        </w:rPr>
      </w:pPr>
      <w:r w:rsidRPr="00316E91">
        <w:rPr>
          <w:rFonts w:ascii="Funnel Sans" w:hAnsi="Funnel Sans"/>
          <w:sz w:val="22"/>
          <w:szCs w:val="22"/>
        </w:rPr>
        <w:t>On pharmacokinetics, the first published human dosimetry of [</w:t>
      </w:r>
      <w:r w:rsidRPr="00316E91">
        <w:rPr>
          <w:rFonts w:ascii="Funnel Sans" w:hAnsi="Funnel Sans"/>
          <w:sz w:val="22"/>
          <w:szCs w:val="22"/>
          <w:vertAlign w:val="superscript"/>
        </w:rPr>
        <w:t>68</w:t>
      </w:r>
      <w:r w:rsidRPr="00316E91">
        <w:rPr>
          <w:rFonts w:ascii="Funnel Sans" w:hAnsi="Funnel Sans"/>
          <w:sz w:val="22"/>
          <w:szCs w:val="22"/>
        </w:rPr>
        <w:t xml:space="preserve">Ga]-OncoACP3-DOTA identified bone marrow as the highest absorbed dose organ (0.0913 </w:t>
      </w:r>
      <w:proofErr w:type="spellStart"/>
      <w:r w:rsidRPr="00316E91">
        <w:rPr>
          <w:rFonts w:ascii="Funnel Sans" w:hAnsi="Funnel Sans"/>
          <w:sz w:val="22"/>
          <w:szCs w:val="22"/>
        </w:rPr>
        <w:t>mGy</w:t>
      </w:r>
      <w:proofErr w:type="spellEnd"/>
      <w:r w:rsidRPr="00316E91">
        <w:rPr>
          <w:rFonts w:ascii="Funnel Sans" w:hAnsi="Funnel Sans"/>
          <w:sz w:val="22"/>
          <w:szCs w:val="22"/>
        </w:rPr>
        <w:t xml:space="preserve">/MBq), above kidney (0.0657 </w:t>
      </w:r>
      <w:proofErr w:type="spellStart"/>
      <w:r w:rsidRPr="00316E91">
        <w:rPr>
          <w:rFonts w:ascii="Funnel Sans" w:hAnsi="Funnel Sans"/>
          <w:sz w:val="22"/>
          <w:szCs w:val="22"/>
        </w:rPr>
        <w:t>mGy</w:t>
      </w:r>
      <w:proofErr w:type="spellEnd"/>
      <w:r w:rsidRPr="00316E91">
        <w:rPr>
          <w:rFonts w:ascii="Funnel Sans" w:hAnsi="Funnel Sans"/>
          <w:sz w:val="22"/>
          <w:szCs w:val="22"/>
        </w:rPr>
        <w:t xml:space="preserve">/MBq) and liver (0.0563 </w:t>
      </w:r>
      <w:proofErr w:type="spellStart"/>
      <w:r w:rsidRPr="00316E91">
        <w:rPr>
          <w:rFonts w:ascii="Funnel Sans" w:hAnsi="Funnel Sans"/>
          <w:sz w:val="22"/>
          <w:szCs w:val="22"/>
        </w:rPr>
        <w:t>mGy</w:t>
      </w:r>
      <w:proofErr w:type="spellEnd"/>
      <w:r w:rsidRPr="00316E91">
        <w:rPr>
          <w:rFonts w:ascii="Funnel Sans" w:hAnsi="Funnel Sans"/>
          <w:sz w:val="22"/>
          <w:szCs w:val="22"/>
        </w:rPr>
        <w:t>/MBq) (</w:t>
      </w:r>
      <w:hyperlink r:id="rId11" w:history="1">
        <w:r w:rsidRPr="00316E91">
          <w:rPr>
            <w:rStyle w:val="Hyperlink"/>
            <w:rFonts w:ascii="Funnel Sans" w:hAnsi="Funnel Sans"/>
            <w:sz w:val="22"/>
            <w:szCs w:val="22"/>
          </w:rPr>
          <w:t xml:space="preserve">Brosch-Lenz, J </w:t>
        </w:r>
        <w:proofErr w:type="spellStart"/>
        <w:r w:rsidRPr="00316E91">
          <w:rPr>
            <w:rStyle w:val="Hyperlink"/>
            <w:rFonts w:ascii="Funnel Sans" w:hAnsi="Funnel Sans"/>
            <w:sz w:val="22"/>
            <w:szCs w:val="22"/>
          </w:rPr>
          <w:t>Nucl</w:t>
        </w:r>
        <w:proofErr w:type="spellEnd"/>
        <w:r w:rsidRPr="00316E91">
          <w:rPr>
            <w:rStyle w:val="Hyperlink"/>
            <w:rFonts w:ascii="Funnel Sans" w:hAnsi="Funnel Sans"/>
            <w:sz w:val="22"/>
            <w:szCs w:val="22"/>
          </w:rPr>
          <w:t xml:space="preserve"> Med, 2026</w:t>
        </w:r>
      </w:hyperlink>
      <w:r w:rsidRPr="00316E91">
        <w:rPr>
          <w:rFonts w:ascii="Funnel Sans" w:hAnsi="Funnel Sans"/>
          <w:sz w:val="22"/>
          <w:szCs w:val="22"/>
        </w:rPr>
        <w:t xml:space="preserve">). Our internal projections based on this dataset suggest that OncoACP3's approximately 5-hour blood half-life, when paired with </w:t>
      </w:r>
      <w:r w:rsidRPr="00316E91">
        <w:rPr>
          <w:rFonts w:ascii="Funnel Sans" w:hAnsi="Funnel Sans"/>
          <w:sz w:val="22"/>
          <w:szCs w:val="22"/>
          <w:vertAlign w:val="superscript"/>
        </w:rPr>
        <w:t>225</w:t>
      </w:r>
      <w:r w:rsidRPr="00316E91">
        <w:rPr>
          <w:rFonts w:ascii="Funnel Sans" w:hAnsi="Funnel Sans"/>
          <w:sz w:val="22"/>
          <w:szCs w:val="22"/>
        </w:rPr>
        <w:t>Ac</w:t>
      </w:r>
      <w:r w:rsidR="00E2016A" w:rsidRPr="00316E91">
        <w:rPr>
          <w:rFonts w:ascii="Funnel Sans" w:hAnsi="Funnel Sans"/>
          <w:sz w:val="22"/>
          <w:szCs w:val="22"/>
        </w:rPr>
        <w:t xml:space="preserve"> </w:t>
      </w:r>
      <w:r w:rsidRPr="00316E91">
        <w:rPr>
          <w:rFonts w:ascii="Funnel Sans" w:hAnsi="Funnel Sans"/>
          <w:sz w:val="22"/>
          <w:szCs w:val="22"/>
        </w:rPr>
        <w:t xml:space="preserve">may drive cumulative marrow exposure toward dose-limiting thresholds. </w:t>
      </w:r>
      <w:r w:rsidR="00803F37" w:rsidRPr="00316E91">
        <w:rPr>
          <w:rFonts w:ascii="Funnel Sans" w:hAnsi="Funnel Sans"/>
          <w:sz w:val="22"/>
          <w:szCs w:val="22"/>
        </w:rPr>
        <w:t xml:space="preserve">We are targeting a shorter </w:t>
      </w:r>
      <w:r w:rsidR="008C355B" w:rsidRPr="00316E91">
        <w:rPr>
          <w:rFonts w:ascii="Funnel Sans" w:hAnsi="Funnel Sans"/>
          <w:sz w:val="22"/>
          <w:szCs w:val="22"/>
        </w:rPr>
        <w:t>blood</w:t>
      </w:r>
      <w:r w:rsidR="00803F37" w:rsidRPr="00316E91">
        <w:rPr>
          <w:rFonts w:ascii="Funnel Sans" w:hAnsi="Funnel Sans"/>
          <w:sz w:val="22"/>
          <w:szCs w:val="22"/>
        </w:rPr>
        <w:t xml:space="preserve"> </w:t>
      </w:r>
      <w:proofErr w:type="spellStart"/>
      <w:r w:rsidR="00803F37" w:rsidRPr="00316E91">
        <w:rPr>
          <w:rFonts w:ascii="Funnel Sans" w:hAnsi="Funnel Sans"/>
          <w:sz w:val="22"/>
          <w:szCs w:val="22"/>
        </w:rPr>
        <w:t>half life</w:t>
      </w:r>
      <w:proofErr w:type="spellEnd"/>
      <w:r w:rsidR="00803F37" w:rsidRPr="00316E91">
        <w:rPr>
          <w:rFonts w:ascii="Funnel Sans" w:hAnsi="Funnel Sans"/>
          <w:sz w:val="22"/>
          <w:szCs w:val="22"/>
        </w:rPr>
        <w:t xml:space="preserve"> for our ligands for ACP3</w:t>
      </w:r>
      <w:r w:rsidRPr="00316E91">
        <w:rPr>
          <w:rFonts w:ascii="Funnel Sans" w:hAnsi="Funnel Sans"/>
          <w:sz w:val="22"/>
          <w:szCs w:val="22"/>
        </w:rPr>
        <w:t xml:space="preserve">, reducing blood-pool </w:t>
      </w:r>
      <w:proofErr w:type="gramStart"/>
      <w:r w:rsidRPr="00316E91">
        <w:rPr>
          <w:rFonts w:ascii="Funnel Sans" w:hAnsi="Funnel Sans"/>
          <w:sz w:val="22"/>
          <w:szCs w:val="22"/>
        </w:rPr>
        <w:t>residence  and</w:t>
      </w:r>
      <w:proofErr w:type="gramEnd"/>
      <w:r w:rsidRPr="00316E91">
        <w:rPr>
          <w:rFonts w:ascii="Funnel Sans" w:hAnsi="Funnel Sans"/>
          <w:sz w:val="22"/>
          <w:szCs w:val="22"/>
        </w:rPr>
        <w:t xml:space="preserve"> proportionally reducing marrow-absorbed dose. This faster clearance, combined with internalization-driven tumor retention, is designed to widen the therapeutic index on both sides: more dose to tumor, less dose to marrow. </w:t>
      </w:r>
    </w:p>
    <w:p w14:paraId="534AC6FA" w14:textId="2B6FE042" w:rsidR="009D21D9" w:rsidRPr="00316E91" w:rsidRDefault="00E67D7B" w:rsidP="00316E91">
      <w:pPr>
        <w:pBdr>
          <w:bottom w:val="single" w:sz="4" w:space="8" w:color="B1C8B0"/>
        </w:pBdr>
        <w:spacing w:before="200" w:after="200"/>
        <w:jc w:val="both"/>
        <w:rPr>
          <w:rFonts w:ascii="Funnel Sans" w:hAnsi="Funnel Sans"/>
          <w:sz w:val="22"/>
          <w:szCs w:val="22"/>
        </w:rPr>
      </w:pPr>
      <w:r w:rsidRPr="00316E91">
        <w:rPr>
          <w:rFonts w:ascii="Funnel Sans" w:hAnsi="Funnel Sans"/>
          <w:sz w:val="22"/>
          <w:szCs w:val="22"/>
        </w:rPr>
        <w:t xml:space="preserve">Note: not </w:t>
      </w:r>
      <w:proofErr w:type="gramStart"/>
      <w:r w:rsidRPr="00316E91">
        <w:rPr>
          <w:rFonts w:ascii="Funnel Sans" w:hAnsi="Funnel Sans"/>
          <w:sz w:val="22"/>
          <w:szCs w:val="22"/>
        </w:rPr>
        <w:t>all of</w:t>
      </w:r>
      <w:proofErr w:type="gramEnd"/>
      <w:r w:rsidRPr="00316E91">
        <w:rPr>
          <w:rFonts w:ascii="Funnel Sans" w:hAnsi="Funnel Sans"/>
          <w:sz w:val="22"/>
          <w:szCs w:val="22"/>
        </w:rPr>
        <w:t xml:space="preserve"> our strategies are described here </w:t>
      </w:r>
      <w:r w:rsidR="003A16F5" w:rsidRPr="00316E91">
        <w:rPr>
          <w:rFonts w:ascii="Funnel Sans" w:hAnsi="Funnel Sans"/>
          <w:sz w:val="22"/>
          <w:szCs w:val="22"/>
        </w:rPr>
        <w:t xml:space="preserve">as they may </w:t>
      </w:r>
      <w:proofErr w:type="gramStart"/>
      <w:r w:rsidR="003A16F5" w:rsidRPr="00316E91">
        <w:rPr>
          <w:rFonts w:ascii="Funnel Sans" w:hAnsi="Funnel Sans"/>
          <w:sz w:val="22"/>
          <w:szCs w:val="22"/>
        </w:rPr>
        <w:t>impact</w:t>
      </w:r>
      <w:proofErr w:type="gramEnd"/>
      <w:r w:rsidR="003A16F5" w:rsidRPr="00316E91">
        <w:rPr>
          <w:rFonts w:ascii="Funnel Sans" w:hAnsi="Funnel Sans"/>
          <w:sz w:val="22"/>
          <w:szCs w:val="22"/>
        </w:rPr>
        <w:t xml:space="preserve"> our IP filing.</w:t>
      </w:r>
      <w:r w:rsidRPr="00316E91">
        <w:rPr>
          <w:rFonts w:ascii="Funnel Sans" w:hAnsi="Funnel Sans"/>
          <w:sz w:val="22"/>
          <w:szCs w:val="22"/>
        </w:rPr>
        <w:t xml:space="preserve"> </w:t>
      </w:r>
    </w:p>
    <w:p w14:paraId="534AC6FB" w14:textId="77777777" w:rsidR="009D21D9" w:rsidRPr="00316E91" w:rsidRDefault="00000000" w:rsidP="00316E91">
      <w:pPr>
        <w:pStyle w:val="Heading2"/>
        <w:jc w:val="both"/>
        <w:rPr>
          <w:rFonts w:ascii="Funnel Sans" w:hAnsi="Funnel Sans"/>
          <w:b/>
          <w:bCs/>
        </w:rPr>
      </w:pPr>
      <w:r w:rsidRPr="00316E91">
        <w:rPr>
          <w:rFonts w:ascii="Funnel Sans" w:hAnsi="Funnel Sans"/>
          <w:b/>
          <w:bCs/>
        </w:rPr>
        <w:t>For the targets for which ADC competitors exist (</w:t>
      </w:r>
      <w:proofErr w:type="spellStart"/>
      <w:r w:rsidRPr="00316E91">
        <w:rPr>
          <w:rFonts w:ascii="Funnel Sans" w:hAnsi="Funnel Sans"/>
          <w:b/>
          <w:bCs/>
        </w:rPr>
        <w:t>ie</w:t>
      </w:r>
      <w:proofErr w:type="spellEnd"/>
      <w:r w:rsidRPr="00316E91">
        <w:rPr>
          <w:rFonts w:ascii="Funnel Sans" w:hAnsi="Funnel Sans"/>
          <w:b/>
          <w:bCs/>
        </w:rPr>
        <w:t xml:space="preserve">. CEACAM5, GCC, MUC1), how will </w:t>
      </w:r>
      <w:proofErr w:type="gramStart"/>
      <w:r w:rsidRPr="00316E91">
        <w:rPr>
          <w:rFonts w:ascii="Funnel Sans" w:hAnsi="Funnel Sans"/>
          <w:b/>
          <w:bCs/>
        </w:rPr>
        <w:t>a RLT</w:t>
      </w:r>
      <w:proofErr w:type="gramEnd"/>
      <w:r w:rsidRPr="00316E91">
        <w:rPr>
          <w:rFonts w:ascii="Funnel Sans" w:hAnsi="Funnel Sans"/>
          <w:b/>
          <w:bCs/>
        </w:rPr>
        <w:t xml:space="preserve"> modality for that target be differentiated? What TPP will Sego aim for, especially the safety profile?</w:t>
      </w:r>
    </w:p>
    <w:p w14:paraId="7F40E701" w14:textId="0A6BBA4E" w:rsidR="00C16163" w:rsidRPr="00316E91" w:rsidRDefault="007F66E6" w:rsidP="00316E91">
      <w:pPr>
        <w:pStyle w:val="font-claude-response-body"/>
        <w:spacing w:line="278" w:lineRule="auto"/>
        <w:jc w:val="both"/>
        <w:rPr>
          <w:rFonts w:ascii="Funnel Sans" w:eastAsia="Arial" w:hAnsi="Funnel Sans" w:cs="Arial"/>
          <w:sz w:val="22"/>
          <w:szCs w:val="22"/>
        </w:rPr>
      </w:pPr>
      <w:r w:rsidRPr="00316E91">
        <w:rPr>
          <w:rFonts w:ascii="Funnel Sans" w:eastAsia="Arial" w:hAnsi="Funnel Sans" w:cs="Arial"/>
          <w:sz w:val="22"/>
          <w:szCs w:val="22"/>
        </w:rPr>
        <w:t xml:space="preserve">With </w:t>
      </w:r>
      <w:r w:rsidR="00C16163" w:rsidRPr="00316E91">
        <w:rPr>
          <w:rFonts w:ascii="Funnel Sans" w:eastAsia="Arial" w:hAnsi="Funnel Sans" w:cs="Arial"/>
          <w:sz w:val="22"/>
          <w:szCs w:val="22"/>
        </w:rPr>
        <w:t xml:space="preserve">RLT </w:t>
      </w:r>
      <w:r w:rsidRPr="00316E91">
        <w:rPr>
          <w:rFonts w:ascii="Funnel Sans" w:eastAsia="Arial" w:hAnsi="Funnel Sans" w:cs="Arial"/>
          <w:sz w:val="22"/>
          <w:szCs w:val="22"/>
        </w:rPr>
        <w:t>we</w:t>
      </w:r>
      <w:r w:rsidR="00576127" w:rsidRPr="00316E91">
        <w:rPr>
          <w:rFonts w:ascii="Funnel Sans" w:eastAsia="Arial" w:hAnsi="Funnel Sans" w:cs="Arial"/>
          <w:sz w:val="22"/>
          <w:szCs w:val="22"/>
        </w:rPr>
        <w:t xml:space="preserve"> </w:t>
      </w:r>
      <w:r w:rsidR="003B0DA9" w:rsidRPr="00316E91">
        <w:rPr>
          <w:rFonts w:ascii="Funnel Sans" w:eastAsia="Arial" w:hAnsi="Funnel Sans" w:cs="Arial"/>
          <w:sz w:val="22"/>
          <w:szCs w:val="22"/>
        </w:rPr>
        <w:t xml:space="preserve">can accurately </w:t>
      </w:r>
      <w:r w:rsidR="00C16163" w:rsidRPr="00316E91">
        <w:rPr>
          <w:rFonts w:ascii="Funnel Sans" w:eastAsia="Arial" w:hAnsi="Funnel Sans" w:cs="Arial"/>
          <w:sz w:val="22"/>
          <w:szCs w:val="22"/>
        </w:rPr>
        <w:t>predict and quantif</w:t>
      </w:r>
      <w:r w:rsidR="003B0DA9" w:rsidRPr="00316E91">
        <w:rPr>
          <w:rFonts w:ascii="Funnel Sans" w:eastAsia="Arial" w:hAnsi="Funnel Sans" w:cs="Arial"/>
          <w:sz w:val="22"/>
          <w:szCs w:val="22"/>
        </w:rPr>
        <w:t>y</w:t>
      </w:r>
      <w:r w:rsidRPr="00316E91">
        <w:rPr>
          <w:rFonts w:ascii="Funnel Sans" w:eastAsia="Arial" w:hAnsi="Funnel Sans" w:cs="Arial"/>
          <w:sz w:val="22"/>
          <w:szCs w:val="22"/>
        </w:rPr>
        <w:t xml:space="preserve"> toxicity </w:t>
      </w:r>
      <w:r w:rsidR="00C16163" w:rsidRPr="00316E91">
        <w:rPr>
          <w:rFonts w:ascii="Funnel Sans" w:eastAsia="Arial" w:hAnsi="Funnel Sans" w:cs="Arial"/>
          <w:sz w:val="22"/>
          <w:szCs w:val="22"/>
        </w:rPr>
        <w:t>before therapeutic dosing</w:t>
      </w:r>
      <w:r w:rsidRPr="00316E91">
        <w:rPr>
          <w:rFonts w:ascii="Funnel Sans" w:eastAsia="Arial" w:hAnsi="Funnel Sans" w:cs="Arial"/>
          <w:sz w:val="22"/>
          <w:szCs w:val="22"/>
        </w:rPr>
        <w:t xml:space="preserve"> </w:t>
      </w:r>
      <w:r w:rsidR="00FE12F8" w:rsidRPr="00316E91">
        <w:rPr>
          <w:rFonts w:ascii="Funnel Sans" w:eastAsia="Arial" w:hAnsi="Funnel Sans" w:cs="Arial"/>
          <w:sz w:val="22"/>
          <w:szCs w:val="22"/>
        </w:rPr>
        <w:t xml:space="preserve">using Phase 0 data, </w:t>
      </w:r>
      <w:r w:rsidR="00C16163" w:rsidRPr="00316E91">
        <w:rPr>
          <w:rFonts w:ascii="Funnel Sans" w:eastAsia="Arial" w:hAnsi="Funnel Sans" w:cs="Arial"/>
          <w:sz w:val="22"/>
          <w:szCs w:val="22"/>
        </w:rPr>
        <w:t>whereas ADC toxicity is payload- and linker-dependent, often unpredictable, and only fully characterized after each individual Phase 1 study.</w:t>
      </w:r>
    </w:p>
    <w:p w14:paraId="300889AB" w14:textId="77777777" w:rsidR="00733882" w:rsidRPr="00316E91" w:rsidRDefault="00C16163" w:rsidP="00316E91">
      <w:pPr>
        <w:pStyle w:val="font-claude-response-body"/>
        <w:spacing w:line="278" w:lineRule="auto"/>
        <w:jc w:val="both"/>
        <w:rPr>
          <w:rFonts w:ascii="Funnel Sans" w:eastAsia="Arial" w:hAnsi="Funnel Sans" w:cs="Arial"/>
          <w:sz w:val="22"/>
          <w:szCs w:val="22"/>
        </w:rPr>
      </w:pPr>
      <w:r w:rsidRPr="00316E91">
        <w:rPr>
          <w:rFonts w:ascii="Funnel Sans" w:eastAsia="Arial" w:hAnsi="Funnel Sans" w:cs="Arial"/>
          <w:sz w:val="22"/>
          <w:szCs w:val="22"/>
        </w:rPr>
        <w:lastRenderedPageBreak/>
        <w:t xml:space="preserve">ADC development on these targets has repeatedly demonstrated that viable targets can fail due to platform-intrinsic liabilities rather than target biology. </w:t>
      </w:r>
    </w:p>
    <w:p w14:paraId="6507CFA1" w14:textId="77777777" w:rsidR="00490FB2" w:rsidRPr="00316E91" w:rsidRDefault="00C16163" w:rsidP="00316E91">
      <w:pPr>
        <w:pStyle w:val="font-claude-response-body"/>
        <w:numPr>
          <w:ilvl w:val="0"/>
          <w:numId w:val="2"/>
        </w:numPr>
        <w:spacing w:line="278" w:lineRule="auto"/>
        <w:jc w:val="both"/>
        <w:rPr>
          <w:rFonts w:ascii="Funnel Sans" w:eastAsia="Arial" w:hAnsi="Funnel Sans" w:cs="Arial"/>
          <w:sz w:val="22"/>
          <w:szCs w:val="22"/>
        </w:rPr>
      </w:pPr>
      <w:r w:rsidRPr="00316E91">
        <w:rPr>
          <w:rFonts w:ascii="Funnel Sans" w:eastAsia="Arial" w:hAnsi="Funnel Sans" w:cs="Arial"/>
          <w:sz w:val="22"/>
          <w:szCs w:val="22"/>
        </w:rPr>
        <w:t>CEACAM5 ADCs (</w:t>
      </w:r>
      <w:proofErr w:type="spellStart"/>
      <w:r w:rsidRPr="00316E91">
        <w:rPr>
          <w:rFonts w:ascii="Funnel Sans" w:eastAsia="Arial" w:hAnsi="Funnel Sans" w:cs="Arial"/>
          <w:sz w:val="22"/>
          <w:szCs w:val="22"/>
        </w:rPr>
        <w:t>tusamitamab</w:t>
      </w:r>
      <w:proofErr w:type="spellEnd"/>
      <w:r w:rsidRPr="00316E91">
        <w:rPr>
          <w:rFonts w:ascii="Funnel Sans" w:eastAsia="Arial" w:hAnsi="Funnel Sans" w:cs="Arial"/>
          <w:sz w:val="22"/>
          <w:szCs w:val="22"/>
        </w:rPr>
        <w:t xml:space="preserve"> </w:t>
      </w:r>
      <w:proofErr w:type="spellStart"/>
      <w:r w:rsidRPr="00316E91">
        <w:rPr>
          <w:rFonts w:ascii="Funnel Sans" w:eastAsia="Arial" w:hAnsi="Funnel Sans" w:cs="Arial"/>
          <w:sz w:val="22"/>
          <w:szCs w:val="22"/>
        </w:rPr>
        <w:t>ravtansine</w:t>
      </w:r>
      <w:proofErr w:type="spellEnd"/>
      <w:r w:rsidRPr="00316E91">
        <w:rPr>
          <w:rFonts w:ascii="Funnel Sans" w:eastAsia="Arial" w:hAnsi="Funnel Sans" w:cs="Arial"/>
          <w:sz w:val="22"/>
          <w:szCs w:val="22"/>
        </w:rPr>
        <w:t>) produced ocular toxicity and limited efficacy attributed to slow internalization (</w:t>
      </w:r>
      <w:proofErr w:type="spellStart"/>
      <w:r w:rsidRPr="00316E91">
        <w:rPr>
          <w:rFonts w:ascii="Funnel Sans" w:eastAsia="Arial" w:hAnsi="Funnel Sans" w:cs="Arial"/>
          <w:sz w:val="22"/>
          <w:szCs w:val="22"/>
        </w:rPr>
        <w:t>Gazzah</w:t>
      </w:r>
      <w:proofErr w:type="spellEnd"/>
      <w:r w:rsidRPr="00316E91">
        <w:rPr>
          <w:rFonts w:ascii="Funnel Sans" w:eastAsia="Arial" w:hAnsi="Funnel Sans" w:cs="Arial"/>
          <w:sz w:val="22"/>
          <w:szCs w:val="22"/>
        </w:rPr>
        <w:t xml:space="preserve">, Ann Oncol, 2022). </w:t>
      </w:r>
    </w:p>
    <w:p w14:paraId="7F9B1E86" w14:textId="77777777" w:rsidR="00490FB2" w:rsidRPr="00316E91" w:rsidRDefault="00C16163" w:rsidP="00316E91">
      <w:pPr>
        <w:pStyle w:val="font-claude-response-body"/>
        <w:numPr>
          <w:ilvl w:val="0"/>
          <w:numId w:val="2"/>
        </w:numPr>
        <w:spacing w:line="278" w:lineRule="auto"/>
        <w:jc w:val="both"/>
        <w:rPr>
          <w:rFonts w:ascii="Funnel Sans" w:eastAsia="Arial" w:hAnsi="Funnel Sans" w:cs="Arial"/>
          <w:sz w:val="22"/>
          <w:szCs w:val="22"/>
        </w:rPr>
      </w:pPr>
      <w:r w:rsidRPr="00316E91">
        <w:rPr>
          <w:rFonts w:ascii="Funnel Sans" w:eastAsia="Arial" w:hAnsi="Funnel Sans" w:cs="Arial"/>
          <w:sz w:val="22"/>
          <w:szCs w:val="22"/>
        </w:rPr>
        <w:t xml:space="preserve">TAK-164 (GCC ADC) was terminated for hepatotoxicity driven by hepatic metabolism of its </w:t>
      </w:r>
      <w:proofErr w:type="spellStart"/>
      <w:r w:rsidRPr="00316E91">
        <w:rPr>
          <w:rFonts w:ascii="Funnel Sans" w:eastAsia="Arial" w:hAnsi="Funnel Sans" w:cs="Arial"/>
          <w:sz w:val="22"/>
          <w:szCs w:val="22"/>
        </w:rPr>
        <w:t>maytansinoid</w:t>
      </w:r>
      <w:proofErr w:type="spellEnd"/>
      <w:r w:rsidRPr="00316E91">
        <w:rPr>
          <w:rFonts w:ascii="Funnel Sans" w:eastAsia="Arial" w:hAnsi="Funnel Sans" w:cs="Arial"/>
          <w:sz w:val="22"/>
          <w:szCs w:val="22"/>
        </w:rPr>
        <w:t xml:space="preserve"> payload via non-cleavable linker (Kim, Cancer </w:t>
      </w:r>
      <w:proofErr w:type="spellStart"/>
      <w:r w:rsidRPr="00316E91">
        <w:rPr>
          <w:rFonts w:ascii="Funnel Sans" w:eastAsia="Arial" w:hAnsi="Funnel Sans" w:cs="Arial"/>
          <w:sz w:val="22"/>
          <w:szCs w:val="22"/>
        </w:rPr>
        <w:t>Chemother</w:t>
      </w:r>
      <w:proofErr w:type="spellEnd"/>
      <w:r w:rsidRPr="00316E91">
        <w:rPr>
          <w:rFonts w:ascii="Funnel Sans" w:eastAsia="Arial" w:hAnsi="Funnel Sans" w:cs="Arial"/>
          <w:sz w:val="22"/>
          <w:szCs w:val="22"/>
        </w:rPr>
        <w:t xml:space="preserve"> </w:t>
      </w:r>
      <w:proofErr w:type="spellStart"/>
      <w:r w:rsidRPr="00316E91">
        <w:rPr>
          <w:rFonts w:ascii="Funnel Sans" w:eastAsia="Arial" w:hAnsi="Funnel Sans" w:cs="Arial"/>
          <w:sz w:val="22"/>
          <w:szCs w:val="22"/>
        </w:rPr>
        <w:t>Pharmacol</w:t>
      </w:r>
      <w:proofErr w:type="spellEnd"/>
      <w:r w:rsidRPr="00316E91">
        <w:rPr>
          <w:rFonts w:ascii="Funnel Sans" w:eastAsia="Arial" w:hAnsi="Funnel Sans" w:cs="Arial"/>
          <w:sz w:val="22"/>
          <w:szCs w:val="22"/>
        </w:rPr>
        <w:t xml:space="preserve">, 2023). </w:t>
      </w:r>
    </w:p>
    <w:p w14:paraId="206890F1" w14:textId="3B00CB35" w:rsidR="00490FB2" w:rsidRPr="00316E91" w:rsidRDefault="00C16163" w:rsidP="00316E91">
      <w:pPr>
        <w:pStyle w:val="font-claude-response-body"/>
        <w:numPr>
          <w:ilvl w:val="0"/>
          <w:numId w:val="2"/>
        </w:numPr>
        <w:spacing w:line="278" w:lineRule="auto"/>
        <w:jc w:val="both"/>
        <w:rPr>
          <w:rFonts w:ascii="Funnel Sans" w:eastAsia="Arial" w:hAnsi="Funnel Sans" w:cs="Arial"/>
          <w:sz w:val="22"/>
          <w:szCs w:val="22"/>
        </w:rPr>
      </w:pPr>
      <w:r w:rsidRPr="00316E91">
        <w:rPr>
          <w:rFonts w:ascii="Funnel Sans" w:eastAsia="Arial" w:hAnsi="Funnel Sans" w:cs="Arial"/>
          <w:sz w:val="22"/>
          <w:szCs w:val="22"/>
        </w:rPr>
        <w:t xml:space="preserve">MUC1 ADCs have encountered limiting payload-driven toxicities, with next-generation programs still in early development. </w:t>
      </w:r>
    </w:p>
    <w:p w14:paraId="77EB13E3" w14:textId="305CCCDB" w:rsidR="00C16163" w:rsidRPr="00316E91" w:rsidRDefault="00C16163" w:rsidP="00316E91">
      <w:pPr>
        <w:pStyle w:val="font-claude-response-body"/>
        <w:spacing w:line="278" w:lineRule="auto"/>
        <w:jc w:val="both"/>
        <w:rPr>
          <w:rFonts w:ascii="Funnel Sans" w:eastAsia="Arial" w:hAnsi="Funnel Sans" w:cs="Arial"/>
          <w:sz w:val="22"/>
          <w:szCs w:val="22"/>
        </w:rPr>
      </w:pPr>
      <w:r w:rsidRPr="00316E91">
        <w:rPr>
          <w:rFonts w:ascii="Funnel Sans" w:eastAsia="Arial" w:hAnsi="Funnel Sans" w:cs="Arial"/>
          <w:sz w:val="22"/>
          <w:szCs w:val="22"/>
        </w:rPr>
        <w:t>In each case, the target was validated but the ADC platform introduced toxicities that were not predictable from target biology alone.</w:t>
      </w:r>
    </w:p>
    <w:p w14:paraId="1066D557" w14:textId="4F58C17A" w:rsidR="00C16163" w:rsidRPr="00316E91" w:rsidRDefault="00C16163" w:rsidP="00316E91">
      <w:pPr>
        <w:pStyle w:val="font-claude-response-body"/>
        <w:spacing w:line="278" w:lineRule="auto"/>
        <w:jc w:val="both"/>
        <w:rPr>
          <w:rFonts w:ascii="Funnel Sans" w:eastAsia="Arial" w:hAnsi="Funnel Sans" w:cs="Arial"/>
          <w:sz w:val="22"/>
          <w:szCs w:val="22"/>
        </w:rPr>
      </w:pPr>
      <w:r w:rsidRPr="00316E91">
        <w:rPr>
          <w:rFonts w:ascii="Funnel Sans" w:eastAsia="Arial" w:hAnsi="Funnel Sans" w:cs="Arial"/>
          <w:sz w:val="22"/>
          <w:szCs w:val="22"/>
        </w:rPr>
        <w:t xml:space="preserve">This is a structural feature of the ADC modality, not an aberration. Each linker-payload combination carries a known ceiling of administered payload beyond which characteristic toxicities emerge: SN-38-based ADCs (e.g., </w:t>
      </w:r>
      <w:proofErr w:type="spellStart"/>
      <w:r w:rsidRPr="00316E91">
        <w:rPr>
          <w:rFonts w:ascii="Funnel Sans" w:eastAsia="Arial" w:hAnsi="Funnel Sans" w:cs="Arial"/>
          <w:sz w:val="22"/>
          <w:szCs w:val="22"/>
        </w:rPr>
        <w:t>sacituzumab</w:t>
      </w:r>
      <w:proofErr w:type="spellEnd"/>
      <w:r w:rsidRPr="00316E91">
        <w:rPr>
          <w:rFonts w:ascii="Funnel Sans" w:eastAsia="Arial" w:hAnsi="Funnel Sans" w:cs="Arial"/>
          <w:sz w:val="22"/>
          <w:szCs w:val="22"/>
        </w:rPr>
        <w:t xml:space="preserve"> </w:t>
      </w:r>
      <w:proofErr w:type="spellStart"/>
      <w:r w:rsidRPr="00316E91">
        <w:rPr>
          <w:rFonts w:ascii="Funnel Sans" w:eastAsia="Arial" w:hAnsi="Funnel Sans" w:cs="Arial"/>
          <w:sz w:val="22"/>
          <w:szCs w:val="22"/>
        </w:rPr>
        <w:t>govitecan</w:t>
      </w:r>
      <w:proofErr w:type="spellEnd"/>
      <w:r w:rsidRPr="00316E91">
        <w:rPr>
          <w:rFonts w:ascii="Funnel Sans" w:eastAsia="Arial" w:hAnsi="Funnel Sans" w:cs="Arial"/>
          <w:sz w:val="22"/>
          <w:szCs w:val="22"/>
        </w:rPr>
        <w:t>) produce dose-limiting GI toxicity driven by linker hydrolysis and free payload release in the gut; MMAE-conjugated ADCs carry established risk of peripheral neuropathy and ocular toxicity. These payload-class liabilities set an effective cap on dosing intensity regardless of target engagement. Beyond these known constraints, ADCs also carry risk of unpredictable class toxicities</w:t>
      </w:r>
      <w:r w:rsidR="000E3911" w:rsidRPr="00316E91">
        <w:rPr>
          <w:rFonts w:ascii="Funnel Sans" w:eastAsia="Arial" w:hAnsi="Funnel Sans" w:cs="Arial"/>
          <w:sz w:val="22"/>
          <w:szCs w:val="22"/>
        </w:rPr>
        <w:t xml:space="preserve">, </w:t>
      </w:r>
      <w:r w:rsidRPr="00316E91">
        <w:rPr>
          <w:rFonts w:ascii="Funnel Sans" w:eastAsia="Arial" w:hAnsi="Funnel Sans" w:cs="Arial"/>
          <w:sz w:val="22"/>
          <w:szCs w:val="22"/>
        </w:rPr>
        <w:t>most notably ILD</w:t>
      </w:r>
      <w:r w:rsidR="000E3911" w:rsidRPr="00316E91">
        <w:rPr>
          <w:rFonts w:ascii="Funnel Sans" w:eastAsia="Arial" w:hAnsi="Funnel Sans" w:cs="Arial"/>
          <w:sz w:val="22"/>
          <w:szCs w:val="22"/>
        </w:rPr>
        <w:t xml:space="preserve">, </w:t>
      </w:r>
      <w:r w:rsidRPr="00316E91">
        <w:rPr>
          <w:rFonts w:ascii="Funnel Sans" w:eastAsia="Arial" w:hAnsi="Funnel Sans" w:cs="Arial"/>
          <w:sz w:val="22"/>
          <w:szCs w:val="22"/>
        </w:rPr>
        <w:t>that emerge independent of target biology, payload identity, or linker chemistry and cannot be anticipated from preclinical models.</w:t>
      </w:r>
    </w:p>
    <w:p w14:paraId="0DB43BE4" w14:textId="555227AB" w:rsidR="005761F2" w:rsidRPr="00316E91" w:rsidRDefault="00C16163" w:rsidP="00316E91">
      <w:pPr>
        <w:pStyle w:val="font-claude-response-body"/>
        <w:spacing w:line="278" w:lineRule="auto"/>
        <w:jc w:val="both"/>
        <w:rPr>
          <w:rFonts w:ascii="Funnel Sans" w:eastAsia="Arial" w:hAnsi="Funnel Sans" w:cs="Arial"/>
          <w:sz w:val="22"/>
          <w:szCs w:val="22"/>
        </w:rPr>
      </w:pPr>
      <w:r w:rsidRPr="00316E91">
        <w:rPr>
          <w:rFonts w:ascii="Funnel Sans" w:eastAsia="Arial" w:hAnsi="Funnel Sans" w:cs="Arial"/>
          <w:sz w:val="22"/>
          <w:szCs w:val="22"/>
        </w:rPr>
        <w:t>RLT inverts this paradigm. Organ-at-risk exposure is governed by ligand PK and target expression distribution, both measurable via Phase 0 imaging dosimetry before any therapeutic activity is administered. Critically, RLT's mechanism of cell kill</w:t>
      </w:r>
      <w:r w:rsidR="00E9576B" w:rsidRPr="00316E91">
        <w:rPr>
          <w:rFonts w:ascii="Funnel Sans" w:eastAsia="Arial" w:hAnsi="Funnel Sans" w:cs="Arial"/>
          <w:sz w:val="22"/>
          <w:szCs w:val="22"/>
        </w:rPr>
        <w:t xml:space="preserve"> is</w:t>
      </w:r>
      <w:r w:rsidRPr="00316E91">
        <w:rPr>
          <w:rFonts w:ascii="Funnel Sans" w:eastAsia="Arial" w:hAnsi="Funnel Sans" w:cs="Arial"/>
          <w:sz w:val="22"/>
          <w:szCs w:val="22"/>
        </w:rPr>
        <w:t xml:space="preserve"> crossfire and direct ionization from radionuclide decay</w:t>
      </w:r>
      <w:r w:rsidR="00067D8D" w:rsidRPr="00316E91">
        <w:rPr>
          <w:rFonts w:ascii="Funnel Sans" w:eastAsia="Arial" w:hAnsi="Funnel Sans" w:cs="Arial"/>
          <w:sz w:val="22"/>
          <w:szCs w:val="22"/>
        </w:rPr>
        <w:t>. This</w:t>
      </w:r>
      <w:r w:rsidRPr="00316E91">
        <w:rPr>
          <w:rFonts w:ascii="Funnel Sans" w:eastAsia="Arial" w:hAnsi="Funnel Sans" w:cs="Arial"/>
          <w:sz w:val="22"/>
          <w:szCs w:val="22"/>
        </w:rPr>
        <w:t xml:space="preserve"> does not depend on internalization or lysosomal trafficking, meaning targets like CEACAM5 with slow internalization kinetics that limited ADC payload delivery remain fully exploitable by RLT.</w:t>
      </w:r>
      <w:r w:rsidR="00B4432D" w:rsidRPr="00316E91">
        <w:rPr>
          <w:rFonts w:ascii="Funnel Sans" w:eastAsia="Arial" w:hAnsi="Funnel Sans" w:cs="Arial"/>
          <w:sz w:val="22"/>
          <w:szCs w:val="22"/>
        </w:rPr>
        <w:t xml:space="preserve"> </w:t>
      </w:r>
      <w:r w:rsidRPr="00316E91">
        <w:rPr>
          <w:rFonts w:ascii="Funnel Sans" w:eastAsia="Arial" w:hAnsi="Funnel Sans" w:cs="Arial"/>
          <w:sz w:val="22"/>
          <w:szCs w:val="22"/>
        </w:rPr>
        <w:t xml:space="preserve">Sego's target product profile for these programs reflects this structural advantage. Expected dose-limiting organs are restricted to kidney (clearance-driven) and marrow (blood-pool exposure), both quantifiable in advance via dosimetry and addressable through medicinal chemistry optimization of clearance kinetics. Notably absent from the expected toxicity profile are the hepatic, ocular, pulmonary, and GI signals that have derailed ADC programs on these same targets. </w:t>
      </w:r>
    </w:p>
    <w:p w14:paraId="2DA5FB5D" w14:textId="246EB094" w:rsidR="007E3398" w:rsidRPr="00316E91" w:rsidRDefault="007E3398" w:rsidP="00316E91">
      <w:pPr>
        <w:pBdr>
          <w:bottom w:val="single" w:sz="4" w:space="8" w:color="B1C8B0"/>
        </w:pBdr>
        <w:spacing w:before="200" w:after="200" w:line="278" w:lineRule="auto"/>
        <w:jc w:val="both"/>
        <w:rPr>
          <w:rFonts w:ascii="Funnel Sans" w:hAnsi="Funnel Sans"/>
          <w:color w:val="EE0000"/>
          <w:sz w:val="22"/>
          <w:szCs w:val="22"/>
        </w:rPr>
      </w:pPr>
    </w:p>
    <w:p w14:paraId="534AC6FE" w14:textId="54E1A089" w:rsidR="009D21D9" w:rsidRPr="00316E91" w:rsidRDefault="00000000" w:rsidP="00316E91">
      <w:pPr>
        <w:pStyle w:val="Heading2"/>
        <w:jc w:val="both"/>
        <w:rPr>
          <w:rFonts w:ascii="Funnel Sans" w:hAnsi="Funnel Sans"/>
          <w:b/>
          <w:bCs/>
        </w:rPr>
      </w:pPr>
      <w:r w:rsidRPr="00316E91">
        <w:rPr>
          <w:rFonts w:ascii="Funnel Sans" w:hAnsi="Funnel Sans"/>
          <w:b/>
          <w:bCs/>
        </w:rPr>
        <w:lastRenderedPageBreak/>
        <w:t>What is the accessibility of CEACAM5 and CLDN1 in normal tissues vs. the tumors in the relevant in vivo models? Do we expect any dose-limiting organs based on the normal expression profile?</w:t>
      </w:r>
    </w:p>
    <w:p w14:paraId="59F67547" w14:textId="6E289807" w:rsidR="0091410F"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CEACAM5 and CLDN1 are both expressed in normal epithelial tissues, but tumor-specific accessibility, not absolute expression, determines the relevant dose to normal organs. CEACAM5 in healthy GI epithelium is confined to the apical (luminal) surface, shielded from systemic circulation by epithelial polarity. Clinical imaging with 64Cu-M5A (an anti-CEACAM5 antibody binding the </w:t>
      </w:r>
      <w:r w:rsidR="00A13FCB" w:rsidRPr="00316E91">
        <w:rPr>
          <w:rFonts w:ascii="Funnel Sans" w:hAnsi="Funnel Sans"/>
          <w:sz w:val="22"/>
          <w:szCs w:val="22"/>
        </w:rPr>
        <w:t xml:space="preserve">N-terminal </w:t>
      </w:r>
      <w:proofErr w:type="spellStart"/>
      <w:r w:rsidR="00A13FCB" w:rsidRPr="00316E91">
        <w:rPr>
          <w:rFonts w:ascii="Funnel Sans" w:hAnsi="Funnel Sans"/>
          <w:sz w:val="22"/>
          <w:szCs w:val="22"/>
        </w:rPr>
        <w:t>IgV</w:t>
      </w:r>
      <w:proofErr w:type="spellEnd"/>
      <w:r w:rsidR="00A13FCB" w:rsidRPr="00316E91">
        <w:rPr>
          <w:rFonts w:ascii="Funnel Sans" w:hAnsi="Funnel Sans"/>
          <w:sz w:val="22"/>
          <w:szCs w:val="22"/>
        </w:rPr>
        <w:t>-like</w:t>
      </w:r>
      <w:r w:rsidRPr="00316E91">
        <w:rPr>
          <w:rFonts w:ascii="Funnel Sans" w:hAnsi="Funnel Sans"/>
          <w:sz w:val="22"/>
          <w:szCs w:val="22"/>
        </w:rPr>
        <w:t xml:space="preserve"> domain) confirmed minimal uptake in normal colon, supporting the accessibility hypothesis in humans </w:t>
      </w:r>
      <w:hyperlink r:id="rId12" w:history="1">
        <w:r w:rsidR="009D21D9" w:rsidRPr="00316E91">
          <w:rPr>
            <w:rStyle w:val="Hyperlink"/>
            <w:rFonts w:ascii="Funnel Sans" w:hAnsi="Funnel Sans"/>
            <w:sz w:val="22"/>
            <w:szCs w:val="22"/>
          </w:rPr>
          <w:t xml:space="preserve">Wong et al., Cancer </w:t>
        </w:r>
        <w:proofErr w:type="spellStart"/>
        <w:r w:rsidR="009D21D9" w:rsidRPr="00316E91">
          <w:rPr>
            <w:rStyle w:val="Hyperlink"/>
            <w:rFonts w:ascii="Funnel Sans" w:hAnsi="Funnel Sans"/>
            <w:sz w:val="22"/>
            <w:szCs w:val="22"/>
          </w:rPr>
          <w:t>Biother</w:t>
        </w:r>
        <w:proofErr w:type="spellEnd"/>
        <w:r w:rsidR="009D21D9" w:rsidRPr="00316E91">
          <w:rPr>
            <w:rStyle w:val="Hyperlink"/>
            <w:rFonts w:ascii="Funnel Sans" w:hAnsi="Funnel Sans"/>
            <w:sz w:val="22"/>
            <w:szCs w:val="22"/>
          </w:rPr>
          <w:t xml:space="preserve"> Radiopharm 2023</w:t>
        </w:r>
      </w:hyperlink>
      <w:r w:rsidRPr="00316E91">
        <w:rPr>
          <w:rFonts w:ascii="Funnel Sans" w:hAnsi="Funnel Sans"/>
          <w:sz w:val="22"/>
          <w:szCs w:val="22"/>
        </w:rPr>
        <w:t xml:space="preserve">. In tumors, loss of apical polarity and CEACAM5 overexpression expose the antigen to circulating ligands. </w:t>
      </w:r>
    </w:p>
    <w:p w14:paraId="534AC6FF" w14:textId="2696B44D" w:rsidR="009D21D9"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CLDN1 in healthy tissues is junctional, embedded in tight junction complexes and inaccessible to circulating agents. In tumors, CLDN1 becomes non-junctional </w:t>
      </w:r>
      <w:r w:rsidR="00C26A29" w:rsidRPr="00316E91">
        <w:rPr>
          <w:rFonts w:ascii="Funnel Sans" w:hAnsi="Funnel Sans"/>
          <w:sz w:val="22"/>
          <w:szCs w:val="22"/>
        </w:rPr>
        <w:t xml:space="preserve">and accessible </w:t>
      </w:r>
      <w:r w:rsidRPr="00316E91">
        <w:rPr>
          <w:rFonts w:ascii="Funnel Sans" w:hAnsi="Funnel Sans"/>
          <w:sz w:val="22"/>
          <w:szCs w:val="22"/>
        </w:rPr>
        <w:t xml:space="preserve">due to </w:t>
      </w:r>
      <w:r w:rsidR="00D95B76" w:rsidRPr="00316E91">
        <w:rPr>
          <w:rFonts w:ascii="Funnel Sans" w:hAnsi="Funnel Sans"/>
          <w:sz w:val="22"/>
          <w:szCs w:val="22"/>
        </w:rPr>
        <w:t xml:space="preserve">loss of polarization and </w:t>
      </w:r>
      <w:r w:rsidRPr="00316E91">
        <w:rPr>
          <w:rFonts w:ascii="Funnel Sans" w:hAnsi="Funnel Sans"/>
          <w:sz w:val="22"/>
          <w:szCs w:val="22"/>
        </w:rPr>
        <w:t xml:space="preserve">disrupted epithelial architecture </w:t>
      </w:r>
      <w:hyperlink r:id="rId13" w:history="1">
        <w:proofErr w:type="spellStart"/>
        <w:r w:rsidR="00D01F0A" w:rsidRPr="00316E91">
          <w:rPr>
            <w:rStyle w:val="Hyperlink"/>
            <w:rFonts w:ascii="Funnel Sans" w:hAnsi="Funnel Sans"/>
            <w:sz w:val="22"/>
            <w:szCs w:val="22"/>
          </w:rPr>
          <w:t>Roehelen</w:t>
        </w:r>
        <w:proofErr w:type="spellEnd"/>
        <w:r w:rsidR="00D01F0A" w:rsidRPr="00316E91">
          <w:rPr>
            <w:rStyle w:val="Hyperlink"/>
            <w:rFonts w:ascii="Funnel Sans" w:hAnsi="Funnel Sans"/>
            <w:sz w:val="22"/>
            <w:szCs w:val="22"/>
          </w:rPr>
          <w:t xml:space="preserve"> J Hepatol 2023</w:t>
        </w:r>
      </w:hyperlink>
      <w:r w:rsidRPr="00316E91">
        <w:rPr>
          <w:rFonts w:ascii="Funnel Sans" w:hAnsi="Funnel Sans"/>
          <w:sz w:val="22"/>
          <w:szCs w:val="22"/>
        </w:rPr>
        <w:t xml:space="preserve">. The expected dose-limiting organ for both targets is kidney, driven by physiological peptide clearance rather than on-target binding. Sego’s first </w:t>
      </w:r>
      <w:r w:rsidR="00E36DB6" w:rsidRPr="00316E91">
        <w:rPr>
          <w:rFonts w:ascii="Funnel Sans" w:hAnsi="Funnel Sans"/>
          <w:sz w:val="22"/>
          <w:szCs w:val="22"/>
        </w:rPr>
        <w:t xml:space="preserve">five </w:t>
      </w:r>
      <w:r w:rsidRPr="00316E91">
        <w:rPr>
          <w:rFonts w:ascii="Funnel Sans" w:hAnsi="Funnel Sans"/>
          <w:sz w:val="22"/>
          <w:szCs w:val="22"/>
        </w:rPr>
        <w:t xml:space="preserve">targets have no known red marrow expression. </w:t>
      </w:r>
    </w:p>
    <w:p w14:paraId="534AC700"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01" w14:textId="1134F476" w:rsidR="009D21D9" w:rsidRPr="00316E91" w:rsidRDefault="00000000" w:rsidP="00316E91">
      <w:pPr>
        <w:pStyle w:val="Heading2"/>
        <w:jc w:val="both"/>
        <w:rPr>
          <w:rFonts w:ascii="Funnel Sans" w:hAnsi="Funnel Sans"/>
          <w:b/>
          <w:bCs/>
        </w:rPr>
      </w:pPr>
      <w:r w:rsidRPr="00316E91">
        <w:rPr>
          <w:rFonts w:ascii="Funnel Sans" w:hAnsi="Funnel Sans"/>
          <w:b/>
          <w:bCs/>
        </w:rPr>
        <w:t xml:space="preserve">Do the hepatic toxicities seen in the TAK-164 (ADC) program affect interest in GCC as a target in general? How will </w:t>
      </w:r>
      <w:proofErr w:type="gramStart"/>
      <w:r w:rsidRPr="00316E91">
        <w:rPr>
          <w:rFonts w:ascii="Funnel Sans" w:hAnsi="Funnel Sans"/>
          <w:b/>
          <w:bCs/>
        </w:rPr>
        <w:t>a RLT</w:t>
      </w:r>
      <w:proofErr w:type="gramEnd"/>
      <w:r w:rsidRPr="00316E91">
        <w:rPr>
          <w:rFonts w:ascii="Funnel Sans" w:hAnsi="Funnel Sans"/>
          <w:b/>
          <w:bCs/>
        </w:rPr>
        <w:t xml:space="preserve"> approach be differentiated?</w:t>
      </w:r>
      <w:r w:rsidR="001A5FD2" w:rsidRPr="00316E91">
        <w:rPr>
          <w:rFonts w:ascii="Funnel Sans" w:hAnsi="Funnel Sans"/>
          <w:b/>
          <w:bCs/>
        </w:rPr>
        <w:t xml:space="preserve"> What </w:t>
      </w:r>
      <w:proofErr w:type="gramStart"/>
      <w:r w:rsidR="001A5FD2" w:rsidRPr="00316E91">
        <w:rPr>
          <w:rFonts w:ascii="Funnel Sans" w:hAnsi="Funnel Sans"/>
          <w:b/>
          <w:bCs/>
        </w:rPr>
        <w:t>are</w:t>
      </w:r>
      <w:proofErr w:type="gramEnd"/>
      <w:r w:rsidR="001A5FD2" w:rsidRPr="00316E91">
        <w:rPr>
          <w:rFonts w:ascii="Funnel Sans" w:hAnsi="Funnel Sans"/>
          <w:b/>
          <w:bCs/>
        </w:rPr>
        <w:t xml:space="preserve"> the expected dose-limiting organs given the expression profile in normal tissues such as GI?</w:t>
      </w:r>
    </w:p>
    <w:p w14:paraId="091DFEBC" w14:textId="77777777" w:rsidR="002E20B7" w:rsidRDefault="00FB65E3" w:rsidP="00316E91">
      <w:pPr>
        <w:pBdr>
          <w:bottom w:val="single" w:sz="4" w:space="8" w:color="B1C8B0"/>
        </w:pBdr>
        <w:spacing w:before="200" w:after="200" w:line="278" w:lineRule="auto"/>
        <w:jc w:val="both"/>
        <w:rPr>
          <w:rFonts w:ascii="Funnel Sans" w:hAnsi="Funnel Sans"/>
          <w:sz w:val="22"/>
          <w:szCs w:val="22"/>
        </w:rPr>
      </w:pPr>
      <w:r>
        <w:rPr>
          <w:rFonts w:ascii="Funnel Sans" w:hAnsi="Funnel Sans"/>
          <w:sz w:val="22"/>
          <w:szCs w:val="22"/>
        </w:rPr>
        <w:t xml:space="preserve">Due to an abundance of </w:t>
      </w:r>
      <w:proofErr w:type="gramStart"/>
      <w:r>
        <w:rPr>
          <w:rFonts w:ascii="Funnel Sans" w:hAnsi="Funnel Sans"/>
          <w:sz w:val="22"/>
          <w:szCs w:val="22"/>
        </w:rPr>
        <w:t>opportunity</w:t>
      </w:r>
      <w:proofErr w:type="gramEnd"/>
      <w:r w:rsidR="002712D3" w:rsidRPr="00316E91">
        <w:rPr>
          <w:rFonts w:ascii="Funnel Sans" w:hAnsi="Funnel Sans"/>
          <w:sz w:val="22"/>
          <w:szCs w:val="22"/>
        </w:rPr>
        <w:t>, Sego has deprioritized GCC to create pipeline capacity for in-licensing. Over the past several months, Sego has received significant inbound interest from Chinese RLT companies, European academic centers, and other groups with assets near clinic-ready or with existing FIH data. The volume and quality of these conversations convinced us to reserve a pipeline slot (and budget) for an in-licensed program that could accelerate our clinical timeline beyond what de novo discovery on any single target would achieve. When we reviewed all six original programs to determine which slot to open, GCC ranked lowest on our internal target scoring system</w:t>
      </w:r>
      <w:r w:rsidR="00352036" w:rsidRPr="00316E91">
        <w:rPr>
          <w:rFonts w:ascii="Funnel Sans" w:hAnsi="Funnel Sans"/>
          <w:sz w:val="22"/>
          <w:szCs w:val="22"/>
        </w:rPr>
        <w:t xml:space="preserve">. </w:t>
      </w:r>
    </w:p>
    <w:p w14:paraId="534AC706" w14:textId="785D034A" w:rsidR="009D21D9" w:rsidRDefault="002712D3" w:rsidP="00316E91">
      <w:pPr>
        <w:pBdr>
          <w:bottom w:val="single" w:sz="4" w:space="8" w:color="B1C8B0"/>
        </w:pBdr>
        <w:spacing w:before="200" w:after="200" w:line="278" w:lineRule="auto"/>
        <w:jc w:val="both"/>
        <w:rPr>
          <w:rFonts w:ascii="Funnel Sans" w:hAnsi="Funnel Sans"/>
          <w:sz w:val="22"/>
          <w:szCs w:val="22"/>
        </w:rPr>
      </w:pPr>
      <w:r w:rsidRPr="00316E91">
        <w:rPr>
          <w:rFonts w:ascii="Funnel Sans" w:hAnsi="Funnel Sans"/>
          <w:sz w:val="22"/>
          <w:szCs w:val="22"/>
        </w:rPr>
        <w:t xml:space="preserve">We have evaluated </w:t>
      </w:r>
      <w:r w:rsidR="004E188B">
        <w:rPr>
          <w:rFonts w:ascii="Funnel Sans" w:hAnsi="Funnel Sans"/>
          <w:sz w:val="22"/>
          <w:szCs w:val="22"/>
        </w:rPr>
        <w:t>multiple</w:t>
      </w:r>
      <w:r w:rsidRPr="00316E91">
        <w:rPr>
          <w:rFonts w:ascii="Funnel Sans" w:hAnsi="Funnel Sans"/>
          <w:sz w:val="22"/>
          <w:szCs w:val="22"/>
        </w:rPr>
        <w:t xml:space="preserve"> inbound assets to date and are </w:t>
      </w:r>
      <w:proofErr w:type="gramStart"/>
      <w:r w:rsidRPr="00316E91">
        <w:rPr>
          <w:rFonts w:ascii="Funnel Sans" w:hAnsi="Funnel Sans"/>
          <w:sz w:val="22"/>
          <w:szCs w:val="22"/>
        </w:rPr>
        <w:t>actively in diligence</w:t>
      </w:r>
      <w:proofErr w:type="gramEnd"/>
      <w:r w:rsidRPr="00316E91">
        <w:rPr>
          <w:rFonts w:ascii="Funnel Sans" w:hAnsi="Funnel Sans"/>
          <w:sz w:val="22"/>
          <w:szCs w:val="22"/>
        </w:rPr>
        <w:t xml:space="preserve"> on candidates that meet our target selection criteria, data quality bar, and deal economics. The goal is an asset that adds a near-term clinical catalyst within the </w:t>
      </w:r>
      <w:r w:rsidR="00352036" w:rsidRPr="00316E91">
        <w:rPr>
          <w:rFonts w:ascii="Funnel Sans" w:hAnsi="Funnel Sans"/>
          <w:sz w:val="22"/>
          <w:szCs w:val="22"/>
        </w:rPr>
        <w:t>S</w:t>
      </w:r>
      <w:r w:rsidRPr="00316E91">
        <w:rPr>
          <w:rFonts w:ascii="Funnel Sans" w:hAnsi="Funnel Sans"/>
          <w:sz w:val="22"/>
          <w:szCs w:val="22"/>
        </w:rPr>
        <w:t>eed timeline.</w:t>
      </w:r>
    </w:p>
    <w:p w14:paraId="3CC4D564" w14:textId="58433A15" w:rsidR="004E188B" w:rsidRDefault="004E188B" w:rsidP="004E188B">
      <w:pPr>
        <w:pBdr>
          <w:bottom w:val="single" w:sz="4" w:space="8" w:color="B1C8B0"/>
        </w:pBdr>
        <w:spacing w:before="200" w:after="200" w:line="278" w:lineRule="auto"/>
        <w:jc w:val="both"/>
        <w:rPr>
          <w:rFonts w:ascii="Funnel Sans" w:hAnsi="Funnel Sans"/>
          <w:sz w:val="22"/>
          <w:szCs w:val="22"/>
        </w:rPr>
      </w:pPr>
      <w:r>
        <w:rPr>
          <w:rFonts w:ascii="Funnel Sans" w:hAnsi="Funnel Sans"/>
          <w:sz w:val="22"/>
          <w:szCs w:val="22"/>
        </w:rPr>
        <w:t xml:space="preserve">Note: </w:t>
      </w:r>
      <w:r w:rsidRPr="00316E91">
        <w:rPr>
          <w:rFonts w:ascii="Funnel Sans" w:hAnsi="Funnel Sans"/>
          <w:sz w:val="22"/>
          <w:szCs w:val="22"/>
        </w:rPr>
        <w:t>The TAK-164 hepatotoxicity signal did not drive this decision; those toxicities were payload- and ADC-platform-driven (</w:t>
      </w:r>
      <w:proofErr w:type="spellStart"/>
      <w:r w:rsidRPr="00316E91">
        <w:rPr>
          <w:rFonts w:ascii="Funnel Sans" w:hAnsi="Funnel Sans"/>
          <w:sz w:val="22"/>
          <w:szCs w:val="22"/>
        </w:rPr>
        <w:t>maytansinoid</w:t>
      </w:r>
      <w:proofErr w:type="spellEnd"/>
      <w:r w:rsidRPr="00316E91">
        <w:rPr>
          <w:rFonts w:ascii="Funnel Sans" w:hAnsi="Funnel Sans"/>
          <w:sz w:val="22"/>
          <w:szCs w:val="22"/>
        </w:rPr>
        <w:t xml:space="preserve"> DM1 via non-cleavable linker, metabolized hepatically)</w:t>
      </w:r>
      <w:r>
        <w:rPr>
          <w:rFonts w:ascii="Funnel Sans" w:hAnsi="Funnel Sans"/>
          <w:sz w:val="22"/>
          <w:szCs w:val="22"/>
        </w:rPr>
        <w:t xml:space="preserve">. </w:t>
      </w:r>
    </w:p>
    <w:p w14:paraId="6E4DE130" w14:textId="77777777" w:rsidR="004E188B" w:rsidRPr="00316E91" w:rsidRDefault="004E188B" w:rsidP="00316E91">
      <w:pPr>
        <w:pBdr>
          <w:bottom w:val="single" w:sz="4" w:space="8" w:color="B1C8B0"/>
        </w:pBdr>
        <w:spacing w:before="200" w:after="200" w:line="278" w:lineRule="auto"/>
        <w:jc w:val="both"/>
        <w:rPr>
          <w:rFonts w:ascii="Funnel Sans" w:hAnsi="Funnel Sans"/>
          <w:sz w:val="22"/>
          <w:szCs w:val="22"/>
        </w:rPr>
      </w:pPr>
    </w:p>
    <w:p w14:paraId="4EC08C5F" w14:textId="77777777" w:rsidR="001A5FD2" w:rsidRPr="00316E91" w:rsidRDefault="001A5FD2" w:rsidP="00316E91">
      <w:pPr>
        <w:pBdr>
          <w:bottom w:val="single" w:sz="4" w:space="8" w:color="B1C8B0"/>
        </w:pBdr>
        <w:spacing w:before="200" w:after="200" w:line="278" w:lineRule="auto"/>
        <w:jc w:val="both"/>
        <w:rPr>
          <w:rFonts w:ascii="Funnel Sans" w:hAnsi="Funnel Sans"/>
          <w:sz w:val="22"/>
          <w:szCs w:val="22"/>
        </w:rPr>
      </w:pPr>
    </w:p>
    <w:p w14:paraId="534AC707" w14:textId="219FB2B3" w:rsidR="009D21D9" w:rsidRPr="004E188B" w:rsidRDefault="00000000" w:rsidP="00316E91">
      <w:pPr>
        <w:pStyle w:val="Heading2"/>
        <w:jc w:val="both"/>
        <w:rPr>
          <w:rFonts w:ascii="Funnel Sans" w:hAnsi="Funnel Sans"/>
          <w:b/>
          <w:bCs/>
        </w:rPr>
      </w:pPr>
      <w:r w:rsidRPr="004E188B">
        <w:rPr>
          <w:rFonts w:ascii="Funnel Sans" w:hAnsi="Funnel Sans"/>
          <w:b/>
          <w:bCs/>
        </w:rPr>
        <w:t>Are there any structural insights for MUC1-C that will help with the identification of a peptide binder for that specific protein region?</w:t>
      </w:r>
    </w:p>
    <w:p w14:paraId="1F21E6F2" w14:textId="3B8C3C6F" w:rsidR="00972058" w:rsidRPr="00316E91" w:rsidRDefault="00972058" w:rsidP="00316E91">
      <w:pPr>
        <w:spacing w:after="200" w:line="276" w:lineRule="auto"/>
        <w:jc w:val="both"/>
        <w:rPr>
          <w:rFonts w:ascii="Funnel Sans" w:hAnsi="Funnel Sans"/>
          <w:sz w:val="22"/>
          <w:szCs w:val="22"/>
        </w:rPr>
      </w:pPr>
      <w:r w:rsidRPr="00316E91">
        <w:rPr>
          <w:rFonts w:ascii="Funnel Sans" w:hAnsi="Funnel Sans"/>
          <w:sz w:val="22"/>
          <w:szCs w:val="22"/>
        </w:rPr>
        <w:t xml:space="preserve">MUC1 undergoes autoproteolytic cleavage at the SEA domain during translation producing MUC1-N and MUC1-C subunits that remain noncovalently associated. In cancer, MUC1-N is shed from the cell surface, exposing the 58-amino acid MUC1-C ECD. The SEA domain structure solved by NMR (PDB: 2ACM, </w:t>
      </w:r>
      <w:hyperlink r:id="rId14" w:history="1">
        <w:r w:rsidRPr="00316E91">
          <w:rPr>
            <w:rStyle w:val="Hyperlink"/>
            <w:rFonts w:ascii="Funnel Sans" w:hAnsi="Funnel Sans"/>
            <w:sz w:val="22"/>
            <w:szCs w:val="22"/>
          </w:rPr>
          <w:t>Macao et al., Nat Struct Mol Biol 2006</w:t>
        </w:r>
      </w:hyperlink>
      <w:r w:rsidRPr="00316E91">
        <w:rPr>
          <w:rFonts w:ascii="Funnel Sans" w:hAnsi="Funnel Sans"/>
          <w:sz w:val="22"/>
          <w:szCs w:val="22"/>
        </w:rPr>
        <w:t xml:space="preserve">) resolves the MUC1-N/MUC1-C interface and defines the </w:t>
      </w:r>
      <w:r w:rsidRPr="00316E91">
        <w:rPr>
          <w:rFonts w:ascii="Cambria" w:hAnsi="Cambria" w:cs="Cambria"/>
          <w:sz w:val="22"/>
          <w:szCs w:val="22"/>
        </w:rPr>
        <w:t>α</w:t>
      </w:r>
      <w:r w:rsidRPr="00316E91">
        <w:rPr>
          <w:rFonts w:ascii="Funnel Sans" w:hAnsi="Funnel Sans"/>
          <w:sz w:val="22"/>
          <w:szCs w:val="22"/>
        </w:rPr>
        <w:t xml:space="preserve">3 and </w:t>
      </w:r>
      <w:r w:rsidRPr="00316E91">
        <w:rPr>
          <w:rFonts w:ascii="Cambria" w:hAnsi="Cambria" w:cs="Cambria"/>
          <w:sz w:val="22"/>
          <w:szCs w:val="22"/>
        </w:rPr>
        <w:t>α</w:t>
      </w:r>
      <w:r w:rsidRPr="00316E91">
        <w:rPr>
          <w:rFonts w:ascii="Funnel Sans" w:hAnsi="Funnel Sans"/>
          <w:sz w:val="22"/>
          <w:szCs w:val="22"/>
        </w:rPr>
        <w:t xml:space="preserve">4 helices </w:t>
      </w:r>
      <w:r w:rsidR="00F405A5" w:rsidRPr="00316E91">
        <w:rPr>
          <w:rFonts w:ascii="Funnel Sans" w:hAnsi="Funnel Sans"/>
          <w:sz w:val="22"/>
          <w:szCs w:val="22"/>
        </w:rPr>
        <w:t xml:space="preserve">of MUC1-C </w:t>
      </w:r>
      <w:r w:rsidRPr="00316E91">
        <w:rPr>
          <w:rFonts w:ascii="Funnel Sans" w:hAnsi="Funnel Sans"/>
          <w:sz w:val="22"/>
          <w:szCs w:val="22"/>
        </w:rPr>
        <w:t>within the ECD.</w:t>
      </w:r>
    </w:p>
    <w:p w14:paraId="72A596B2" w14:textId="75769E64" w:rsidR="00972058" w:rsidRPr="00316E91" w:rsidRDefault="00972058" w:rsidP="00316E91">
      <w:pPr>
        <w:spacing w:after="200" w:line="276" w:lineRule="auto"/>
        <w:jc w:val="both"/>
        <w:rPr>
          <w:rFonts w:ascii="Funnel Sans" w:hAnsi="Funnel Sans"/>
          <w:sz w:val="22"/>
          <w:szCs w:val="22"/>
        </w:rPr>
      </w:pPr>
      <w:r w:rsidRPr="00316E91">
        <w:rPr>
          <w:rFonts w:ascii="Funnel Sans" w:hAnsi="Funnel Sans"/>
          <w:sz w:val="22"/>
          <w:szCs w:val="22"/>
        </w:rPr>
        <w:t xml:space="preserve">Sego's first approach designs cyclic peptides that mimic the MUC1-N/MUC1-C interaction at this interface. In parallel, Sego is running de novo DEL and mRNA display selections against the same recombinant MUC1-C ECD antigen used by the </w:t>
      </w:r>
      <w:proofErr w:type="spellStart"/>
      <w:r w:rsidRPr="00316E91">
        <w:rPr>
          <w:rFonts w:ascii="Funnel Sans" w:hAnsi="Funnel Sans"/>
          <w:sz w:val="22"/>
          <w:szCs w:val="22"/>
        </w:rPr>
        <w:t>Kufe</w:t>
      </w:r>
      <w:proofErr w:type="spellEnd"/>
      <w:r w:rsidRPr="00316E91">
        <w:rPr>
          <w:rFonts w:ascii="Funnel Sans" w:hAnsi="Funnel Sans"/>
          <w:sz w:val="22"/>
          <w:szCs w:val="22"/>
        </w:rPr>
        <w:t xml:space="preserve"> group to generate 3D1, an antibody that binds the </w:t>
      </w:r>
      <w:r w:rsidRPr="00316E91">
        <w:rPr>
          <w:rFonts w:ascii="Cambria" w:hAnsi="Cambria" w:cs="Cambria"/>
          <w:sz w:val="22"/>
          <w:szCs w:val="22"/>
        </w:rPr>
        <w:t>α</w:t>
      </w:r>
      <w:r w:rsidRPr="00316E91">
        <w:rPr>
          <w:rFonts w:ascii="Funnel Sans" w:hAnsi="Funnel Sans"/>
          <w:sz w:val="22"/>
          <w:szCs w:val="22"/>
        </w:rPr>
        <w:t xml:space="preserve">3 helix with 17 </w:t>
      </w:r>
      <w:proofErr w:type="spellStart"/>
      <w:r w:rsidRPr="00316E91">
        <w:rPr>
          <w:rFonts w:ascii="Funnel Sans" w:hAnsi="Funnel Sans"/>
          <w:sz w:val="22"/>
          <w:szCs w:val="22"/>
        </w:rPr>
        <w:t>nM</w:t>
      </w:r>
      <w:proofErr w:type="spellEnd"/>
      <w:r w:rsidRPr="00316E91">
        <w:rPr>
          <w:rFonts w:ascii="Funnel Sans" w:hAnsi="Funnel Sans"/>
          <w:sz w:val="22"/>
          <w:szCs w:val="22"/>
        </w:rPr>
        <w:t xml:space="preserve"> affinity, internalizes into tumor cells, and shows no reactivity with normal epithelium (</w:t>
      </w:r>
      <w:proofErr w:type="spellStart"/>
      <w:r w:rsidR="00DC54F7" w:rsidRPr="00316E91">
        <w:rPr>
          <w:rFonts w:ascii="Funnel Sans" w:hAnsi="Funnel Sans"/>
          <w:sz w:val="22"/>
          <w:szCs w:val="22"/>
        </w:rPr>
        <w:fldChar w:fldCharType="begin"/>
      </w:r>
      <w:r w:rsidR="00DC54F7" w:rsidRPr="00316E91">
        <w:rPr>
          <w:rFonts w:ascii="Funnel Sans" w:hAnsi="Funnel Sans"/>
          <w:sz w:val="22"/>
          <w:szCs w:val="22"/>
        </w:rPr>
        <w:instrText>HYPERLINK "https://insight.jci.org/articles/view/99880"</w:instrText>
      </w:r>
      <w:r w:rsidR="00DC54F7" w:rsidRPr="00316E91">
        <w:rPr>
          <w:rFonts w:ascii="Funnel Sans" w:hAnsi="Funnel Sans"/>
          <w:sz w:val="22"/>
          <w:szCs w:val="22"/>
        </w:rPr>
      </w:r>
      <w:r w:rsidR="00DC54F7" w:rsidRPr="00316E91">
        <w:rPr>
          <w:rFonts w:ascii="Funnel Sans" w:hAnsi="Funnel Sans"/>
          <w:sz w:val="22"/>
          <w:szCs w:val="22"/>
        </w:rPr>
        <w:fldChar w:fldCharType="separate"/>
      </w:r>
      <w:r w:rsidRPr="00316E91">
        <w:rPr>
          <w:rStyle w:val="Hyperlink"/>
          <w:rFonts w:ascii="Funnel Sans" w:hAnsi="Funnel Sans"/>
          <w:sz w:val="22"/>
          <w:szCs w:val="22"/>
        </w:rPr>
        <w:t>Panchamoorthy</w:t>
      </w:r>
      <w:proofErr w:type="spellEnd"/>
      <w:r w:rsidRPr="00316E91">
        <w:rPr>
          <w:rStyle w:val="Hyperlink"/>
          <w:rFonts w:ascii="Funnel Sans" w:hAnsi="Funnel Sans"/>
          <w:sz w:val="22"/>
          <w:szCs w:val="22"/>
        </w:rPr>
        <w:t xml:space="preserve"> et al., JCI Insight 2018</w:t>
      </w:r>
      <w:r w:rsidR="00DC54F7" w:rsidRPr="00316E91">
        <w:rPr>
          <w:rFonts w:ascii="Funnel Sans" w:hAnsi="Funnel Sans"/>
          <w:sz w:val="22"/>
          <w:szCs w:val="22"/>
        </w:rPr>
        <w:fldChar w:fldCharType="end"/>
      </w:r>
      <w:r w:rsidRPr="00316E91">
        <w:rPr>
          <w:rFonts w:ascii="Funnel Sans" w:hAnsi="Funnel Sans"/>
          <w:sz w:val="22"/>
          <w:szCs w:val="22"/>
        </w:rPr>
        <w:t>).</w:t>
      </w:r>
    </w:p>
    <w:p w14:paraId="534AC709"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0A" w14:textId="421AB100" w:rsidR="009D21D9" w:rsidRPr="008F2E66" w:rsidRDefault="00000000" w:rsidP="00316E91">
      <w:pPr>
        <w:pStyle w:val="Heading2"/>
        <w:jc w:val="both"/>
        <w:rPr>
          <w:rFonts w:ascii="Funnel Sans" w:hAnsi="Funnel Sans"/>
          <w:b/>
          <w:bCs/>
        </w:rPr>
      </w:pPr>
      <w:r w:rsidRPr="008F2E66">
        <w:rPr>
          <w:rFonts w:ascii="Funnel Sans" w:hAnsi="Funnel Sans"/>
          <w:b/>
          <w:bCs/>
        </w:rPr>
        <w:t>How will the team decide between an alpha or beta emitter for the payload for each program? What data points will drive that decision?</w:t>
      </w:r>
    </w:p>
    <w:p w14:paraId="534AC70B" w14:textId="0963061F" w:rsidR="009D21D9"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The choice between alpha (</w:t>
      </w:r>
      <w:r w:rsidRPr="003B7629">
        <w:rPr>
          <w:rFonts w:ascii="Funnel Sans" w:hAnsi="Funnel Sans"/>
          <w:sz w:val="22"/>
          <w:szCs w:val="22"/>
          <w:vertAlign w:val="superscript"/>
        </w:rPr>
        <w:t>225</w:t>
      </w:r>
      <w:r w:rsidRPr="00316E91">
        <w:rPr>
          <w:rFonts w:ascii="Funnel Sans" w:hAnsi="Funnel Sans"/>
          <w:sz w:val="22"/>
          <w:szCs w:val="22"/>
        </w:rPr>
        <w:t>Ac) and beta/Auger (</w:t>
      </w:r>
      <w:r w:rsidRPr="003B7629">
        <w:rPr>
          <w:rFonts w:ascii="Funnel Sans" w:hAnsi="Funnel Sans"/>
          <w:sz w:val="22"/>
          <w:szCs w:val="22"/>
          <w:vertAlign w:val="superscript"/>
        </w:rPr>
        <w:t>161</w:t>
      </w:r>
      <w:r w:rsidRPr="00316E91">
        <w:rPr>
          <w:rFonts w:ascii="Funnel Sans" w:hAnsi="Funnel Sans"/>
          <w:sz w:val="22"/>
          <w:szCs w:val="22"/>
        </w:rPr>
        <w:t>Tb) is driven by three target- and indication-specific data points: (</w:t>
      </w:r>
      <w:proofErr w:type="spellStart"/>
      <w:r w:rsidRPr="00316E91">
        <w:rPr>
          <w:rFonts w:ascii="Funnel Sans" w:hAnsi="Funnel Sans"/>
          <w:sz w:val="22"/>
          <w:szCs w:val="22"/>
        </w:rPr>
        <w:t>i</w:t>
      </w:r>
      <w:proofErr w:type="spellEnd"/>
      <w:r w:rsidRPr="00316E91">
        <w:rPr>
          <w:rFonts w:ascii="Funnel Sans" w:hAnsi="Funnel Sans"/>
          <w:sz w:val="22"/>
          <w:szCs w:val="22"/>
        </w:rPr>
        <w:t xml:space="preserve">) disease burden distribution, (ii) internalization efficiency, and (iii) on-target/off-tumor expression profile. </w:t>
      </w:r>
      <w:r w:rsidRPr="003B7629">
        <w:rPr>
          <w:rFonts w:ascii="Funnel Sans" w:hAnsi="Funnel Sans"/>
          <w:sz w:val="22"/>
          <w:szCs w:val="22"/>
          <w:vertAlign w:val="superscript"/>
        </w:rPr>
        <w:t>225</w:t>
      </w:r>
      <w:r w:rsidRPr="00316E91">
        <w:rPr>
          <w:rFonts w:ascii="Funnel Sans" w:hAnsi="Funnel Sans"/>
          <w:sz w:val="22"/>
          <w:szCs w:val="22"/>
        </w:rPr>
        <w:t xml:space="preserve">Ac is the default therapeutic isotope. Its alpha decay chain delivers four alpha particles per disintegration, producing irreparable double-strand DNA breaks with a kill density no beta emitter can match. </w:t>
      </w:r>
      <w:r w:rsidRPr="003B7629">
        <w:rPr>
          <w:rFonts w:ascii="Funnel Sans" w:hAnsi="Funnel Sans"/>
          <w:sz w:val="22"/>
          <w:szCs w:val="22"/>
          <w:vertAlign w:val="superscript"/>
        </w:rPr>
        <w:t>225</w:t>
      </w:r>
      <w:r w:rsidRPr="00316E91">
        <w:rPr>
          <w:rFonts w:ascii="Funnel Sans" w:hAnsi="Funnel Sans"/>
          <w:sz w:val="22"/>
          <w:szCs w:val="22"/>
        </w:rPr>
        <w:t>Ac is preferred for targets with confirmed internalization and high receptor density, where intracellular delivery m</w:t>
      </w:r>
      <w:r w:rsidR="00D16225">
        <w:rPr>
          <w:rFonts w:ascii="Funnel Sans" w:hAnsi="Funnel Sans"/>
          <w:sz w:val="22"/>
          <w:szCs w:val="22"/>
        </w:rPr>
        <w:t>ay minimize translocation of the daughter isotope</w:t>
      </w:r>
      <w:r w:rsidRPr="00316E91">
        <w:rPr>
          <w:rFonts w:ascii="Funnel Sans" w:hAnsi="Funnel Sans"/>
          <w:sz w:val="22"/>
          <w:szCs w:val="22"/>
        </w:rPr>
        <w:t xml:space="preserve">. </w:t>
      </w:r>
      <w:r w:rsidRPr="003B7629">
        <w:rPr>
          <w:rFonts w:ascii="Funnel Sans" w:hAnsi="Funnel Sans"/>
          <w:sz w:val="22"/>
          <w:szCs w:val="22"/>
          <w:vertAlign w:val="superscript"/>
        </w:rPr>
        <w:t>161</w:t>
      </w:r>
      <w:r w:rsidRPr="00316E91">
        <w:rPr>
          <w:rFonts w:ascii="Funnel Sans" w:hAnsi="Funnel Sans"/>
          <w:sz w:val="22"/>
          <w:szCs w:val="22"/>
        </w:rPr>
        <w:t xml:space="preserve">Tb is selected when the indication presents mixed disease burden, from bulky </w:t>
      </w:r>
      <w:proofErr w:type="spellStart"/>
      <w:r w:rsidRPr="00316E91">
        <w:rPr>
          <w:rFonts w:ascii="Funnel Sans" w:hAnsi="Funnel Sans"/>
          <w:sz w:val="22"/>
          <w:szCs w:val="22"/>
        </w:rPr>
        <w:t>macrometastases</w:t>
      </w:r>
      <w:proofErr w:type="spellEnd"/>
      <w:r w:rsidRPr="00316E91">
        <w:rPr>
          <w:rFonts w:ascii="Funnel Sans" w:hAnsi="Funnel Sans"/>
          <w:sz w:val="22"/>
          <w:szCs w:val="22"/>
        </w:rPr>
        <w:t xml:space="preserve"> through </w:t>
      </w:r>
      <w:proofErr w:type="spellStart"/>
      <w:r w:rsidRPr="00316E91">
        <w:rPr>
          <w:rFonts w:ascii="Funnel Sans" w:hAnsi="Funnel Sans"/>
          <w:sz w:val="22"/>
          <w:szCs w:val="22"/>
        </w:rPr>
        <w:t>micrometastases</w:t>
      </w:r>
      <w:proofErr w:type="spellEnd"/>
      <w:r w:rsidRPr="00316E91">
        <w:rPr>
          <w:rFonts w:ascii="Funnel Sans" w:hAnsi="Funnel Sans"/>
          <w:sz w:val="22"/>
          <w:szCs w:val="22"/>
        </w:rPr>
        <w:t xml:space="preserve"> and circulating tumor cells (CTCs). Its beta emission (comparable to </w:t>
      </w:r>
      <w:r w:rsidRPr="00D16225">
        <w:rPr>
          <w:rFonts w:ascii="Funnel Sans" w:hAnsi="Funnel Sans"/>
          <w:sz w:val="22"/>
          <w:szCs w:val="22"/>
          <w:vertAlign w:val="superscript"/>
        </w:rPr>
        <w:t>177</w:t>
      </w:r>
      <w:r w:rsidRPr="00316E91">
        <w:rPr>
          <w:rFonts w:ascii="Funnel Sans" w:hAnsi="Funnel Sans"/>
          <w:sz w:val="22"/>
          <w:szCs w:val="22"/>
        </w:rPr>
        <w:t xml:space="preserve">Lu) provides crossfire for debulking large lesions, while its Auger electrons deliver short-range, densely ionizing damage to single CTCs and sub-millimeter </w:t>
      </w:r>
      <w:proofErr w:type="spellStart"/>
      <w:r w:rsidRPr="00316E91">
        <w:rPr>
          <w:rFonts w:ascii="Funnel Sans" w:hAnsi="Funnel Sans"/>
          <w:sz w:val="22"/>
          <w:szCs w:val="22"/>
        </w:rPr>
        <w:t>micromets</w:t>
      </w:r>
      <w:proofErr w:type="spellEnd"/>
      <w:r w:rsidRPr="00316E91">
        <w:rPr>
          <w:rFonts w:ascii="Funnel Sans" w:hAnsi="Funnel Sans"/>
          <w:sz w:val="22"/>
          <w:szCs w:val="22"/>
        </w:rPr>
        <w:t xml:space="preserve">. </w:t>
      </w:r>
      <w:r w:rsidRPr="00D16225">
        <w:rPr>
          <w:rFonts w:ascii="Funnel Sans" w:hAnsi="Funnel Sans"/>
          <w:sz w:val="22"/>
          <w:szCs w:val="22"/>
          <w:vertAlign w:val="superscript"/>
        </w:rPr>
        <w:t>161</w:t>
      </w:r>
      <w:r w:rsidRPr="00316E91">
        <w:rPr>
          <w:rFonts w:ascii="Funnel Sans" w:hAnsi="Funnel Sans"/>
          <w:sz w:val="22"/>
          <w:szCs w:val="22"/>
        </w:rPr>
        <w:t xml:space="preserve">Tb may also be preferred when the on-target/off-tumor expression profile of a given target favors more forgiving dosimetry. The decision is made empirically at the program level using Phase 0 human dosimetry data: tumor uptake and retention, organ-at-risk washout kinetics, and predicted absorbed dose ratios under each isotope’s decay scheme. </w:t>
      </w:r>
    </w:p>
    <w:p w14:paraId="534AC70C"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0D" w14:textId="77777777" w:rsidR="009D21D9" w:rsidRPr="00EE75FB" w:rsidRDefault="00000000" w:rsidP="00316E91">
      <w:pPr>
        <w:pStyle w:val="Heading2"/>
        <w:jc w:val="both"/>
        <w:rPr>
          <w:rFonts w:ascii="Funnel Sans" w:hAnsi="Funnel Sans"/>
          <w:b/>
          <w:bCs/>
        </w:rPr>
      </w:pPr>
      <w:r w:rsidRPr="00EE75FB">
        <w:rPr>
          <w:rFonts w:ascii="Funnel Sans" w:hAnsi="Funnel Sans"/>
          <w:b/>
          <w:bCs/>
        </w:rPr>
        <w:lastRenderedPageBreak/>
        <w:t xml:space="preserve">Why </w:t>
      </w:r>
      <w:proofErr w:type="gramStart"/>
      <w:r w:rsidRPr="00EE75FB">
        <w:rPr>
          <w:rFonts w:ascii="Funnel Sans" w:hAnsi="Funnel Sans"/>
          <w:b/>
          <w:bCs/>
        </w:rPr>
        <w:t>the</w:t>
      </w:r>
      <w:proofErr w:type="gramEnd"/>
      <w:r w:rsidRPr="00EE75FB">
        <w:rPr>
          <w:rFonts w:ascii="Funnel Sans" w:hAnsi="Funnel Sans"/>
          <w:b/>
          <w:bCs/>
        </w:rPr>
        <w:t xml:space="preserve"> usage of </w:t>
      </w:r>
      <w:r w:rsidRPr="00D1174E">
        <w:rPr>
          <w:rFonts w:ascii="Funnel Sans" w:hAnsi="Funnel Sans"/>
          <w:b/>
          <w:bCs/>
          <w:vertAlign w:val="superscript"/>
        </w:rPr>
        <w:t>161</w:t>
      </w:r>
      <w:r w:rsidRPr="00EE75FB">
        <w:rPr>
          <w:rFonts w:ascii="Funnel Sans" w:hAnsi="Funnel Sans"/>
          <w:b/>
          <w:bCs/>
        </w:rPr>
        <w:t xml:space="preserve">Tb and why is it preferred over </w:t>
      </w:r>
      <w:r w:rsidRPr="00D1174E">
        <w:rPr>
          <w:rFonts w:ascii="Funnel Sans" w:hAnsi="Funnel Sans"/>
          <w:b/>
          <w:bCs/>
          <w:vertAlign w:val="superscript"/>
        </w:rPr>
        <w:t>177</w:t>
      </w:r>
      <w:r w:rsidRPr="00EE75FB">
        <w:rPr>
          <w:rFonts w:ascii="Funnel Sans" w:hAnsi="Funnel Sans"/>
          <w:b/>
          <w:bCs/>
        </w:rPr>
        <w:t xml:space="preserve">Lu? What is the current CMC process – please explain the raw materials, nuclear reaction, and decay process. Who are the current manufacturers of </w:t>
      </w:r>
      <w:r w:rsidRPr="00D1174E">
        <w:rPr>
          <w:rFonts w:ascii="Funnel Sans" w:hAnsi="Funnel Sans"/>
          <w:b/>
          <w:bCs/>
          <w:vertAlign w:val="superscript"/>
        </w:rPr>
        <w:t>161</w:t>
      </w:r>
      <w:r w:rsidRPr="00EE75FB">
        <w:rPr>
          <w:rFonts w:ascii="Funnel Sans" w:hAnsi="Funnel Sans"/>
          <w:b/>
          <w:bCs/>
        </w:rPr>
        <w:t>Tb and how much supply can they support?</w:t>
      </w:r>
    </w:p>
    <w:p w14:paraId="29811307" w14:textId="77777777" w:rsidR="00A062A9" w:rsidRDefault="00000000" w:rsidP="00316E91">
      <w:pPr>
        <w:spacing w:after="200" w:line="276" w:lineRule="auto"/>
        <w:jc w:val="both"/>
        <w:rPr>
          <w:rFonts w:ascii="Funnel Sans" w:hAnsi="Funnel Sans"/>
          <w:sz w:val="22"/>
          <w:szCs w:val="22"/>
        </w:rPr>
      </w:pPr>
      <w:r w:rsidRPr="00D1174E">
        <w:rPr>
          <w:rFonts w:ascii="Funnel Sans" w:hAnsi="Funnel Sans"/>
          <w:sz w:val="22"/>
          <w:szCs w:val="22"/>
          <w:vertAlign w:val="superscript"/>
        </w:rPr>
        <w:t>161</w:t>
      </w:r>
      <w:r w:rsidRPr="00316E91">
        <w:rPr>
          <w:rFonts w:ascii="Funnel Sans" w:hAnsi="Funnel Sans"/>
          <w:sz w:val="22"/>
          <w:szCs w:val="22"/>
        </w:rPr>
        <w:t>Tb delivers approximately twice the per-</w:t>
      </w:r>
      <w:proofErr w:type="spellStart"/>
      <w:r w:rsidRPr="00316E91">
        <w:rPr>
          <w:rFonts w:ascii="Funnel Sans" w:hAnsi="Funnel Sans"/>
          <w:sz w:val="22"/>
          <w:szCs w:val="22"/>
        </w:rPr>
        <w:t>GBq</w:t>
      </w:r>
      <w:proofErr w:type="spellEnd"/>
      <w:r w:rsidRPr="00316E91">
        <w:rPr>
          <w:rFonts w:ascii="Funnel Sans" w:hAnsi="Funnel Sans"/>
          <w:sz w:val="22"/>
          <w:szCs w:val="22"/>
        </w:rPr>
        <w:t xml:space="preserve"> tumor absorbed dose of </w:t>
      </w:r>
      <w:r w:rsidRPr="00D1174E">
        <w:rPr>
          <w:rFonts w:ascii="Funnel Sans" w:hAnsi="Funnel Sans"/>
          <w:sz w:val="22"/>
          <w:szCs w:val="22"/>
          <w:vertAlign w:val="superscript"/>
        </w:rPr>
        <w:t>177</w:t>
      </w:r>
      <w:r w:rsidRPr="00316E91">
        <w:rPr>
          <w:rFonts w:ascii="Funnel Sans" w:hAnsi="Funnel Sans"/>
          <w:sz w:val="22"/>
          <w:szCs w:val="22"/>
        </w:rPr>
        <w:t xml:space="preserve">Lu in head-to-head PSMA dosimetry studies, driven by its additional high-energy Auger and conversion electron emissions that </w:t>
      </w:r>
      <w:r w:rsidRPr="00D1174E">
        <w:rPr>
          <w:rFonts w:ascii="Funnel Sans" w:hAnsi="Funnel Sans"/>
          <w:sz w:val="22"/>
          <w:szCs w:val="22"/>
          <w:vertAlign w:val="superscript"/>
        </w:rPr>
        <w:t>177</w:t>
      </w:r>
      <w:r w:rsidRPr="00316E91">
        <w:rPr>
          <w:rFonts w:ascii="Funnel Sans" w:hAnsi="Funnel Sans"/>
          <w:sz w:val="22"/>
          <w:szCs w:val="22"/>
        </w:rPr>
        <w:t xml:space="preserve">Lu lacks </w:t>
      </w:r>
      <w:r w:rsidR="00577D48" w:rsidRPr="00316E91">
        <w:rPr>
          <w:rFonts w:ascii="Funnel Sans" w:hAnsi="Funnel Sans"/>
          <w:sz w:val="22"/>
          <w:szCs w:val="22"/>
        </w:rPr>
        <w:t>(</w:t>
      </w:r>
      <w:hyperlink r:id="rId15" w:history="1">
        <w:r w:rsidR="009D21D9" w:rsidRPr="00316E91">
          <w:rPr>
            <w:rStyle w:val="Hyperlink"/>
            <w:rFonts w:ascii="Funnel Sans" w:hAnsi="Funnel Sans"/>
            <w:sz w:val="22"/>
            <w:szCs w:val="22"/>
          </w:rPr>
          <w:t>Liang, PMC 2025</w:t>
        </w:r>
      </w:hyperlink>
      <w:r w:rsidRPr="00316E91">
        <w:rPr>
          <w:rFonts w:ascii="Funnel Sans" w:hAnsi="Funnel Sans"/>
          <w:sz w:val="22"/>
          <w:szCs w:val="22"/>
        </w:rPr>
        <w:t xml:space="preserve">; </w:t>
      </w:r>
      <w:hyperlink r:id="rId16" w:history="1">
        <w:r w:rsidR="009D21D9" w:rsidRPr="00316E91">
          <w:rPr>
            <w:rStyle w:val="Hyperlink"/>
            <w:rFonts w:ascii="Funnel Sans" w:hAnsi="Funnel Sans"/>
            <w:sz w:val="22"/>
            <w:szCs w:val="22"/>
          </w:rPr>
          <w:t>VIOLET Trial, Lancet Oncol 2025</w:t>
        </w:r>
      </w:hyperlink>
      <w:r w:rsidRPr="00316E91">
        <w:rPr>
          <w:rFonts w:ascii="Funnel Sans" w:hAnsi="Funnel Sans"/>
          <w:sz w:val="22"/>
          <w:szCs w:val="22"/>
        </w:rPr>
        <w:t xml:space="preserve">). </w:t>
      </w:r>
      <w:r w:rsidR="00227C2D" w:rsidRPr="00316E91">
        <w:rPr>
          <w:rFonts w:ascii="Funnel Sans" w:hAnsi="Funnel Sans"/>
          <w:sz w:val="22"/>
          <w:szCs w:val="22"/>
        </w:rPr>
        <w:t xml:space="preserve">This is </w:t>
      </w:r>
      <w:r w:rsidR="00B84A68" w:rsidRPr="00316E91">
        <w:rPr>
          <w:rFonts w:ascii="Funnel Sans" w:hAnsi="Funnel Sans"/>
          <w:sz w:val="22"/>
          <w:szCs w:val="22"/>
        </w:rPr>
        <w:t>particularly true for molecules that are internalized w</w:t>
      </w:r>
      <w:r w:rsidR="00A062A9">
        <w:rPr>
          <w:rFonts w:ascii="Funnel Sans" w:hAnsi="Funnel Sans"/>
          <w:sz w:val="22"/>
          <w:szCs w:val="22"/>
        </w:rPr>
        <w:t>h</w:t>
      </w:r>
      <w:r w:rsidR="00B84A68" w:rsidRPr="00316E91">
        <w:rPr>
          <w:rFonts w:ascii="Funnel Sans" w:hAnsi="Funnel Sans"/>
          <w:sz w:val="22"/>
          <w:szCs w:val="22"/>
        </w:rPr>
        <w:t xml:space="preserve">ere the Auger electrons </w:t>
      </w:r>
      <w:r w:rsidR="00D966D3" w:rsidRPr="00316E91">
        <w:rPr>
          <w:rFonts w:ascii="Funnel Sans" w:hAnsi="Funnel Sans"/>
          <w:sz w:val="22"/>
          <w:szCs w:val="22"/>
        </w:rPr>
        <w:t xml:space="preserve">can </w:t>
      </w:r>
      <w:r w:rsidR="00A062A9">
        <w:rPr>
          <w:rFonts w:ascii="Funnel Sans" w:hAnsi="Funnel Sans"/>
          <w:sz w:val="22"/>
          <w:szCs w:val="22"/>
        </w:rPr>
        <w:t>gain proximity to</w:t>
      </w:r>
      <w:r w:rsidR="00D966D3" w:rsidRPr="00316E91">
        <w:rPr>
          <w:rFonts w:ascii="Funnel Sans" w:hAnsi="Funnel Sans"/>
          <w:sz w:val="22"/>
          <w:szCs w:val="22"/>
        </w:rPr>
        <w:t xml:space="preserve"> DNA.</w:t>
      </w:r>
      <w:r w:rsidR="00B84A68" w:rsidRPr="00316E91">
        <w:rPr>
          <w:rFonts w:ascii="Funnel Sans" w:hAnsi="Funnel Sans"/>
          <w:sz w:val="22"/>
          <w:szCs w:val="22"/>
        </w:rPr>
        <w:t xml:space="preserve"> </w:t>
      </w:r>
      <w:r w:rsidR="00901D0C" w:rsidRPr="00316E91">
        <w:rPr>
          <w:rFonts w:ascii="Funnel Sans" w:hAnsi="Funnel Sans"/>
          <w:sz w:val="22"/>
          <w:szCs w:val="22"/>
        </w:rPr>
        <w:t>Both</w:t>
      </w:r>
      <w:r w:rsidRPr="00316E91">
        <w:rPr>
          <w:rFonts w:ascii="Funnel Sans" w:hAnsi="Funnel Sans"/>
          <w:sz w:val="22"/>
          <w:szCs w:val="22"/>
        </w:rPr>
        <w:t xml:space="preserve"> isotopes have comparable beta emissions, but </w:t>
      </w:r>
      <w:r w:rsidRPr="00D1174E">
        <w:rPr>
          <w:rFonts w:ascii="Funnel Sans" w:hAnsi="Funnel Sans"/>
          <w:sz w:val="22"/>
          <w:szCs w:val="22"/>
          <w:vertAlign w:val="superscript"/>
        </w:rPr>
        <w:t>161</w:t>
      </w:r>
      <w:r w:rsidRPr="00316E91">
        <w:rPr>
          <w:rFonts w:ascii="Funnel Sans" w:hAnsi="Funnel Sans"/>
          <w:sz w:val="22"/>
          <w:szCs w:val="22"/>
        </w:rPr>
        <w:t xml:space="preserve">Tb’s Auger electrons deposit intense radiation at sub-cellular range (nanometers), making it effective against </w:t>
      </w:r>
      <w:proofErr w:type="spellStart"/>
      <w:r w:rsidRPr="00316E91">
        <w:rPr>
          <w:rFonts w:ascii="Funnel Sans" w:hAnsi="Funnel Sans"/>
          <w:sz w:val="22"/>
          <w:szCs w:val="22"/>
        </w:rPr>
        <w:t>micrometastases</w:t>
      </w:r>
      <w:proofErr w:type="spellEnd"/>
      <w:r w:rsidRPr="00316E91">
        <w:rPr>
          <w:rFonts w:ascii="Funnel Sans" w:hAnsi="Funnel Sans"/>
          <w:sz w:val="22"/>
          <w:szCs w:val="22"/>
        </w:rPr>
        <w:t xml:space="preserve"> and CTCs where beta crossfire is wasted. </w:t>
      </w:r>
    </w:p>
    <w:p w14:paraId="10B12DA7" w14:textId="3631A483" w:rsidR="00577D48"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Early clinical data demonstrate responses in patients who progressed after standard </w:t>
      </w:r>
      <w:r w:rsidRPr="00A062A9">
        <w:rPr>
          <w:rFonts w:ascii="Funnel Sans" w:hAnsi="Funnel Sans"/>
          <w:sz w:val="22"/>
          <w:szCs w:val="22"/>
          <w:vertAlign w:val="superscript"/>
        </w:rPr>
        <w:t>177</w:t>
      </w:r>
      <w:r w:rsidRPr="00316E91">
        <w:rPr>
          <w:rFonts w:ascii="Funnel Sans" w:hAnsi="Funnel Sans"/>
          <w:sz w:val="22"/>
          <w:szCs w:val="22"/>
        </w:rPr>
        <w:t>Lu therapy</w:t>
      </w:r>
      <w:r w:rsidR="00DE52FD" w:rsidRPr="00316E91">
        <w:rPr>
          <w:rFonts w:ascii="Funnel Sans" w:hAnsi="Funnel Sans"/>
          <w:sz w:val="22"/>
          <w:szCs w:val="22"/>
        </w:rPr>
        <w:t xml:space="preserve"> (Pluvicto)</w:t>
      </w:r>
      <w:r w:rsidRPr="00316E91">
        <w:rPr>
          <w:rFonts w:ascii="Funnel Sans" w:hAnsi="Funnel Sans"/>
          <w:sz w:val="22"/>
          <w:szCs w:val="22"/>
        </w:rPr>
        <w:t xml:space="preserve">, confirming the added therapeutic value. </w:t>
      </w:r>
    </w:p>
    <w:p w14:paraId="456704B4" w14:textId="77777777" w:rsidR="001C482A" w:rsidRDefault="00A062A9" w:rsidP="00316E91">
      <w:pPr>
        <w:spacing w:after="200" w:line="276" w:lineRule="auto"/>
        <w:jc w:val="both"/>
        <w:rPr>
          <w:rFonts w:ascii="Funnel Sans" w:hAnsi="Funnel Sans"/>
          <w:sz w:val="22"/>
          <w:szCs w:val="22"/>
        </w:rPr>
      </w:pPr>
      <w:r w:rsidRPr="00A062A9">
        <w:rPr>
          <w:rFonts w:ascii="Funnel Sans" w:hAnsi="Funnel Sans"/>
          <w:sz w:val="22"/>
          <w:szCs w:val="22"/>
          <w:vertAlign w:val="superscript"/>
        </w:rPr>
        <w:t>161</w:t>
      </w:r>
      <w:r w:rsidR="00C67003" w:rsidRPr="00316E91">
        <w:rPr>
          <w:rFonts w:ascii="Funnel Sans" w:hAnsi="Funnel Sans"/>
          <w:sz w:val="22"/>
          <w:szCs w:val="22"/>
        </w:rPr>
        <w:t xml:space="preserve">Tb </w:t>
      </w:r>
      <w:r w:rsidR="00D046D6" w:rsidRPr="00316E91">
        <w:rPr>
          <w:rFonts w:ascii="Funnel Sans" w:hAnsi="Funnel Sans"/>
          <w:sz w:val="22"/>
          <w:szCs w:val="22"/>
        </w:rPr>
        <w:t>radio</w:t>
      </w:r>
      <w:r w:rsidR="00C67003" w:rsidRPr="00316E91">
        <w:rPr>
          <w:rFonts w:ascii="Funnel Sans" w:hAnsi="Funnel Sans"/>
          <w:sz w:val="22"/>
          <w:szCs w:val="22"/>
        </w:rPr>
        <w:t xml:space="preserve">labels </w:t>
      </w:r>
      <w:r w:rsidR="00D046D6" w:rsidRPr="00316E91">
        <w:rPr>
          <w:rFonts w:ascii="Funnel Sans" w:hAnsi="Funnel Sans"/>
          <w:sz w:val="22"/>
          <w:szCs w:val="22"/>
        </w:rPr>
        <w:t xml:space="preserve">under </w:t>
      </w:r>
      <w:r w:rsidR="00C67003" w:rsidRPr="00316E91">
        <w:rPr>
          <w:rFonts w:ascii="Funnel Sans" w:hAnsi="Funnel Sans"/>
          <w:sz w:val="22"/>
          <w:szCs w:val="22"/>
        </w:rPr>
        <w:t xml:space="preserve">the same </w:t>
      </w:r>
      <w:r w:rsidR="000C113E" w:rsidRPr="00316E91">
        <w:rPr>
          <w:rFonts w:ascii="Funnel Sans" w:hAnsi="Funnel Sans"/>
          <w:sz w:val="22"/>
          <w:szCs w:val="22"/>
        </w:rPr>
        <w:t xml:space="preserve">conditions </w:t>
      </w:r>
      <w:r w:rsidR="00D046D6" w:rsidRPr="00316E91">
        <w:rPr>
          <w:rFonts w:ascii="Funnel Sans" w:hAnsi="Funnel Sans"/>
          <w:sz w:val="22"/>
          <w:szCs w:val="22"/>
        </w:rPr>
        <w:t xml:space="preserve">(formulations and labeling process) </w:t>
      </w:r>
      <w:r w:rsidR="000C113E" w:rsidRPr="00316E91">
        <w:rPr>
          <w:rFonts w:ascii="Funnel Sans" w:hAnsi="Funnel Sans"/>
          <w:sz w:val="22"/>
          <w:szCs w:val="22"/>
        </w:rPr>
        <w:t xml:space="preserve">as </w:t>
      </w:r>
      <w:r w:rsidRPr="00A062A9">
        <w:rPr>
          <w:rFonts w:ascii="Funnel Sans" w:hAnsi="Funnel Sans"/>
          <w:sz w:val="22"/>
          <w:szCs w:val="22"/>
          <w:vertAlign w:val="superscript"/>
        </w:rPr>
        <w:t>177</w:t>
      </w:r>
      <w:r w:rsidR="00D046D6" w:rsidRPr="00316E91">
        <w:rPr>
          <w:rFonts w:ascii="Funnel Sans" w:hAnsi="Funnel Sans"/>
          <w:sz w:val="22"/>
          <w:szCs w:val="22"/>
        </w:rPr>
        <w:t xml:space="preserve">Lu. </w:t>
      </w:r>
      <w:r w:rsidR="00ED42A7" w:rsidRPr="00316E91">
        <w:rPr>
          <w:rFonts w:ascii="Funnel Sans" w:hAnsi="Funnel Sans"/>
          <w:sz w:val="22"/>
          <w:szCs w:val="22"/>
        </w:rPr>
        <w:t xml:space="preserve">This production pathway is nearly identical to </w:t>
      </w:r>
      <w:r w:rsidR="00ED42A7" w:rsidRPr="00BF3BE5">
        <w:rPr>
          <w:rFonts w:ascii="Funnel Sans" w:hAnsi="Funnel Sans"/>
          <w:sz w:val="22"/>
          <w:szCs w:val="22"/>
          <w:vertAlign w:val="superscript"/>
        </w:rPr>
        <w:t>177</w:t>
      </w:r>
      <w:r w:rsidR="00ED42A7" w:rsidRPr="00316E91">
        <w:rPr>
          <w:rFonts w:ascii="Funnel Sans" w:hAnsi="Funnel Sans"/>
          <w:sz w:val="22"/>
          <w:szCs w:val="22"/>
        </w:rPr>
        <w:t>Lu manufacturing.</w:t>
      </w:r>
      <w:r w:rsidR="00ED42A7">
        <w:rPr>
          <w:rFonts w:ascii="Funnel Sans" w:hAnsi="Funnel Sans"/>
          <w:sz w:val="22"/>
          <w:szCs w:val="22"/>
        </w:rPr>
        <w:t xml:space="preserve"> </w:t>
      </w:r>
    </w:p>
    <w:p w14:paraId="5AC58774" w14:textId="77777777" w:rsidR="001C482A" w:rsidRDefault="006B6F94" w:rsidP="001C482A">
      <w:pPr>
        <w:pStyle w:val="ListParagraph"/>
        <w:numPr>
          <w:ilvl w:val="0"/>
          <w:numId w:val="3"/>
        </w:numPr>
        <w:spacing w:after="200" w:line="276" w:lineRule="auto"/>
        <w:jc w:val="both"/>
        <w:rPr>
          <w:rFonts w:ascii="Funnel Sans" w:hAnsi="Funnel Sans"/>
          <w:sz w:val="22"/>
          <w:szCs w:val="22"/>
        </w:rPr>
      </w:pPr>
      <w:r w:rsidRPr="001C482A">
        <w:rPr>
          <w:rFonts w:ascii="Funnel Sans" w:hAnsi="Funnel Sans"/>
          <w:sz w:val="22"/>
          <w:szCs w:val="22"/>
        </w:rPr>
        <w:t>The raw material for the nuclear reaction</w:t>
      </w:r>
      <w:r w:rsidR="00901D0C" w:rsidRPr="001C482A">
        <w:rPr>
          <w:rFonts w:ascii="Funnel Sans" w:hAnsi="Funnel Sans"/>
          <w:sz w:val="22"/>
          <w:szCs w:val="22"/>
        </w:rPr>
        <w:t xml:space="preserve"> starts with highly enriched </w:t>
      </w:r>
      <w:r w:rsidR="00901D0C" w:rsidRPr="001C482A">
        <w:rPr>
          <w:rFonts w:ascii="Funnel Sans" w:hAnsi="Funnel Sans"/>
          <w:sz w:val="22"/>
          <w:szCs w:val="22"/>
          <w:vertAlign w:val="superscript"/>
        </w:rPr>
        <w:t>160</w:t>
      </w:r>
      <w:r w:rsidR="00901D0C" w:rsidRPr="001C482A">
        <w:rPr>
          <w:rFonts w:ascii="Funnel Sans" w:hAnsi="Funnel Sans"/>
          <w:sz w:val="22"/>
          <w:szCs w:val="22"/>
        </w:rPr>
        <w:t xml:space="preserve">Gd (&gt;98% isotopic purity versus ~21.9% natural abundance) as the target material. </w:t>
      </w:r>
    </w:p>
    <w:p w14:paraId="451F17F1" w14:textId="77777777" w:rsidR="001C482A" w:rsidRDefault="00901D0C" w:rsidP="001C482A">
      <w:pPr>
        <w:pStyle w:val="ListParagraph"/>
        <w:numPr>
          <w:ilvl w:val="0"/>
          <w:numId w:val="3"/>
        </w:numPr>
        <w:spacing w:after="200" w:line="276" w:lineRule="auto"/>
        <w:jc w:val="both"/>
        <w:rPr>
          <w:rFonts w:ascii="Funnel Sans" w:hAnsi="Funnel Sans"/>
          <w:sz w:val="22"/>
          <w:szCs w:val="22"/>
        </w:rPr>
      </w:pPr>
      <w:r w:rsidRPr="001C482A">
        <w:rPr>
          <w:rFonts w:ascii="Funnel Sans" w:hAnsi="Funnel Sans"/>
          <w:sz w:val="22"/>
          <w:szCs w:val="22"/>
          <w:vertAlign w:val="superscript"/>
        </w:rPr>
        <w:t>160</w:t>
      </w:r>
      <w:r w:rsidRPr="001C482A">
        <w:rPr>
          <w:rFonts w:ascii="Funnel Sans" w:hAnsi="Funnel Sans"/>
          <w:sz w:val="22"/>
          <w:szCs w:val="22"/>
        </w:rPr>
        <w:t>Gd undergoes neutron capture in a nuclear reactor (</w:t>
      </w:r>
      <w:r w:rsidRPr="001C482A">
        <w:rPr>
          <w:rFonts w:ascii="Funnel Sans" w:hAnsi="Funnel Sans"/>
          <w:sz w:val="22"/>
          <w:szCs w:val="22"/>
          <w:vertAlign w:val="superscript"/>
        </w:rPr>
        <w:t>160</w:t>
      </w:r>
      <w:r w:rsidRPr="001C482A">
        <w:rPr>
          <w:rFonts w:ascii="Funnel Sans" w:hAnsi="Funnel Sans"/>
          <w:sz w:val="22"/>
          <w:szCs w:val="22"/>
        </w:rPr>
        <w:t xml:space="preserve">Gd + n </w:t>
      </w:r>
      <w:r w:rsidRPr="001C482A">
        <w:rPr>
          <w:rFonts w:ascii="Times New Roman" w:hAnsi="Times New Roman" w:cs="Times New Roman"/>
          <w:sz w:val="22"/>
          <w:szCs w:val="22"/>
        </w:rPr>
        <w:t>→</w:t>
      </w:r>
      <w:r w:rsidRPr="001C482A">
        <w:rPr>
          <w:rFonts w:ascii="Funnel Sans" w:hAnsi="Funnel Sans"/>
          <w:sz w:val="22"/>
          <w:szCs w:val="22"/>
        </w:rPr>
        <w:t xml:space="preserve"> </w:t>
      </w:r>
      <w:r w:rsidRPr="001C482A">
        <w:rPr>
          <w:rFonts w:ascii="Funnel Sans" w:hAnsi="Funnel Sans"/>
          <w:sz w:val="22"/>
          <w:szCs w:val="22"/>
          <w:vertAlign w:val="superscript"/>
        </w:rPr>
        <w:t>161</w:t>
      </w:r>
      <w:r w:rsidRPr="001C482A">
        <w:rPr>
          <w:rFonts w:ascii="Funnel Sans" w:hAnsi="Funnel Sans"/>
          <w:sz w:val="22"/>
          <w:szCs w:val="22"/>
        </w:rPr>
        <w:t xml:space="preserve">Gd), and the resulting </w:t>
      </w:r>
      <w:r w:rsidRPr="001C482A">
        <w:rPr>
          <w:rFonts w:ascii="Funnel Sans" w:hAnsi="Funnel Sans"/>
          <w:sz w:val="22"/>
          <w:szCs w:val="22"/>
          <w:vertAlign w:val="superscript"/>
        </w:rPr>
        <w:t>161</w:t>
      </w:r>
      <w:r w:rsidRPr="001C482A">
        <w:rPr>
          <w:rFonts w:ascii="Funnel Sans" w:hAnsi="Funnel Sans"/>
          <w:sz w:val="22"/>
          <w:szCs w:val="22"/>
        </w:rPr>
        <w:t xml:space="preserve">Gd decays by electron capture with a 3.7-minute half-life to </w:t>
      </w:r>
      <w:r w:rsidRPr="001C482A">
        <w:rPr>
          <w:rFonts w:ascii="Funnel Sans" w:hAnsi="Funnel Sans"/>
          <w:sz w:val="22"/>
          <w:szCs w:val="22"/>
          <w:vertAlign w:val="superscript"/>
        </w:rPr>
        <w:t>161</w:t>
      </w:r>
      <w:r w:rsidRPr="001C482A">
        <w:rPr>
          <w:rFonts w:ascii="Funnel Sans" w:hAnsi="Funnel Sans"/>
          <w:sz w:val="22"/>
          <w:szCs w:val="22"/>
        </w:rPr>
        <w:t xml:space="preserve">Tb (T1/2 = 6.89 days). </w:t>
      </w:r>
    </w:p>
    <w:p w14:paraId="5EBF74CD" w14:textId="66EA49D3" w:rsidR="00C1000E" w:rsidRPr="001C482A" w:rsidRDefault="00C1000E" w:rsidP="001C482A">
      <w:pPr>
        <w:spacing w:after="200" w:line="276" w:lineRule="auto"/>
        <w:jc w:val="both"/>
        <w:rPr>
          <w:rFonts w:ascii="Funnel Sans" w:hAnsi="Funnel Sans"/>
          <w:sz w:val="22"/>
          <w:szCs w:val="22"/>
        </w:rPr>
      </w:pPr>
      <w:r w:rsidRPr="001C482A">
        <w:rPr>
          <w:rFonts w:ascii="Funnel Sans" w:hAnsi="Funnel Sans"/>
          <w:sz w:val="22"/>
          <w:szCs w:val="22"/>
        </w:rPr>
        <w:t>Supply has expanded substantially in the past 12 months, with multiple suppliers pursuing US DMF filings and draft USP/</w:t>
      </w:r>
      <w:proofErr w:type="spellStart"/>
      <w:r w:rsidRPr="001C482A">
        <w:rPr>
          <w:rFonts w:ascii="Funnel Sans" w:hAnsi="Funnel Sans"/>
          <w:sz w:val="22"/>
          <w:szCs w:val="22"/>
        </w:rPr>
        <w:t>Ph.Eur</w:t>
      </w:r>
      <w:proofErr w:type="spellEnd"/>
      <w:r w:rsidRPr="001C482A">
        <w:rPr>
          <w:rFonts w:ascii="Funnel Sans" w:hAnsi="Funnel Sans"/>
          <w:sz w:val="22"/>
          <w:szCs w:val="22"/>
        </w:rPr>
        <w:t>. monographs under development. Current combined capacity is sufficient for clinical trial supply across the field, and production is expected to scale congruently with clinical development timelines through 2028–2029.</w:t>
      </w:r>
    </w:p>
    <w:p w14:paraId="02C7EEC1" w14:textId="34E50865" w:rsidR="00DD1B0A"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 Current cGMP manufacturers</w:t>
      </w:r>
      <w:r w:rsidR="00C1000E" w:rsidRPr="00316E91">
        <w:rPr>
          <w:rFonts w:ascii="Funnel Sans" w:hAnsi="Funnel Sans"/>
          <w:sz w:val="22"/>
          <w:szCs w:val="22"/>
        </w:rPr>
        <w:t xml:space="preserve"> of </w:t>
      </w:r>
      <w:r w:rsidR="00155763">
        <w:rPr>
          <w:rFonts w:ascii="Funnel Sans" w:hAnsi="Funnel Sans"/>
          <w:sz w:val="22"/>
          <w:szCs w:val="22"/>
        </w:rPr>
        <w:t xml:space="preserve">therapeutic </w:t>
      </w:r>
      <w:r w:rsidR="00C1000E" w:rsidRPr="00316E91">
        <w:rPr>
          <w:rFonts w:ascii="Funnel Sans" w:hAnsi="Funnel Sans"/>
          <w:sz w:val="22"/>
          <w:szCs w:val="22"/>
        </w:rPr>
        <w:t>isotopes</w:t>
      </w:r>
      <w:r w:rsidR="00977A74" w:rsidRPr="00316E91">
        <w:rPr>
          <w:rFonts w:ascii="Funnel Sans" w:hAnsi="Funnel Sans"/>
          <w:sz w:val="22"/>
          <w:szCs w:val="22"/>
        </w:rPr>
        <w:t xml:space="preserve"> </w:t>
      </w:r>
      <w:r w:rsidR="00155763">
        <w:rPr>
          <w:rFonts w:ascii="Funnel Sans" w:hAnsi="Funnel Sans"/>
          <w:sz w:val="22"/>
          <w:szCs w:val="22"/>
        </w:rPr>
        <w:t xml:space="preserve">we intend </w:t>
      </w:r>
      <w:proofErr w:type="gramStart"/>
      <w:r w:rsidR="00155763">
        <w:rPr>
          <w:rFonts w:ascii="Funnel Sans" w:hAnsi="Funnel Sans"/>
          <w:sz w:val="22"/>
          <w:szCs w:val="22"/>
        </w:rPr>
        <w:t>on using</w:t>
      </w:r>
      <w:proofErr w:type="gramEnd"/>
      <w:r w:rsidR="00155763">
        <w:rPr>
          <w:rFonts w:ascii="Funnel Sans" w:hAnsi="Funnel Sans"/>
          <w:sz w:val="22"/>
          <w:szCs w:val="22"/>
        </w:rPr>
        <w:t xml:space="preserve"> </w:t>
      </w:r>
      <w:r w:rsidR="00977A74" w:rsidRPr="00316E91">
        <w:rPr>
          <w:rFonts w:ascii="Funnel Sans" w:hAnsi="Funnel Sans"/>
          <w:sz w:val="22"/>
          <w:szCs w:val="22"/>
        </w:rPr>
        <w:t xml:space="preserve">are shown below: </w:t>
      </w:r>
      <w:r w:rsidRPr="00316E91">
        <w:rPr>
          <w:rFonts w:ascii="Funnel Sans" w:hAnsi="Funnel Sans"/>
          <w:sz w:val="22"/>
          <w:szCs w:val="22"/>
        </w:rPr>
        <w:t xml:space="preserve"> </w:t>
      </w:r>
    </w:p>
    <w:tbl>
      <w:tblPr>
        <w:tblStyle w:val="GridTable4"/>
        <w:tblW w:w="0" w:type="auto"/>
        <w:tblLook w:val="04A0" w:firstRow="1" w:lastRow="0" w:firstColumn="1" w:lastColumn="0" w:noHBand="0" w:noVBand="1"/>
      </w:tblPr>
      <w:tblGrid>
        <w:gridCol w:w="1052"/>
        <w:gridCol w:w="2354"/>
        <w:gridCol w:w="1472"/>
        <w:gridCol w:w="664"/>
        <w:gridCol w:w="819"/>
        <w:gridCol w:w="2989"/>
      </w:tblGrid>
      <w:tr w:rsidR="00DD1B0A" w:rsidRPr="00316E91" w14:paraId="0D2AAA8A" w14:textId="77777777" w:rsidTr="0015576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tcPr>
          <w:p w14:paraId="7726B6AF" w14:textId="77777777" w:rsidR="00DD1B0A" w:rsidRPr="00316E91" w:rsidRDefault="00DD1B0A" w:rsidP="00316E91">
            <w:pPr>
              <w:spacing w:after="160" w:line="276" w:lineRule="auto"/>
              <w:jc w:val="both"/>
              <w:rPr>
                <w:rFonts w:ascii="Funnel Sans" w:eastAsia="Arial" w:hAnsi="Funnel Sans" w:cs="Arial"/>
                <w:sz w:val="22"/>
                <w:szCs w:val="22"/>
              </w:rPr>
            </w:pPr>
          </w:p>
        </w:tc>
        <w:tc>
          <w:tcPr>
            <w:tcW w:w="2354" w:type="dxa"/>
          </w:tcPr>
          <w:p w14:paraId="233B5EBF" w14:textId="77777777" w:rsidR="00DD1B0A" w:rsidRPr="00316E91" w:rsidRDefault="00DD1B0A" w:rsidP="00316E9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Supplier</w:t>
            </w:r>
            <w:r w:rsidRPr="00316E91">
              <w:rPr>
                <w:rFonts w:ascii="Funnel Sans" w:eastAsia="Arial" w:hAnsi="Funnel Sans"/>
                <w:sz w:val="22"/>
                <w:szCs w:val="22"/>
              </w:rPr>
              <w:t xml:space="preserve"> </w:t>
            </w:r>
          </w:p>
        </w:tc>
        <w:tc>
          <w:tcPr>
            <w:tcW w:w="1472" w:type="dxa"/>
          </w:tcPr>
          <w:p w14:paraId="37AE92F0" w14:textId="77777777" w:rsidR="00DD1B0A" w:rsidRPr="00316E91" w:rsidRDefault="00DD1B0A" w:rsidP="00316E9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 xml:space="preserve">Location </w:t>
            </w:r>
            <w:r w:rsidRPr="00316E91">
              <w:rPr>
                <w:rFonts w:ascii="Funnel Sans" w:eastAsia="Arial" w:hAnsi="Funnel Sans"/>
                <w:sz w:val="22"/>
                <w:szCs w:val="22"/>
              </w:rPr>
              <w:t xml:space="preserve"> </w:t>
            </w:r>
          </w:p>
        </w:tc>
        <w:tc>
          <w:tcPr>
            <w:tcW w:w="664" w:type="dxa"/>
          </w:tcPr>
          <w:p w14:paraId="3F47DAF4" w14:textId="77777777" w:rsidR="00DD1B0A" w:rsidRPr="00316E91" w:rsidRDefault="00DD1B0A" w:rsidP="00316E9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R&amp;D</w:t>
            </w:r>
            <w:r w:rsidRPr="00316E91">
              <w:rPr>
                <w:rFonts w:ascii="Funnel Sans" w:eastAsia="Arial" w:hAnsi="Funnel Sans"/>
                <w:sz w:val="22"/>
                <w:szCs w:val="22"/>
              </w:rPr>
              <w:t xml:space="preserve"> </w:t>
            </w:r>
          </w:p>
        </w:tc>
        <w:tc>
          <w:tcPr>
            <w:tcW w:w="819" w:type="dxa"/>
          </w:tcPr>
          <w:p w14:paraId="42A78D58" w14:textId="77777777" w:rsidR="00DD1B0A" w:rsidRPr="00316E91" w:rsidRDefault="00DD1B0A" w:rsidP="00316E91">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cGMP</w:t>
            </w:r>
            <w:r w:rsidRPr="00316E91">
              <w:rPr>
                <w:rFonts w:ascii="Funnel Sans" w:eastAsia="Arial" w:hAnsi="Funnel Sans"/>
                <w:sz w:val="22"/>
                <w:szCs w:val="22"/>
              </w:rPr>
              <w:t xml:space="preserve"> </w:t>
            </w:r>
          </w:p>
        </w:tc>
        <w:tc>
          <w:tcPr>
            <w:tcW w:w="2989" w:type="dxa"/>
          </w:tcPr>
          <w:p w14:paraId="30E6467B" w14:textId="77777777" w:rsidR="00DD1B0A" w:rsidRPr="00316E91" w:rsidRDefault="00DD1B0A" w:rsidP="00316E91">
            <w:pPr>
              <w:jc w:val="both"/>
              <w:cnfStyle w:val="100000000000" w:firstRow="1"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Notes</w:t>
            </w:r>
          </w:p>
        </w:tc>
      </w:tr>
      <w:tr w:rsidR="00DD1B0A" w:rsidRPr="00316E91" w14:paraId="16971371" w14:textId="77777777" w:rsidTr="001557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vMerge w:val="restart"/>
          </w:tcPr>
          <w:p w14:paraId="38DD190B" w14:textId="77777777" w:rsidR="00DD1B0A" w:rsidRPr="00316E91" w:rsidRDefault="00DD1B0A" w:rsidP="00316E91">
            <w:pPr>
              <w:spacing w:after="160" w:line="276" w:lineRule="auto"/>
              <w:jc w:val="both"/>
              <w:rPr>
                <w:rFonts w:ascii="Funnel Sans" w:hAnsi="Funnel Sans" w:cs="Arial"/>
                <w:sz w:val="22"/>
                <w:szCs w:val="22"/>
              </w:rPr>
            </w:pPr>
            <w:r w:rsidRPr="00316E91">
              <w:rPr>
                <w:rFonts w:ascii="Funnel Sans" w:eastAsia="Aptos" w:hAnsi="Funnel Sans" w:cs="Arial"/>
                <w:color w:val="000000" w:themeColor="text1"/>
                <w:sz w:val="22"/>
                <w:szCs w:val="22"/>
                <w:vertAlign w:val="superscript"/>
              </w:rPr>
              <w:t>225</w:t>
            </w:r>
            <w:r w:rsidRPr="00316E91">
              <w:rPr>
                <w:rFonts w:ascii="Funnel Sans" w:eastAsia="Aptos" w:hAnsi="Funnel Sans" w:cs="Arial"/>
                <w:color w:val="000000" w:themeColor="text1"/>
                <w:sz w:val="22"/>
                <w:szCs w:val="22"/>
              </w:rPr>
              <w:t>Ac</w:t>
            </w:r>
            <w:r w:rsidRPr="00316E91">
              <w:rPr>
                <w:rFonts w:ascii="Funnel Sans" w:eastAsia="Arial" w:hAnsi="Funnel Sans"/>
                <w:color w:val="000000" w:themeColor="text1"/>
                <w:sz w:val="22"/>
                <w:szCs w:val="22"/>
              </w:rPr>
              <w:t xml:space="preserve"> </w:t>
            </w:r>
          </w:p>
        </w:tc>
        <w:tc>
          <w:tcPr>
            <w:tcW w:w="2354" w:type="dxa"/>
          </w:tcPr>
          <w:p w14:paraId="15169B95"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Eckert &amp; Ziegler</w:t>
            </w:r>
            <w:r w:rsidRPr="00316E91">
              <w:rPr>
                <w:rFonts w:ascii="Funnel Sans" w:eastAsia="Arial" w:hAnsi="Funnel Sans"/>
                <w:color w:val="000000" w:themeColor="text1"/>
                <w:sz w:val="22"/>
                <w:szCs w:val="22"/>
              </w:rPr>
              <w:t xml:space="preserve">  </w:t>
            </w:r>
          </w:p>
        </w:tc>
        <w:tc>
          <w:tcPr>
            <w:tcW w:w="1472" w:type="dxa"/>
          </w:tcPr>
          <w:p w14:paraId="1F5B5BC7"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Germany</w:t>
            </w:r>
            <w:r w:rsidRPr="00316E91">
              <w:rPr>
                <w:rFonts w:ascii="Funnel Sans" w:eastAsia="Arial" w:hAnsi="Funnel Sans"/>
                <w:color w:val="000000" w:themeColor="text1"/>
                <w:sz w:val="22"/>
                <w:szCs w:val="22"/>
              </w:rPr>
              <w:t xml:space="preserve"> </w:t>
            </w:r>
          </w:p>
        </w:tc>
        <w:tc>
          <w:tcPr>
            <w:tcW w:w="664" w:type="dxa"/>
          </w:tcPr>
          <w:p w14:paraId="0EDCA10F"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819" w:type="dxa"/>
          </w:tcPr>
          <w:p w14:paraId="411B8607"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2989" w:type="dxa"/>
            <w:vMerge w:val="restart"/>
          </w:tcPr>
          <w:p w14:paraId="57F1A29E"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 xml:space="preserve">R&amp;D availability is sufficient but GMP grade for commercial use still ramping up. Will increase in maturity with our clinical development timeline. </w:t>
            </w:r>
          </w:p>
          <w:p w14:paraId="6BF86CB3"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 xml:space="preserve"> </w:t>
            </w:r>
          </w:p>
          <w:p w14:paraId="346EFF0C"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 xml:space="preserve">Strategic relationship with </w:t>
            </w:r>
            <w:proofErr w:type="spellStart"/>
            <w:r w:rsidRPr="00316E91">
              <w:rPr>
                <w:rFonts w:ascii="Funnel Sans" w:eastAsia="Aptos" w:hAnsi="Funnel Sans" w:cs="Arial"/>
                <w:color w:val="000000" w:themeColor="text1"/>
                <w:sz w:val="22"/>
                <w:szCs w:val="22"/>
              </w:rPr>
              <w:t>Nusano</w:t>
            </w:r>
            <w:proofErr w:type="spellEnd"/>
            <w:r w:rsidRPr="00316E91">
              <w:rPr>
                <w:rFonts w:ascii="Funnel Sans" w:eastAsia="Aptos" w:hAnsi="Funnel Sans" w:cs="Arial"/>
                <w:color w:val="000000" w:themeColor="text1"/>
                <w:sz w:val="22"/>
                <w:szCs w:val="22"/>
              </w:rPr>
              <w:t xml:space="preserve"> in Utah minimizes logistics in acquiring isotope.</w:t>
            </w:r>
          </w:p>
          <w:p w14:paraId="213B381E"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lastRenderedPageBreak/>
              <w:t xml:space="preserve"> </w:t>
            </w:r>
          </w:p>
          <w:p w14:paraId="77E498AF"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 xml:space="preserve">Seeking suppliers with production methods that remove or eliminate </w:t>
            </w:r>
            <w:r w:rsidRPr="00316E91">
              <w:rPr>
                <w:rFonts w:ascii="Funnel Sans" w:hAnsi="Funnel Sans"/>
                <w:sz w:val="22"/>
                <w:szCs w:val="22"/>
              </w:rPr>
              <w:br/>
            </w:r>
            <w:r w:rsidRPr="00316E91">
              <w:rPr>
                <w:rFonts w:ascii="Funnel Sans" w:eastAsia="Aptos" w:hAnsi="Funnel Sans" w:cs="Arial"/>
                <w:color w:val="000000" w:themeColor="text1"/>
                <w:sz w:val="22"/>
                <w:szCs w:val="22"/>
                <w:vertAlign w:val="superscript"/>
              </w:rPr>
              <w:t>227</w:t>
            </w:r>
            <w:r w:rsidRPr="00316E91">
              <w:rPr>
                <w:rFonts w:ascii="Funnel Sans" w:eastAsia="Aptos" w:hAnsi="Funnel Sans" w:cs="Arial"/>
                <w:color w:val="000000" w:themeColor="text1"/>
                <w:sz w:val="22"/>
                <w:szCs w:val="22"/>
              </w:rPr>
              <w:t>Ac impurities</w:t>
            </w:r>
          </w:p>
          <w:p w14:paraId="17C25DD9"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 xml:space="preserve"> </w:t>
            </w:r>
          </w:p>
        </w:tc>
      </w:tr>
      <w:tr w:rsidR="00DD1B0A" w:rsidRPr="00316E91" w14:paraId="110C2148" w14:textId="77777777" w:rsidTr="00155763">
        <w:trPr>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3CD1A613" w14:textId="77777777" w:rsidR="00DD1B0A" w:rsidRPr="00316E91" w:rsidRDefault="00DD1B0A" w:rsidP="00316E91">
            <w:pPr>
              <w:jc w:val="both"/>
              <w:rPr>
                <w:rFonts w:ascii="Funnel Sans" w:hAnsi="Funnel Sans" w:cs="Arial"/>
                <w:sz w:val="22"/>
                <w:szCs w:val="22"/>
              </w:rPr>
            </w:pPr>
          </w:p>
        </w:tc>
        <w:tc>
          <w:tcPr>
            <w:tcW w:w="2354" w:type="dxa"/>
          </w:tcPr>
          <w:p w14:paraId="51DD0071"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roofErr w:type="spellStart"/>
            <w:r w:rsidRPr="00316E91">
              <w:rPr>
                <w:rFonts w:ascii="Funnel Sans" w:eastAsia="Aptos" w:hAnsi="Funnel Sans" w:cs="Arial"/>
                <w:sz w:val="22"/>
                <w:szCs w:val="22"/>
              </w:rPr>
              <w:t>Actineer</w:t>
            </w:r>
            <w:proofErr w:type="spellEnd"/>
            <w:r w:rsidRPr="00316E91">
              <w:rPr>
                <w:rFonts w:ascii="Funnel Sans" w:eastAsia="Aptos" w:hAnsi="Funnel Sans" w:cs="Arial"/>
                <w:sz w:val="22"/>
                <w:szCs w:val="22"/>
              </w:rPr>
              <w:t xml:space="preserve"> /</w:t>
            </w:r>
            <w:r w:rsidRPr="00316E91">
              <w:rPr>
                <w:rFonts w:ascii="Funnel Sans" w:eastAsia="Arial" w:hAnsi="Funnel Sans"/>
                <w:sz w:val="22"/>
                <w:szCs w:val="22"/>
              </w:rPr>
              <w:t xml:space="preserve"> </w:t>
            </w:r>
            <w:r w:rsidRPr="00316E91">
              <w:rPr>
                <w:rFonts w:ascii="Funnel Sans" w:eastAsia="Aptos" w:hAnsi="Funnel Sans" w:cs="Arial"/>
                <w:sz w:val="22"/>
                <w:szCs w:val="22"/>
              </w:rPr>
              <w:t>ITM Isotope Technologies</w:t>
            </w:r>
            <w:r w:rsidRPr="00316E91">
              <w:rPr>
                <w:rFonts w:ascii="Funnel Sans" w:eastAsia="Arial" w:hAnsi="Funnel Sans"/>
                <w:sz w:val="22"/>
                <w:szCs w:val="22"/>
              </w:rPr>
              <w:t xml:space="preserve"> </w:t>
            </w:r>
          </w:p>
        </w:tc>
        <w:tc>
          <w:tcPr>
            <w:tcW w:w="1472" w:type="dxa"/>
          </w:tcPr>
          <w:p w14:paraId="2666CB37"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Germany / Canada</w:t>
            </w:r>
            <w:r w:rsidRPr="00316E91">
              <w:rPr>
                <w:rFonts w:ascii="Funnel Sans" w:eastAsia="Arial" w:hAnsi="Funnel Sans"/>
                <w:sz w:val="22"/>
                <w:szCs w:val="22"/>
              </w:rPr>
              <w:t xml:space="preserve"> </w:t>
            </w:r>
          </w:p>
        </w:tc>
        <w:tc>
          <w:tcPr>
            <w:tcW w:w="664" w:type="dxa"/>
          </w:tcPr>
          <w:p w14:paraId="508EC07D"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819" w:type="dxa"/>
          </w:tcPr>
          <w:p w14:paraId="0F7B6E81"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2989" w:type="dxa"/>
            <w:vMerge/>
          </w:tcPr>
          <w:p w14:paraId="0D4AFE58" w14:textId="77777777" w:rsidR="00DD1B0A" w:rsidRPr="00316E91" w:rsidRDefault="00DD1B0A" w:rsidP="00316E91">
            <w:pPr>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
        </w:tc>
      </w:tr>
      <w:tr w:rsidR="00DD1B0A" w:rsidRPr="00316E91" w14:paraId="060D2125" w14:textId="77777777" w:rsidTr="001557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19657A2F" w14:textId="77777777" w:rsidR="00DD1B0A" w:rsidRPr="00316E91" w:rsidRDefault="00DD1B0A" w:rsidP="00316E91">
            <w:pPr>
              <w:jc w:val="both"/>
              <w:rPr>
                <w:rFonts w:ascii="Funnel Sans" w:hAnsi="Funnel Sans" w:cs="Arial"/>
                <w:sz w:val="22"/>
                <w:szCs w:val="22"/>
              </w:rPr>
            </w:pPr>
          </w:p>
        </w:tc>
        <w:tc>
          <w:tcPr>
            <w:tcW w:w="2354" w:type="dxa"/>
          </w:tcPr>
          <w:p w14:paraId="650D2B4C"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TerraPower Isotopes</w:t>
            </w:r>
            <w:r w:rsidRPr="00316E91">
              <w:rPr>
                <w:rFonts w:ascii="Funnel Sans" w:eastAsia="Arial" w:hAnsi="Funnel Sans"/>
                <w:color w:val="000000" w:themeColor="text1"/>
                <w:sz w:val="22"/>
                <w:szCs w:val="22"/>
              </w:rPr>
              <w:t xml:space="preserve"> </w:t>
            </w:r>
          </w:p>
        </w:tc>
        <w:tc>
          <w:tcPr>
            <w:tcW w:w="1472" w:type="dxa"/>
          </w:tcPr>
          <w:p w14:paraId="4542F4BA"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USA</w:t>
            </w:r>
            <w:r w:rsidRPr="00316E91">
              <w:rPr>
                <w:rFonts w:ascii="Funnel Sans" w:eastAsia="Arial" w:hAnsi="Funnel Sans"/>
                <w:color w:val="000000" w:themeColor="text1"/>
                <w:sz w:val="22"/>
                <w:szCs w:val="22"/>
              </w:rPr>
              <w:t xml:space="preserve"> </w:t>
            </w:r>
          </w:p>
        </w:tc>
        <w:tc>
          <w:tcPr>
            <w:tcW w:w="664" w:type="dxa"/>
          </w:tcPr>
          <w:p w14:paraId="34B34F8C"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819" w:type="dxa"/>
          </w:tcPr>
          <w:p w14:paraId="5DFF8EBD"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N</w:t>
            </w:r>
            <w:r w:rsidRPr="00316E91">
              <w:rPr>
                <w:rFonts w:ascii="Funnel Sans" w:eastAsia="Arial" w:hAnsi="Funnel Sans"/>
                <w:color w:val="000000" w:themeColor="text1"/>
                <w:sz w:val="22"/>
                <w:szCs w:val="22"/>
              </w:rPr>
              <w:t xml:space="preserve"> </w:t>
            </w:r>
          </w:p>
        </w:tc>
        <w:tc>
          <w:tcPr>
            <w:tcW w:w="2989" w:type="dxa"/>
            <w:vMerge/>
          </w:tcPr>
          <w:p w14:paraId="3013E38B"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p>
        </w:tc>
      </w:tr>
      <w:tr w:rsidR="00DD1B0A" w:rsidRPr="00316E91" w14:paraId="6D1BF3D7" w14:textId="77777777" w:rsidTr="00155763">
        <w:trPr>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40BD2D28" w14:textId="77777777" w:rsidR="00DD1B0A" w:rsidRPr="00316E91" w:rsidRDefault="00DD1B0A" w:rsidP="00316E91">
            <w:pPr>
              <w:jc w:val="both"/>
              <w:rPr>
                <w:rFonts w:ascii="Funnel Sans" w:hAnsi="Funnel Sans" w:cs="Arial"/>
                <w:sz w:val="22"/>
                <w:szCs w:val="22"/>
              </w:rPr>
            </w:pPr>
          </w:p>
        </w:tc>
        <w:tc>
          <w:tcPr>
            <w:tcW w:w="2354" w:type="dxa"/>
          </w:tcPr>
          <w:p w14:paraId="347A3185"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roofErr w:type="spellStart"/>
            <w:r w:rsidRPr="00316E91">
              <w:rPr>
                <w:rFonts w:ascii="Funnel Sans" w:eastAsia="Aptos" w:hAnsi="Funnel Sans" w:cs="Arial"/>
                <w:sz w:val="22"/>
                <w:szCs w:val="22"/>
              </w:rPr>
              <w:t>PanTera</w:t>
            </w:r>
            <w:proofErr w:type="spellEnd"/>
            <w:r w:rsidRPr="00316E91">
              <w:rPr>
                <w:rFonts w:ascii="Funnel Sans" w:eastAsia="Aptos" w:hAnsi="Funnel Sans" w:cs="Arial"/>
                <w:sz w:val="22"/>
                <w:szCs w:val="22"/>
              </w:rPr>
              <w:t xml:space="preserve"> (EU)</w:t>
            </w:r>
            <w:r w:rsidRPr="00316E91">
              <w:rPr>
                <w:rFonts w:ascii="Funnel Sans" w:eastAsia="Arial" w:hAnsi="Funnel Sans"/>
                <w:sz w:val="22"/>
                <w:szCs w:val="22"/>
              </w:rPr>
              <w:t xml:space="preserve">  </w:t>
            </w:r>
          </w:p>
        </w:tc>
        <w:tc>
          <w:tcPr>
            <w:tcW w:w="1472" w:type="dxa"/>
          </w:tcPr>
          <w:p w14:paraId="4ECA9AED"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EU</w:t>
            </w:r>
            <w:r w:rsidRPr="00316E91">
              <w:rPr>
                <w:rFonts w:ascii="Funnel Sans" w:eastAsia="Arial" w:hAnsi="Funnel Sans"/>
                <w:sz w:val="22"/>
                <w:szCs w:val="22"/>
              </w:rPr>
              <w:t xml:space="preserve"> </w:t>
            </w:r>
          </w:p>
        </w:tc>
        <w:tc>
          <w:tcPr>
            <w:tcW w:w="664" w:type="dxa"/>
          </w:tcPr>
          <w:p w14:paraId="4DA6473F"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819" w:type="dxa"/>
          </w:tcPr>
          <w:p w14:paraId="7F080ADC"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N</w:t>
            </w:r>
            <w:r w:rsidRPr="00316E91">
              <w:rPr>
                <w:rFonts w:ascii="Funnel Sans" w:eastAsia="Arial" w:hAnsi="Funnel Sans"/>
                <w:sz w:val="22"/>
                <w:szCs w:val="22"/>
              </w:rPr>
              <w:t xml:space="preserve"> </w:t>
            </w:r>
          </w:p>
        </w:tc>
        <w:tc>
          <w:tcPr>
            <w:tcW w:w="2989" w:type="dxa"/>
            <w:vMerge/>
          </w:tcPr>
          <w:p w14:paraId="729584FE" w14:textId="77777777" w:rsidR="00DD1B0A" w:rsidRPr="00316E91" w:rsidRDefault="00DD1B0A" w:rsidP="00316E91">
            <w:pPr>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
        </w:tc>
      </w:tr>
      <w:tr w:rsidR="00DD1B0A" w:rsidRPr="00316E91" w14:paraId="2A6FAB1D" w14:textId="77777777" w:rsidTr="001557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64666AC7" w14:textId="77777777" w:rsidR="00DD1B0A" w:rsidRPr="00316E91" w:rsidRDefault="00DD1B0A" w:rsidP="00316E91">
            <w:pPr>
              <w:jc w:val="both"/>
              <w:rPr>
                <w:rFonts w:ascii="Funnel Sans" w:hAnsi="Funnel Sans" w:cs="Arial"/>
                <w:sz w:val="22"/>
                <w:szCs w:val="22"/>
              </w:rPr>
            </w:pPr>
          </w:p>
        </w:tc>
        <w:tc>
          <w:tcPr>
            <w:tcW w:w="2354" w:type="dxa"/>
          </w:tcPr>
          <w:p w14:paraId="481B2EE2"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eastAsia="Arial" w:hAnsi="Funnel Sans" w:cs="Arial"/>
                <w:color w:val="000000" w:themeColor="text1"/>
                <w:sz w:val="22"/>
                <w:szCs w:val="22"/>
              </w:rPr>
            </w:pPr>
            <w:proofErr w:type="spellStart"/>
            <w:r w:rsidRPr="00316E91">
              <w:rPr>
                <w:rFonts w:ascii="Funnel Sans" w:eastAsia="Aptos" w:hAnsi="Funnel Sans" w:cs="Arial"/>
                <w:color w:val="000000" w:themeColor="text1"/>
                <w:sz w:val="22"/>
                <w:szCs w:val="22"/>
              </w:rPr>
              <w:t>Nusano</w:t>
            </w:r>
            <w:proofErr w:type="spellEnd"/>
            <w:r w:rsidRPr="00316E91">
              <w:rPr>
                <w:rFonts w:ascii="Funnel Sans" w:eastAsia="Arial" w:hAnsi="Funnel Sans"/>
                <w:color w:val="000000" w:themeColor="text1"/>
                <w:sz w:val="22"/>
                <w:szCs w:val="22"/>
              </w:rPr>
              <w:t xml:space="preserve"> </w:t>
            </w:r>
          </w:p>
          <w:p w14:paraId="55E25EBB"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rial" w:hAnsi="Funnel Sans"/>
                <w:color w:val="000000" w:themeColor="text1"/>
                <w:sz w:val="22"/>
                <w:szCs w:val="22"/>
              </w:rPr>
              <w:lastRenderedPageBreak/>
              <w:t>(online in 2027)</w:t>
            </w:r>
          </w:p>
        </w:tc>
        <w:tc>
          <w:tcPr>
            <w:tcW w:w="1472" w:type="dxa"/>
          </w:tcPr>
          <w:p w14:paraId="68590279"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lastRenderedPageBreak/>
              <w:t>USA (Salt Lake)</w:t>
            </w:r>
            <w:r w:rsidRPr="00316E91">
              <w:rPr>
                <w:rFonts w:ascii="Funnel Sans" w:eastAsia="Arial" w:hAnsi="Funnel Sans"/>
                <w:color w:val="000000" w:themeColor="text1"/>
                <w:sz w:val="22"/>
                <w:szCs w:val="22"/>
              </w:rPr>
              <w:t xml:space="preserve"> </w:t>
            </w:r>
          </w:p>
        </w:tc>
        <w:tc>
          <w:tcPr>
            <w:tcW w:w="664" w:type="dxa"/>
          </w:tcPr>
          <w:p w14:paraId="39C0D44B"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819" w:type="dxa"/>
          </w:tcPr>
          <w:p w14:paraId="359D1026"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p>
        </w:tc>
        <w:tc>
          <w:tcPr>
            <w:tcW w:w="2989" w:type="dxa"/>
            <w:vMerge/>
          </w:tcPr>
          <w:p w14:paraId="65813F8B"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p>
        </w:tc>
      </w:tr>
      <w:tr w:rsidR="00DD1B0A" w:rsidRPr="00316E91" w14:paraId="1106C0D4" w14:textId="77777777" w:rsidTr="00155763">
        <w:trPr>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1904356E" w14:textId="77777777" w:rsidR="00DD1B0A" w:rsidRPr="00316E91" w:rsidRDefault="00DD1B0A" w:rsidP="00316E91">
            <w:pPr>
              <w:jc w:val="both"/>
              <w:rPr>
                <w:rFonts w:ascii="Funnel Sans" w:hAnsi="Funnel Sans" w:cs="Arial"/>
                <w:sz w:val="22"/>
                <w:szCs w:val="22"/>
              </w:rPr>
            </w:pPr>
          </w:p>
        </w:tc>
        <w:tc>
          <w:tcPr>
            <w:tcW w:w="2354" w:type="dxa"/>
          </w:tcPr>
          <w:p w14:paraId="518271C9"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NorthStar Medical Radioisotopes</w:t>
            </w:r>
            <w:r w:rsidRPr="00316E91">
              <w:rPr>
                <w:rFonts w:ascii="Funnel Sans" w:eastAsia="Arial" w:hAnsi="Funnel Sans"/>
                <w:sz w:val="22"/>
                <w:szCs w:val="22"/>
              </w:rPr>
              <w:t xml:space="preserve"> </w:t>
            </w:r>
          </w:p>
        </w:tc>
        <w:tc>
          <w:tcPr>
            <w:tcW w:w="1472" w:type="dxa"/>
          </w:tcPr>
          <w:p w14:paraId="14540809"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USA</w:t>
            </w:r>
            <w:r w:rsidRPr="00316E91">
              <w:rPr>
                <w:rFonts w:ascii="Funnel Sans" w:eastAsia="Arial" w:hAnsi="Funnel Sans"/>
                <w:sz w:val="22"/>
                <w:szCs w:val="22"/>
              </w:rPr>
              <w:t xml:space="preserve"> </w:t>
            </w:r>
          </w:p>
        </w:tc>
        <w:tc>
          <w:tcPr>
            <w:tcW w:w="664" w:type="dxa"/>
          </w:tcPr>
          <w:p w14:paraId="76C4F6D7"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819" w:type="dxa"/>
          </w:tcPr>
          <w:p w14:paraId="7D3E916F"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N</w:t>
            </w:r>
            <w:r w:rsidRPr="00316E91">
              <w:rPr>
                <w:rFonts w:ascii="Funnel Sans" w:eastAsia="Arial" w:hAnsi="Funnel Sans"/>
                <w:sz w:val="22"/>
                <w:szCs w:val="22"/>
              </w:rPr>
              <w:t xml:space="preserve"> </w:t>
            </w:r>
          </w:p>
        </w:tc>
        <w:tc>
          <w:tcPr>
            <w:tcW w:w="2989" w:type="dxa"/>
            <w:vMerge/>
          </w:tcPr>
          <w:p w14:paraId="645E4EED" w14:textId="77777777" w:rsidR="00DD1B0A" w:rsidRPr="00316E91" w:rsidRDefault="00DD1B0A" w:rsidP="00316E91">
            <w:pPr>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
        </w:tc>
      </w:tr>
      <w:tr w:rsidR="00DD1B0A" w:rsidRPr="00316E91" w14:paraId="278C2EF2" w14:textId="77777777" w:rsidTr="001557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vMerge w:val="restart"/>
          </w:tcPr>
          <w:p w14:paraId="4B20399D" w14:textId="77777777" w:rsidR="00DD1B0A" w:rsidRPr="00316E91" w:rsidRDefault="00DD1B0A" w:rsidP="00316E91">
            <w:pPr>
              <w:spacing w:after="160" w:line="276" w:lineRule="auto"/>
              <w:jc w:val="both"/>
              <w:rPr>
                <w:rFonts w:ascii="Funnel Sans" w:hAnsi="Funnel Sans" w:cs="Arial"/>
                <w:sz w:val="22"/>
                <w:szCs w:val="22"/>
              </w:rPr>
            </w:pPr>
            <w:r w:rsidRPr="00316E91">
              <w:rPr>
                <w:rFonts w:ascii="Funnel Sans" w:eastAsia="Aptos" w:hAnsi="Funnel Sans" w:cs="Arial"/>
                <w:color w:val="000000" w:themeColor="text1"/>
                <w:sz w:val="22"/>
                <w:szCs w:val="22"/>
                <w:vertAlign w:val="superscript"/>
              </w:rPr>
              <w:t>161</w:t>
            </w:r>
            <w:r w:rsidRPr="00316E91">
              <w:rPr>
                <w:rFonts w:ascii="Funnel Sans" w:eastAsia="Aptos" w:hAnsi="Funnel Sans" w:cs="Arial"/>
                <w:color w:val="000000" w:themeColor="text1"/>
                <w:sz w:val="22"/>
                <w:szCs w:val="22"/>
              </w:rPr>
              <w:t>Tb</w:t>
            </w:r>
            <w:r w:rsidRPr="00316E91">
              <w:rPr>
                <w:rFonts w:ascii="Funnel Sans" w:eastAsia="Arial" w:hAnsi="Funnel Sans"/>
                <w:color w:val="000000" w:themeColor="text1"/>
                <w:sz w:val="22"/>
                <w:szCs w:val="22"/>
              </w:rPr>
              <w:t xml:space="preserve"> </w:t>
            </w:r>
          </w:p>
        </w:tc>
        <w:tc>
          <w:tcPr>
            <w:tcW w:w="2354" w:type="dxa"/>
          </w:tcPr>
          <w:p w14:paraId="2E4F2982"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proofErr w:type="spellStart"/>
            <w:r w:rsidRPr="00316E91">
              <w:rPr>
                <w:rFonts w:ascii="Funnel Sans" w:eastAsia="Aptos" w:hAnsi="Funnel Sans" w:cs="Arial"/>
                <w:color w:val="000000" w:themeColor="text1"/>
                <w:sz w:val="22"/>
                <w:szCs w:val="22"/>
              </w:rPr>
              <w:t>TerThera</w:t>
            </w:r>
            <w:proofErr w:type="spellEnd"/>
            <w:r w:rsidRPr="00316E91">
              <w:rPr>
                <w:rFonts w:ascii="Funnel Sans" w:eastAsia="Aptos" w:hAnsi="Funnel Sans" w:cs="Arial"/>
                <w:color w:val="000000" w:themeColor="text1"/>
                <w:sz w:val="22"/>
                <w:szCs w:val="22"/>
              </w:rPr>
              <w:t xml:space="preserve"> B.V. </w:t>
            </w:r>
            <w:r w:rsidRPr="00316E91">
              <w:rPr>
                <w:rFonts w:ascii="Funnel Sans" w:eastAsia="Arial" w:hAnsi="Funnel Sans"/>
                <w:color w:val="000000" w:themeColor="text1"/>
                <w:sz w:val="22"/>
                <w:szCs w:val="22"/>
              </w:rPr>
              <w:t xml:space="preserve"> </w:t>
            </w:r>
          </w:p>
        </w:tc>
        <w:tc>
          <w:tcPr>
            <w:tcW w:w="1472" w:type="dxa"/>
          </w:tcPr>
          <w:p w14:paraId="2DF8222A"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Netherlands</w:t>
            </w:r>
            <w:r w:rsidRPr="00316E91">
              <w:rPr>
                <w:rFonts w:ascii="Funnel Sans" w:eastAsia="Arial" w:hAnsi="Funnel Sans"/>
                <w:color w:val="000000" w:themeColor="text1"/>
                <w:sz w:val="22"/>
                <w:szCs w:val="22"/>
              </w:rPr>
              <w:t xml:space="preserve"> </w:t>
            </w:r>
          </w:p>
        </w:tc>
        <w:tc>
          <w:tcPr>
            <w:tcW w:w="664" w:type="dxa"/>
          </w:tcPr>
          <w:p w14:paraId="2343791B"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819" w:type="dxa"/>
          </w:tcPr>
          <w:p w14:paraId="6E89BE19" w14:textId="77777777" w:rsidR="00DD1B0A" w:rsidRPr="00316E91" w:rsidRDefault="00DD1B0A"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2989" w:type="dxa"/>
            <w:vMerge w:val="restart"/>
          </w:tcPr>
          <w:p w14:paraId="354EB540" w14:textId="77777777" w:rsidR="00DD1B0A" w:rsidRPr="00316E91" w:rsidRDefault="00DD1B0A"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Emerging isotope with limited availability.  Isotope productions especially GMP grade are expected to grow over the next 2 years and should expand congruently with our clinical development.</w:t>
            </w:r>
          </w:p>
        </w:tc>
      </w:tr>
      <w:tr w:rsidR="00DD1B0A" w:rsidRPr="00316E91" w14:paraId="34196D6A" w14:textId="77777777" w:rsidTr="00155763">
        <w:trPr>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47F1B375" w14:textId="77777777" w:rsidR="00DD1B0A" w:rsidRPr="00316E91" w:rsidRDefault="00DD1B0A" w:rsidP="00316E91">
            <w:pPr>
              <w:jc w:val="both"/>
              <w:rPr>
                <w:rFonts w:ascii="Funnel Sans" w:hAnsi="Funnel Sans" w:cs="Arial"/>
                <w:sz w:val="22"/>
                <w:szCs w:val="22"/>
              </w:rPr>
            </w:pPr>
          </w:p>
        </w:tc>
        <w:tc>
          <w:tcPr>
            <w:tcW w:w="2354" w:type="dxa"/>
          </w:tcPr>
          <w:p w14:paraId="1E7E7C87"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ITM Isotope Technologies Munich</w:t>
            </w:r>
            <w:r w:rsidRPr="00316E91">
              <w:rPr>
                <w:rFonts w:ascii="Funnel Sans" w:eastAsia="Arial" w:hAnsi="Funnel Sans"/>
                <w:sz w:val="22"/>
                <w:szCs w:val="22"/>
              </w:rPr>
              <w:t xml:space="preserve"> </w:t>
            </w:r>
          </w:p>
        </w:tc>
        <w:tc>
          <w:tcPr>
            <w:tcW w:w="1472" w:type="dxa"/>
          </w:tcPr>
          <w:p w14:paraId="757C0588"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Germany</w:t>
            </w:r>
            <w:r w:rsidRPr="00316E91">
              <w:rPr>
                <w:rFonts w:ascii="Funnel Sans" w:eastAsia="Arial" w:hAnsi="Funnel Sans"/>
                <w:sz w:val="22"/>
                <w:szCs w:val="22"/>
              </w:rPr>
              <w:t xml:space="preserve"> </w:t>
            </w:r>
          </w:p>
        </w:tc>
        <w:tc>
          <w:tcPr>
            <w:tcW w:w="664" w:type="dxa"/>
          </w:tcPr>
          <w:p w14:paraId="31ED1EFB"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819" w:type="dxa"/>
          </w:tcPr>
          <w:p w14:paraId="70CA3E4D"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sz w:val="22"/>
                <w:szCs w:val="22"/>
              </w:rPr>
              <w:t>Y</w:t>
            </w:r>
            <w:r w:rsidRPr="00316E91">
              <w:rPr>
                <w:rFonts w:ascii="Funnel Sans" w:eastAsia="Arial" w:hAnsi="Funnel Sans"/>
                <w:sz w:val="22"/>
                <w:szCs w:val="22"/>
              </w:rPr>
              <w:t xml:space="preserve"> </w:t>
            </w:r>
          </w:p>
        </w:tc>
        <w:tc>
          <w:tcPr>
            <w:tcW w:w="2989" w:type="dxa"/>
            <w:vMerge/>
          </w:tcPr>
          <w:p w14:paraId="19C4F5E1" w14:textId="77777777" w:rsidR="00DD1B0A" w:rsidRPr="00316E91" w:rsidRDefault="00DD1B0A" w:rsidP="00316E91">
            <w:pPr>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
        </w:tc>
      </w:tr>
      <w:tr w:rsidR="00C51199" w:rsidRPr="00316E91" w14:paraId="5BEBED62" w14:textId="77777777" w:rsidTr="0015576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49616FAB" w14:textId="77777777" w:rsidR="00C51199" w:rsidRPr="00316E91" w:rsidRDefault="00C51199" w:rsidP="00316E91">
            <w:pPr>
              <w:jc w:val="both"/>
              <w:rPr>
                <w:rFonts w:ascii="Funnel Sans" w:hAnsi="Funnel Sans"/>
                <w:sz w:val="22"/>
                <w:szCs w:val="22"/>
              </w:rPr>
            </w:pPr>
          </w:p>
        </w:tc>
        <w:tc>
          <w:tcPr>
            <w:tcW w:w="2354" w:type="dxa"/>
          </w:tcPr>
          <w:p w14:paraId="3A05E05E" w14:textId="66FC4FB3" w:rsidR="00C51199" w:rsidRPr="00316E91" w:rsidRDefault="00C51199"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eastAsia="Aptos" w:hAnsi="Funnel Sans"/>
                <w:color w:val="000000" w:themeColor="text1"/>
                <w:sz w:val="22"/>
                <w:szCs w:val="22"/>
              </w:rPr>
            </w:pPr>
            <w:proofErr w:type="spellStart"/>
            <w:r w:rsidRPr="00316E91">
              <w:rPr>
                <w:rFonts w:ascii="Funnel Sans" w:eastAsia="Aptos" w:hAnsi="Funnel Sans"/>
                <w:color w:val="000000" w:themeColor="text1"/>
                <w:sz w:val="22"/>
                <w:szCs w:val="22"/>
              </w:rPr>
              <w:t>Nusano</w:t>
            </w:r>
            <w:proofErr w:type="spellEnd"/>
            <w:r w:rsidR="00155763">
              <w:rPr>
                <w:rFonts w:ascii="Funnel Sans" w:eastAsia="Aptos" w:hAnsi="Funnel Sans"/>
                <w:color w:val="000000" w:themeColor="text1"/>
                <w:sz w:val="22"/>
                <w:szCs w:val="22"/>
              </w:rPr>
              <w:t xml:space="preserve"> (in pipeline)</w:t>
            </w:r>
          </w:p>
        </w:tc>
        <w:tc>
          <w:tcPr>
            <w:tcW w:w="1472" w:type="dxa"/>
          </w:tcPr>
          <w:p w14:paraId="0E7D498C" w14:textId="251C4D3A" w:rsidR="00C51199" w:rsidRPr="00316E91" w:rsidRDefault="00C51199"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eastAsia="Aptos" w:hAnsi="Funnel Sans"/>
                <w:color w:val="000000" w:themeColor="text1"/>
                <w:sz w:val="22"/>
                <w:szCs w:val="22"/>
              </w:rPr>
            </w:pPr>
            <w:r w:rsidRPr="00316E91">
              <w:rPr>
                <w:rFonts w:ascii="Funnel Sans" w:eastAsia="Aptos" w:hAnsi="Funnel Sans"/>
                <w:color w:val="000000" w:themeColor="text1"/>
                <w:sz w:val="22"/>
                <w:szCs w:val="22"/>
              </w:rPr>
              <w:t>US</w:t>
            </w:r>
          </w:p>
        </w:tc>
        <w:tc>
          <w:tcPr>
            <w:tcW w:w="664" w:type="dxa"/>
          </w:tcPr>
          <w:p w14:paraId="777B39B3" w14:textId="49CB66B0" w:rsidR="00C51199" w:rsidRPr="00316E91" w:rsidRDefault="00C51199"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eastAsia="Aptos" w:hAnsi="Funnel Sans"/>
                <w:color w:val="000000" w:themeColor="text1"/>
                <w:sz w:val="22"/>
                <w:szCs w:val="22"/>
              </w:rPr>
            </w:pPr>
            <w:r w:rsidRPr="00316E91">
              <w:rPr>
                <w:rFonts w:ascii="Funnel Sans" w:eastAsia="Aptos" w:hAnsi="Funnel Sans"/>
                <w:color w:val="000000" w:themeColor="text1"/>
                <w:sz w:val="22"/>
                <w:szCs w:val="22"/>
              </w:rPr>
              <w:t>Y</w:t>
            </w:r>
          </w:p>
        </w:tc>
        <w:tc>
          <w:tcPr>
            <w:tcW w:w="819" w:type="dxa"/>
          </w:tcPr>
          <w:p w14:paraId="4D6190EC" w14:textId="1B2F45C2" w:rsidR="00C51199" w:rsidRPr="00316E91" w:rsidRDefault="00C51199" w:rsidP="00316E91">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Funnel Sans" w:eastAsia="Aptos" w:hAnsi="Funnel Sans"/>
                <w:color w:val="000000" w:themeColor="text1"/>
                <w:sz w:val="22"/>
                <w:szCs w:val="22"/>
              </w:rPr>
            </w:pPr>
            <w:r w:rsidRPr="00316E91">
              <w:rPr>
                <w:rFonts w:ascii="Funnel Sans" w:eastAsia="Aptos" w:hAnsi="Funnel Sans"/>
                <w:color w:val="000000" w:themeColor="text1"/>
                <w:sz w:val="22"/>
                <w:szCs w:val="22"/>
              </w:rPr>
              <w:t>Y</w:t>
            </w:r>
          </w:p>
        </w:tc>
        <w:tc>
          <w:tcPr>
            <w:tcW w:w="2989" w:type="dxa"/>
            <w:vMerge/>
          </w:tcPr>
          <w:p w14:paraId="3301822E" w14:textId="77777777" w:rsidR="00C51199" w:rsidRPr="00316E91" w:rsidRDefault="00C51199" w:rsidP="00316E91">
            <w:pPr>
              <w:jc w:val="both"/>
              <w:cnfStyle w:val="000000100000" w:firstRow="0" w:lastRow="0" w:firstColumn="0" w:lastColumn="0" w:oddVBand="0" w:evenVBand="0" w:oddHBand="1" w:evenHBand="0" w:firstRowFirstColumn="0" w:firstRowLastColumn="0" w:lastRowFirstColumn="0" w:lastRowLastColumn="0"/>
              <w:rPr>
                <w:rFonts w:ascii="Funnel Sans" w:hAnsi="Funnel Sans"/>
                <w:sz w:val="22"/>
                <w:szCs w:val="22"/>
              </w:rPr>
            </w:pPr>
          </w:p>
        </w:tc>
      </w:tr>
      <w:tr w:rsidR="00DD1B0A" w:rsidRPr="00316E91" w14:paraId="13E5D5B1" w14:textId="77777777" w:rsidTr="00155763">
        <w:trPr>
          <w:trHeight w:val="20"/>
        </w:trPr>
        <w:tc>
          <w:tcPr>
            <w:cnfStyle w:val="001000000000" w:firstRow="0" w:lastRow="0" w:firstColumn="1" w:lastColumn="0" w:oddVBand="0" w:evenVBand="0" w:oddHBand="0" w:evenHBand="0" w:firstRowFirstColumn="0" w:firstRowLastColumn="0" w:lastRowFirstColumn="0" w:lastRowLastColumn="0"/>
            <w:tcW w:w="1052" w:type="dxa"/>
            <w:vMerge/>
          </w:tcPr>
          <w:p w14:paraId="4E874995" w14:textId="77777777" w:rsidR="00DD1B0A" w:rsidRPr="00316E91" w:rsidRDefault="00DD1B0A" w:rsidP="00316E91">
            <w:pPr>
              <w:jc w:val="both"/>
              <w:rPr>
                <w:rFonts w:ascii="Funnel Sans" w:hAnsi="Funnel Sans" w:cs="Arial"/>
                <w:sz w:val="22"/>
                <w:szCs w:val="22"/>
              </w:rPr>
            </w:pPr>
          </w:p>
        </w:tc>
        <w:tc>
          <w:tcPr>
            <w:tcW w:w="2354" w:type="dxa"/>
          </w:tcPr>
          <w:p w14:paraId="371EBD4F"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roofErr w:type="spellStart"/>
            <w:r w:rsidRPr="00316E91">
              <w:rPr>
                <w:rFonts w:ascii="Funnel Sans" w:eastAsia="Aptos" w:hAnsi="Funnel Sans" w:cs="Arial"/>
                <w:color w:val="000000" w:themeColor="text1"/>
                <w:sz w:val="22"/>
                <w:szCs w:val="22"/>
              </w:rPr>
              <w:t>Isotopia</w:t>
            </w:r>
            <w:proofErr w:type="spellEnd"/>
            <w:r w:rsidRPr="00316E91">
              <w:rPr>
                <w:rFonts w:ascii="Funnel Sans" w:eastAsia="Aptos" w:hAnsi="Funnel Sans" w:cs="Arial"/>
                <w:color w:val="000000" w:themeColor="text1"/>
                <w:sz w:val="22"/>
                <w:szCs w:val="22"/>
              </w:rPr>
              <w:t xml:space="preserve"> Molecular Imaging</w:t>
            </w:r>
            <w:r w:rsidRPr="00316E91">
              <w:rPr>
                <w:rFonts w:ascii="Funnel Sans" w:eastAsia="Arial" w:hAnsi="Funnel Sans"/>
                <w:color w:val="000000" w:themeColor="text1"/>
                <w:sz w:val="22"/>
                <w:szCs w:val="22"/>
              </w:rPr>
              <w:t xml:space="preserve"> </w:t>
            </w:r>
          </w:p>
        </w:tc>
        <w:tc>
          <w:tcPr>
            <w:tcW w:w="1472" w:type="dxa"/>
          </w:tcPr>
          <w:p w14:paraId="315153EB"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Israel</w:t>
            </w:r>
            <w:r w:rsidRPr="00316E91">
              <w:rPr>
                <w:rFonts w:ascii="Funnel Sans" w:eastAsia="Arial" w:hAnsi="Funnel Sans"/>
                <w:color w:val="000000" w:themeColor="text1"/>
                <w:sz w:val="22"/>
                <w:szCs w:val="22"/>
              </w:rPr>
              <w:t xml:space="preserve"> </w:t>
            </w:r>
          </w:p>
        </w:tc>
        <w:tc>
          <w:tcPr>
            <w:tcW w:w="664" w:type="dxa"/>
          </w:tcPr>
          <w:p w14:paraId="180D3E82"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N</w:t>
            </w:r>
            <w:r w:rsidRPr="00316E91">
              <w:rPr>
                <w:rFonts w:ascii="Funnel Sans" w:eastAsia="Arial" w:hAnsi="Funnel Sans"/>
                <w:color w:val="000000" w:themeColor="text1"/>
                <w:sz w:val="22"/>
                <w:szCs w:val="22"/>
              </w:rPr>
              <w:t xml:space="preserve"> </w:t>
            </w:r>
          </w:p>
        </w:tc>
        <w:tc>
          <w:tcPr>
            <w:tcW w:w="819" w:type="dxa"/>
          </w:tcPr>
          <w:p w14:paraId="4F23B66D" w14:textId="77777777" w:rsidR="00DD1B0A" w:rsidRPr="00316E91" w:rsidRDefault="00DD1B0A" w:rsidP="00316E91">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r w:rsidRPr="00316E91">
              <w:rPr>
                <w:rFonts w:ascii="Funnel Sans" w:eastAsia="Aptos" w:hAnsi="Funnel Sans" w:cs="Arial"/>
                <w:color w:val="000000" w:themeColor="text1"/>
                <w:sz w:val="22"/>
                <w:szCs w:val="22"/>
              </w:rPr>
              <w:t>Y</w:t>
            </w:r>
            <w:r w:rsidRPr="00316E91">
              <w:rPr>
                <w:rFonts w:ascii="Funnel Sans" w:eastAsia="Arial" w:hAnsi="Funnel Sans"/>
                <w:color w:val="000000" w:themeColor="text1"/>
                <w:sz w:val="22"/>
                <w:szCs w:val="22"/>
              </w:rPr>
              <w:t xml:space="preserve"> </w:t>
            </w:r>
          </w:p>
        </w:tc>
        <w:tc>
          <w:tcPr>
            <w:tcW w:w="2989" w:type="dxa"/>
            <w:vMerge/>
          </w:tcPr>
          <w:p w14:paraId="281A4C17" w14:textId="77777777" w:rsidR="00DD1B0A" w:rsidRPr="00316E91" w:rsidRDefault="00DD1B0A" w:rsidP="00316E91">
            <w:pPr>
              <w:jc w:val="both"/>
              <w:cnfStyle w:val="000000000000" w:firstRow="0" w:lastRow="0" w:firstColumn="0" w:lastColumn="0" w:oddVBand="0" w:evenVBand="0" w:oddHBand="0" w:evenHBand="0" w:firstRowFirstColumn="0" w:firstRowLastColumn="0" w:lastRowFirstColumn="0" w:lastRowLastColumn="0"/>
              <w:rPr>
                <w:rFonts w:ascii="Funnel Sans" w:hAnsi="Funnel Sans" w:cs="Arial"/>
                <w:sz w:val="22"/>
                <w:szCs w:val="22"/>
              </w:rPr>
            </w:pPr>
          </w:p>
        </w:tc>
      </w:tr>
    </w:tbl>
    <w:p w14:paraId="534AC70F"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10" w14:textId="12A980D8" w:rsidR="009D21D9" w:rsidRPr="00155763" w:rsidRDefault="00000000" w:rsidP="00316E91">
      <w:pPr>
        <w:pStyle w:val="Heading2"/>
        <w:jc w:val="both"/>
        <w:rPr>
          <w:rFonts w:ascii="Funnel Sans" w:hAnsi="Funnel Sans"/>
          <w:b/>
          <w:bCs/>
        </w:rPr>
      </w:pPr>
      <w:r w:rsidRPr="00155763">
        <w:rPr>
          <w:rFonts w:ascii="Funnel Sans" w:hAnsi="Funnel Sans"/>
          <w:b/>
          <w:bCs/>
        </w:rPr>
        <w:t>Where is Sego planning to source their supply of 225Ac and 161Tb? Any expected impacts to the supply chain in the future?</w:t>
      </w:r>
    </w:p>
    <w:p w14:paraId="2FE1C222" w14:textId="77777777" w:rsidR="0027738B"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 xml:space="preserve">Sego’s isotope supply chain is anchored by the strategic relationship with Nusano, an isotope production facility adjacent to Sego’s building in Salt Lake City, which will supply </w:t>
      </w:r>
      <w:r w:rsidRPr="006A044C">
        <w:rPr>
          <w:rFonts w:ascii="Funnel Sans" w:hAnsi="Funnel Sans"/>
          <w:sz w:val="22"/>
          <w:szCs w:val="22"/>
          <w:vertAlign w:val="superscript"/>
        </w:rPr>
        <w:t>225</w:t>
      </w:r>
      <w:r w:rsidRPr="00316E91">
        <w:rPr>
          <w:rFonts w:ascii="Funnel Sans" w:hAnsi="Funnel Sans"/>
          <w:sz w:val="22"/>
          <w:szCs w:val="22"/>
        </w:rPr>
        <w:t>Ac in 2027.</w:t>
      </w:r>
      <w:r w:rsidR="00136619" w:rsidRPr="00316E91">
        <w:rPr>
          <w:rFonts w:ascii="Funnel Sans" w:hAnsi="Funnel Sans"/>
          <w:sz w:val="22"/>
          <w:szCs w:val="22"/>
        </w:rPr>
        <w:t xml:space="preserve"> </w:t>
      </w:r>
      <w:r w:rsidRPr="00316E91">
        <w:rPr>
          <w:rFonts w:ascii="Funnel Sans" w:hAnsi="Funnel Sans"/>
          <w:sz w:val="22"/>
          <w:szCs w:val="22"/>
        </w:rPr>
        <w:t xml:space="preserve">The University of Utah, 23 minutes from Sego’s facility, has published extensively on </w:t>
      </w:r>
      <w:r w:rsidRPr="006A044C">
        <w:rPr>
          <w:rFonts w:ascii="Funnel Sans" w:hAnsi="Funnel Sans"/>
          <w:sz w:val="22"/>
          <w:szCs w:val="22"/>
          <w:vertAlign w:val="superscript"/>
        </w:rPr>
        <w:t>161</w:t>
      </w:r>
      <w:r w:rsidRPr="00316E91">
        <w:rPr>
          <w:rFonts w:ascii="Funnel Sans" w:hAnsi="Funnel Sans"/>
          <w:sz w:val="22"/>
          <w:szCs w:val="22"/>
        </w:rPr>
        <w:t xml:space="preserve">Tb production and supplies research quantities from its TRIGA reactor. </w:t>
      </w:r>
    </w:p>
    <w:p w14:paraId="7C6D0B40" w14:textId="0B6014AC" w:rsidR="0007548A" w:rsidRPr="00316E91" w:rsidRDefault="0027738B" w:rsidP="00316E91">
      <w:pPr>
        <w:spacing w:after="200" w:line="276" w:lineRule="auto"/>
        <w:jc w:val="both"/>
        <w:rPr>
          <w:rFonts w:ascii="Funnel Sans" w:hAnsi="Funnel Sans"/>
          <w:sz w:val="22"/>
          <w:szCs w:val="22"/>
        </w:rPr>
      </w:pPr>
      <w:r>
        <w:rPr>
          <w:rFonts w:ascii="Funnel Sans" w:hAnsi="Funnel Sans"/>
          <w:sz w:val="22"/>
          <w:szCs w:val="22"/>
        </w:rPr>
        <w:t xml:space="preserve">We anticipate no future issues in </w:t>
      </w:r>
      <w:r w:rsidR="00107D4D">
        <w:rPr>
          <w:rFonts w:ascii="Funnel Sans" w:hAnsi="Funnel Sans"/>
          <w:sz w:val="22"/>
          <w:szCs w:val="22"/>
        </w:rPr>
        <w:t xml:space="preserve">isotope supply within the timeline our products will come to commercialization. </w:t>
      </w:r>
      <w:r w:rsidR="003F6CA1" w:rsidRPr="00316E91">
        <w:rPr>
          <w:rFonts w:ascii="Funnel Sans" w:hAnsi="Funnel Sans"/>
          <w:sz w:val="22"/>
          <w:szCs w:val="22"/>
        </w:rPr>
        <w:t>Please see above for additional suppliers of all isotopes.</w:t>
      </w:r>
    </w:p>
    <w:p w14:paraId="534AC712"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13" w14:textId="38B2B481" w:rsidR="009D21D9" w:rsidRPr="00107D4D" w:rsidRDefault="00000000" w:rsidP="00316E91">
      <w:pPr>
        <w:pStyle w:val="Heading2"/>
        <w:jc w:val="both"/>
        <w:rPr>
          <w:rFonts w:ascii="Funnel Sans" w:hAnsi="Funnel Sans"/>
          <w:b/>
          <w:bCs/>
        </w:rPr>
      </w:pPr>
      <w:r w:rsidRPr="00107D4D">
        <w:rPr>
          <w:rFonts w:ascii="Funnel Sans" w:hAnsi="Funnel Sans"/>
          <w:b/>
          <w:bCs/>
        </w:rPr>
        <w:t>It’s a bit unclear what falls under Stage 1 of the CMC that is covered under the seed financing plan and when exactly all these activities will happen. How much money is Sego spending on CMC during this stage?</w:t>
      </w:r>
    </w:p>
    <w:p w14:paraId="230E057B" w14:textId="5038E9B4" w:rsidR="006C1DE4" w:rsidRPr="00316E91" w:rsidRDefault="00000000" w:rsidP="00316E91">
      <w:pPr>
        <w:spacing w:after="200" w:line="276" w:lineRule="auto"/>
        <w:jc w:val="both"/>
        <w:rPr>
          <w:rFonts w:ascii="Funnel Sans" w:hAnsi="Funnel Sans"/>
          <w:sz w:val="22"/>
          <w:szCs w:val="22"/>
        </w:rPr>
      </w:pPr>
      <w:r w:rsidRPr="00316E91">
        <w:rPr>
          <w:rFonts w:ascii="Funnel Sans" w:hAnsi="Funnel Sans"/>
          <w:sz w:val="22"/>
          <w:szCs w:val="22"/>
        </w:rPr>
        <w:t>Stage 1</w:t>
      </w:r>
      <w:r w:rsidR="003D4758" w:rsidRPr="00316E91">
        <w:rPr>
          <w:rFonts w:ascii="Funnel Sans" w:hAnsi="Funnel Sans"/>
          <w:sz w:val="22"/>
          <w:szCs w:val="22"/>
        </w:rPr>
        <w:t>A</w:t>
      </w:r>
      <w:r w:rsidRPr="00316E91">
        <w:rPr>
          <w:rFonts w:ascii="Funnel Sans" w:hAnsi="Funnel Sans"/>
          <w:sz w:val="22"/>
          <w:szCs w:val="22"/>
        </w:rPr>
        <w:t xml:space="preserve"> of the CMC build is a GMP-qualified radiopharmaceutical manufacturing suite designed to supply all clinical material from Phase 0 through Phase </w:t>
      </w:r>
      <w:r w:rsidR="003D4758" w:rsidRPr="00316E91">
        <w:rPr>
          <w:rFonts w:ascii="Funnel Sans" w:hAnsi="Funnel Sans"/>
          <w:sz w:val="22"/>
          <w:szCs w:val="22"/>
        </w:rPr>
        <w:t>1 / 2</w:t>
      </w:r>
      <w:r w:rsidRPr="00316E91">
        <w:rPr>
          <w:rFonts w:ascii="Funnel Sans" w:hAnsi="Funnel Sans"/>
          <w:sz w:val="22"/>
          <w:szCs w:val="22"/>
        </w:rPr>
        <w:t xml:space="preserve"> studies. Construction is already in flight, with completion targeted for December 2026</w:t>
      </w:r>
      <w:r w:rsidR="003D4758" w:rsidRPr="00316E91">
        <w:rPr>
          <w:rFonts w:ascii="Funnel Sans" w:hAnsi="Funnel Sans"/>
          <w:sz w:val="22"/>
          <w:szCs w:val="22"/>
        </w:rPr>
        <w:t xml:space="preserve"> and to</w:t>
      </w:r>
      <w:r w:rsidRPr="00316E91">
        <w:rPr>
          <w:rFonts w:ascii="Funnel Sans" w:hAnsi="Funnel Sans"/>
          <w:sz w:val="22"/>
          <w:szCs w:val="22"/>
        </w:rPr>
        <w:t xml:space="preserve"> be operational before the first clinical manufacturing need in 202</w:t>
      </w:r>
      <w:r w:rsidR="00C500D8" w:rsidRPr="00316E91">
        <w:rPr>
          <w:rFonts w:ascii="Funnel Sans" w:hAnsi="Funnel Sans"/>
          <w:sz w:val="22"/>
          <w:szCs w:val="22"/>
        </w:rPr>
        <w:t>7</w:t>
      </w:r>
      <w:r w:rsidRPr="00316E91">
        <w:rPr>
          <w:rFonts w:ascii="Funnel Sans" w:hAnsi="Funnel Sans"/>
          <w:sz w:val="22"/>
          <w:szCs w:val="22"/>
        </w:rPr>
        <w:t xml:space="preserve">. The total </w:t>
      </w:r>
      <w:proofErr w:type="gramStart"/>
      <w:r w:rsidRPr="00316E91">
        <w:rPr>
          <w:rFonts w:ascii="Funnel Sans" w:hAnsi="Funnel Sans"/>
          <w:sz w:val="22"/>
          <w:szCs w:val="22"/>
        </w:rPr>
        <w:t>build</w:t>
      </w:r>
      <w:proofErr w:type="gramEnd"/>
      <w:r w:rsidRPr="00316E91">
        <w:rPr>
          <w:rFonts w:ascii="Funnel Sans" w:hAnsi="Funnel Sans"/>
          <w:sz w:val="22"/>
          <w:szCs w:val="22"/>
        </w:rPr>
        <w:t xml:space="preserve"> cost</w:t>
      </w:r>
      <w:r w:rsidR="003D4758" w:rsidRPr="00316E91">
        <w:rPr>
          <w:rFonts w:ascii="Funnel Sans" w:hAnsi="Funnel Sans"/>
          <w:sz w:val="22"/>
          <w:szCs w:val="22"/>
        </w:rPr>
        <w:t xml:space="preserve"> for the CMC suite</w:t>
      </w:r>
      <w:r w:rsidRPr="00316E91">
        <w:rPr>
          <w:rFonts w:ascii="Funnel Sans" w:hAnsi="Funnel Sans"/>
          <w:sz w:val="22"/>
          <w:szCs w:val="22"/>
        </w:rPr>
        <w:t xml:space="preserve"> is approximately $3M</w:t>
      </w:r>
      <w:r w:rsidR="00822F80" w:rsidRPr="00316E91">
        <w:rPr>
          <w:rFonts w:ascii="Funnel Sans" w:hAnsi="Funnel Sans"/>
          <w:sz w:val="22"/>
          <w:szCs w:val="22"/>
        </w:rPr>
        <w:t xml:space="preserve"> for Stage 1A. </w:t>
      </w:r>
      <w:r w:rsidR="00DD2684">
        <w:rPr>
          <w:rFonts w:ascii="Funnel Sans" w:hAnsi="Funnel Sans"/>
          <w:sz w:val="22"/>
          <w:szCs w:val="22"/>
        </w:rPr>
        <w:t xml:space="preserve">This expense is offset by </w:t>
      </w:r>
      <w:proofErr w:type="gramStart"/>
      <w:r w:rsidR="00DD2684">
        <w:rPr>
          <w:rFonts w:ascii="Funnel Sans" w:hAnsi="Funnel Sans"/>
          <w:sz w:val="22"/>
          <w:szCs w:val="22"/>
        </w:rPr>
        <w:t>the saving</w:t>
      </w:r>
      <w:proofErr w:type="gramEnd"/>
      <w:r w:rsidR="00DD2684">
        <w:rPr>
          <w:rFonts w:ascii="Funnel Sans" w:hAnsi="Funnel Sans"/>
          <w:sz w:val="22"/>
          <w:szCs w:val="22"/>
        </w:rPr>
        <w:t xml:space="preserve"> in not using CDMO services for this activity.</w:t>
      </w:r>
    </w:p>
    <w:p w14:paraId="534AC715" w14:textId="77777777" w:rsidR="009D21D9" w:rsidRPr="00316E91" w:rsidRDefault="009D21D9" w:rsidP="00316E91">
      <w:pPr>
        <w:pBdr>
          <w:bottom w:val="single" w:sz="4" w:space="8" w:color="B1C8B0"/>
        </w:pBdr>
        <w:spacing w:before="200" w:after="200"/>
        <w:jc w:val="both"/>
        <w:rPr>
          <w:rFonts w:ascii="Funnel Sans" w:hAnsi="Funnel Sans"/>
          <w:sz w:val="22"/>
          <w:szCs w:val="22"/>
        </w:rPr>
      </w:pPr>
    </w:p>
    <w:p w14:paraId="534AC716" w14:textId="3AC3928E" w:rsidR="009D21D9" w:rsidRPr="00A077A4" w:rsidRDefault="00000000" w:rsidP="00316E91">
      <w:pPr>
        <w:pStyle w:val="Heading2"/>
        <w:jc w:val="both"/>
        <w:rPr>
          <w:rFonts w:ascii="Funnel Sans" w:hAnsi="Funnel Sans"/>
          <w:b/>
          <w:bCs/>
        </w:rPr>
      </w:pPr>
      <w:r w:rsidRPr="00A077A4">
        <w:rPr>
          <w:rFonts w:ascii="Funnel Sans" w:hAnsi="Funnel Sans"/>
          <w:b/>
          <w:bCs/>
        </w:rPr>
        <w:lastRenderedPageBreak/>
        <w:t xml:space="preserve">Are there any CMC activities that could be </w:t>
      </w:r>
      <w:proofErr w:type="spellStart"/>
      <w:r w:rsidRPr="00A077A4">
        <w:rPr>
          <w:rFonts w:ascii="Funnel Sans" w:hAnsi="Funnel Sans"/>
          <w:b/>
          <w:bCs/>
        </w:rPr>
        <w:t>tranched</w:t>
      </w:r>
      <w:proofErr w:type="spellEnd"/>
      <w:r w:rsidRPr="00A077A4">
        <w:rPr>
          <w:rFonts w:ascii="Funnel Sans" w:hAnsi="Funnel Sans"/>
          <w:b/>
          <w:bCs/>
        </w:rPr>
        <w:t xml:space="preserve"> or pushed to </w:t>
      </w:r>
      <w:proofErr w:type="gramStart"/>
      <w:r w:rsidRPr="00A077A4">
        <w:rPr>
          <w:rFonts w:ascii="Funnel Sans" w:hAnsi="Funnel Sans"/>
          <w:b/>
          <w:bCs/>
        </w:rPr>
        <w:t>the Series</w:t>
      </w:r>
      <w:proofErr w:type="gramEnd"/>
      <w:r w:rsidRPr="00A077A4">
        <w:rPr>
          <w:rFonts w:ascii="Funnel Sans" w:hAnsi="Funnel Sans"/>
          <w:b/>
          <w:bCs/>
        </w:rPr>
        <w:t xml:space="preserve"> A? The scale suggested in the Stage 1 CMC indicates that Sego could support at least 10 patient doses per week, but at this point, none of the Sego programs are in the clinic yet.</w:t>
      </w:r>
    </w:p>
    <w:p w14:paraId="534AC717" w14:textId="7FCE9E12" w:rsidR="009D21D9" w:rsidRDefault="00E06B94" w:rsidP="00316E91">
      <w:pPr>
        <w:spacing w:after="200" w:line="276" w:lineRule="auto"/>
        <w:jc w:val="both"/>
        <w:rPr>
          <w:rFonts w:ascii="Funnel Sans" w:hAnsi="Funnel Sans"/>
          <w:sz w:val="22"/>
          <w:szCs w:val="22"/>
        </w:rPr>
      </w:pPr>
      <w:r>
        <w:rPr>
          <w:rFonts w:ascii="Funnel Sans" w:hAnsi="Funnel Sans"/>
          <w:sz w:val="22"/>
          <w:szCs w:val="22"/>
        </w:rPr>
        <w:t xml:space="preserve">We plan to be clinical in the Seed round and therefore the Stage 1 CMC facilities are required to </w:t>
      </w:r>
      <w:r w:rsidR="00A9454F">
        <w:rPr>
          <w:rFonts w:ascii="Funnel Sans" w:hAnsi="Funnel Sans"/>
          <w:sz w:val="22"/>
          <w:szCs w:val="22"/>
        </w:rPr>
        <w:t xml:space="preserve">provide doses. The cost of the </w:t>
      </w:r>
      <w:proofErr w:type="gramStart"/>
      <w:r w:rsidR="00A9454F">
        <w:rPr>
          <w:rFonts w:ascii="Funnel Sans" w:hAnsi="Funnel Sans"/>
          <w:sz w:val="22"/>
          <w:szCs w:val="22"/>
        </w:rPr>
        <w:t>build</w:t>
      </w:r>
      <w:proofErr w:type="gramEnd"/>
      <w:r w:rsidR="00A9454F">
        <w:rPr>
          <w:rFonts w:ascii="Funnel Sans" w:hAnsi="Funnel Sans"/>
          <w:sz w:val="22"/>
          <w:szCs w:val="22"/>
        </w:rPr>
        <w:t xml:space="preserve"> is offset by the savings on outsourcing these programs to </w:t>
      </w:r>
      <w:proofErr w:type="gramStart"/>
      <w:r w:rsidR="000D6531">
        <w:rPr>
          <w:rFonts w:ascii="Funnel Sans" w:hAnsi="Funnel Sans"/>
          <w:sz w:val="22"/>
          <w:szCs w:val="22"/>
        </w:rPr>
        <w:t>a CDMO</w:t>
      </w:r>
      <w:proofErr w:type="gramEnd"/>
      <w:r w:rsidR="000D6531">
        <w:rPr>
          <w:rFonts w:ascii="Funnel Sans" w:hAnsi="Funnel Sans"/>
          <w:sz w:val="22"/>
          <w:szCs w:val="22"/>
        </w:rPr>
        <w:t xml:space="preserve">. The breakeven point is taking </w:t>
      </w:r>
      <w:r w:rsidR="00ED46E2">
        <w:rPr>
          <w:rFonts w:ascii="Funnel Sans" w:hAnsi="Funnel Sans"/>
          <w:sz w:val="22"/>
          <w:szCs w:val="22"/>
        </w:rPr>
        <w:t>&gt;1</w:t>
      </w:r>
      <w:r w:rsidR="000D6531">
        <w:rPr>
          <w:rFonts w:ascii="Funnel Sans" w:hAnsi="Funnel Sans"/>
          <w:sz w:val="22"/>
          <w:szCs w:val="22"/>
        </w:rPr>
        <w:t xml:space="preserve"> molecule to the clinic.</w:t>
      </w:r>
      <w:r w:rsidR="007242A5">
        <w:rPr>
          <w:rFonts w:ascii="Funnel Sans" w:hAnsi="Funnel Sans"/>
          <w:sz w:val="22"/>
          <w:szCs w:val="22"/>
        </w:rPr>
        <w:t xml:space="preserve"> </w:t>
      </w:r>
    </w:p>
    <w:p w14:paraId="077721D0" w14:textId="326A8904" w:rsidR="00AB2356" w:rsidRPr="00316E91" w:rsidRDefault="00AB2356" w:rsidP="00316E91">
      <w:pPr>
        <w:spacing w:after="200" w:line="276" w:lineRule="auto"/>
        <w:jc w:val="both"/>
        <w:rPr>
          <w:rFonts w:ascii="Funnel Sans" w:hAnsi="Funnel Sans"/>
          <w:sz w:val="22"/>
          <w:szCs w:val="22"/>
        </w:rPr>
      </w:pPr>
      <w:r>
        <w:rPr>
          <w:rFonts w:ascii="Funnel Sans" w:hAnsi="Funnel Sans"/>
          <w:sz w:val="22"/>
          <w:szCs w:val="22"/>
        </w:rPr>
        <w:t>This has been built out in advance our</w:t>
      </w:r>
      <w:r w:rsidR="00464B98">
        <w:rPr>
          <w:rFonts w:ascii="Funnel Sans" w:hAnsi="Funnel Sans"/>
          <w:sz w:val="22"/>
          <w:szCs w:val="22"/>
        </w:rPr>
        <w:t xml:space="preserve"> clinical</w:t>
      </w:r>
      <w:r>
        <w:rPr>
          <w:rFonts w:ascii="Funnel Sans" w:hAnsi="Funnel Sans"/>
          <w:sz w:val="22"/>
          <w:szCs w:val="22"/>
        </w:rPr>
        <w:t xml:space="preserve"> studies, because of the shared </w:t>
      </w:r>
      <w:r w:rsidR="00464B98">
        <w:rPr>
          <w:rFonts w:ascii="Funnel Sans" w:hAnsi="Funnel Sans"/>
          <w:sz w:val="22"/>
          <w:szCs w:val="22"/>
        </w:rPr>
        <w:t xml:space="preserve">HVAC </w:t>
      </w:r>
      <w:r>
        <w:rPr>
          <w:rFonts w:ascii="Funnel Sans" w:hAnsi="Funnel Sans"/>
          <w:sz w:val="22"/>
          <w:szCs w:val="22"/>
        </w:rPr>
        <w:t>infrast</w:t>
      </w:r>
      <w:r w:rsidR="00464B98">
        <w:rPr>
          <w:rFonts w:ascii="Funnel Sans" w:hAnsi="Funnel Sans"/>
          <w:sz w:val="22"/>
          <w:szCs w:val="22"/>
        </w:rPr>
        <w:t xml:space="preserve">ructure with the lab </w:t>
      </w:r>
      <w:proofErr w:type="gramStart"/>
      <w:r w:rsidR="00464B98">
        <w:rPr>
          <w:rFonts w:ascii="Funnel Sans" w:hAnsi="Funnel Sans"/>
          <w:sz w:val="22"/>
          <w:szCs w:val="22"/>
        </w:rPr>
        <w:t>build</w:t>
      </w:r>
      <w:proofErr w:type="gramEnd"/>
      <w:r w:rsidR="00464B98">
        <w:rPr>
          <w:rFonts w:ascii="Funnel Sans" w:hAnsi="Funnel Sans"/>
          <w:sz w:val="22"/>
          <w:szCs w:val="22"/>
        </w:rPr>
        <w:t xml:space="preserve"> and marginal additional costs </w:t>
      </w:r>
      <w:r w:rsidR="00D22A6A">
        <w:rPr>
          <w:rFonts w:ascii="Funnel Sans" w:hAnsi="Funnel Sans"/>
          <w:sz w:val="22"/>
          <w:szCs w:val="22"/>
        </w:rPr>
        <w:t xml:space="preserve">of </w:t>
      </w:r>
      <w:r w:rsidR="00464B98">
        <w:rPr>
          <w:rFonts w:ascii="Funnel Sans" w:hAnsi="Funnel Sans"/>
          <w:sz w:val="22"/>
          <w:szCs w:val="22"/>
        </w:rPr>
        <w:t xml:space="preserve">$3m. </w:t>
      </w:r>
    </w:p>
    <w:sectPr w:rsidR="00AB2356" w:rsidRPr="00316E91">
      <w:headerReference w:type="default" r:id="rId17"/>
      <w:footerReference w:type="even" r:id="rId18"/>
      <w:footerReference w:type="default" r:id="rId19"/>
      <w:footerReference w:type="firs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173A" w14:textId="77777777" w:rsidR="006D3F54" w:rsidRDefault="006D3F54">
      <w:r>
        <w:separator/>
      </w:r>
    </w:p>
  </w:endnote>
  <w:endnote w:type="continuationSeparator" w:id="0">
    <w:p w14:paraId="253713A8" w14:textId="77777777" w:rsidR="006D3F54" w:rsidRDefault="006D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unnel Sans">
    <w:panose1 w:val="00000000000000000000"/>
    <w:charset w:val="00"/>
    <w:family w:val="auto"/>
    <w:pitch w:val="variable"/>
    <w:sig w:usb0="A00000EF" w:usb1="4000004A"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ED23B" w14:textId="4E80DD4F" w:rsidR="000D1DF4" w:rsidRDefault="000D1DF4">
    <w:pPr>
      <w:pStyle w:val="Footer"/>
    </w:pPr>
    <w:r>
      <w:rPr>
        <w:noProof/>
      </w:rPr>
      <mc:AlternateContent>
        <mc:Choice Requires="wps">
          <w:drawing>
            <wp:anchor distT="0" distB="0" distL="0" distR="0" simplePos="0" relativeHeight="251658241" behindDoc="0" locked="0" layoutInCell="1" allowOverlap="1" wp14:anchorId="40B6EC6D" wp14:editId="0619A612">
              <wp:simplePos x="635" y="635"/>
              <wp:positionH relativeFrom="page">
                <wp:align>right</wp:align>
              </wp:positionH>
              <wp:positionV relativeFrom="page">
                <wp:align>bottom</wp:align>
              </wp:positionV>
              <wp:extent cx="795655" cy="314325"/>
              <wp:effectExtent l="0" t="0" r="0" b="0"/>
              <wp:wrapNone/>
              <wp:docPr id="1759440775"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704717CF" w14:textId="726954C9"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0B6EC6D" id="_x0000_t202" coordsize="21600,21600" o:spt="202" path="m,l,21600r21600,l21600,xe">
              <v:stroke joinstyle="miter"/>
              <v:path gradientshapeok="t" o:connecttype="rect"/>
            </v:shapetype>
            <v:shape id="Text Box 2" o:spid="_x0000_s1026" type="#_x0000_t202" alt="Confidential" style="position:absolute;margin-left:11.45pt;margin-top:0;width:62.65pt;height:24.7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" filled="f" stroked="f">
              <v:textbox style="mso-fit-shape-to-text:t" inset="0,0,20pt,15pt">
                <w:txbxContent>
                  <w:p w14:paraId="704717CF" w14:textId="726954C9"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C719" w14:textId="49BD6EAE" w:rsidR="009D21D9" w:rsidRDefault="000D1DF4">
    <w:pPr>
      <w:jc w:val="center"/>
    </w:pPr>
    <w:r>
      <w:rPr>
        <w:noProof/>
        <w:color w:val="666666"/>
        <w:sz w:val="16"/>
        <w:szCs w:val="16"/>
      </w:rPr>
      <mc:AlternateContent>
        <mc:Choice Requires="wps">
          <w:drawing>
            <wp:anchor distT="0" distB="0" distL="0" distR="0" simplePos="0" relativeHeight="251658240" behindDoc="0" locked="0" layoutInCell="1" allowOverlap="1" wp14:anchorId="034BEAB2" wp14:editId="2CC3B1CF">
              <wp:simplePos x="635" y="635"/>
              <wp:positionH relativeFrom="page">
                <wp:align>right</wp:align>
              </wp:positionH>
              <wp:positionV relativeFrom="page">
                <wp:align>bottom</wp:align>
              </wp:positionV>
              <wp:extent cx="795655" cy="314325"/>
              <wp:effectExtent l="0" t="0" r="0" b="0"/>
              <wp:wrapNone/>
              <wp:docPr id="811283334"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4029DE8A" w14:textId="214B2F3F"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34BEAB2" id="_x0000_t202" coordsize="21600,21600" o:spt="202" path="m,l,21600r21600,l21600,xe">
              <v:stroke joinstyle="miter"/>
              <v:path gradientshapeok="t" o:connecttype="rect"/>
            </v:shapetype>
            <v:shape id="Text Box 3" o:spid="_x0000_s1027" type="#_x0000_t202" alt="Confidential" style="position:absolute;left:0;text-align:left;margin-left:11.45pt;margin-top:0;width:62.65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" filled="f" stroked="f">
              <v:textbox style="mso-fit-shape-to-text:t" inset="0,0,20pt,15pt">
                <w:txbxContent>
                  <w:p w14:paraId="4029DE8A" w14:textId="214B2F3F"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v:textbox>
              <w10:wrap anchorx="page" anchory="page"/>
            </v:shape>
          </w:pict>
        </mc:Fallback>
      </mc:AlternateContent>
    </w:r>
    <w:proofErr w:type="gramStart"/>
    <w:r>
      <w:rPr>
        <w:color w:val="666666"/>
        <w:sz w:val="16"/>
        <w:szCs w:val="16"/>
      </w:rPr>
      <w:t>Confidential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8970B5">
      <w:rPr>
        <w:noProof/>
        <w:color w:val="666666"/>
        <w:sz w:val="16"/>
        <w:szCs w:val="16"/>
      </w:rPr>
      <w:t>1</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5D07A" w14:textId="4D1C337A" w:rsidR="000D1DF4" w:rsidRDefault="000D1DF4">
    <w:pPr>
      <w:pStyle w:val="Footer"/>
    </w:pPr>
    <w:r>
      <w:rPr>
        <w:noProof/>
      </w:rPr>
      <mc:AlternateContent>
        <mc:Choice Requires="wps">
          <w:drawing>
            <wp:anchor distT="0" distB="0" distL="0" distR="0" simplePos="0" relativeHeight="251658242" behindDoc="0" locked="0" layoutInCell="1" allowOverlap="1" wp14:anchorId="4DEFA4F6" wp14:editId="70174B39">
              <wp:simplePos x="635" y="635"/>
              <wp:positionH relativeFrom="page">
                <wp:align>right</wp:align>
              </wp:positionH>
              <wp:positionV relativeFrom="page">
                <wp:align>bottom</wp:align>
              </wp:positionV>
              <wp:extent cx="795655" cy="314325"/>
              <wp:effectExtent l="0" t="0" r="0" b="0"/>
              <wp:wrapNone/>
              <wp:docPr id="2117745065"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5655" cy="314325"/>
                      </a:xfrm>
                      <a:prstGeom prst="rect">
                        <a:avLst/>
                      </a:prstGeom>
                      <a:noFill/>
                      <a:ln>
                        <a:noFill/>
                      </a:ln>
                    </wps:spPr>
                    <wps:txbx>
                      <w:txbxContent>
                        <w:p w14:paraId="381D061F" w14:textId="4C80AB60"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DEFA4F6" id="_x0000_t202" coordsize="21600,21600" o:spt="202" path="m,l,21600r21600,l21600,xe">
              <v:stroke joinstyle="miter"/>
              <v:path gradientshapeok="t" o:connecttype="rect"/>
            </v:shapetype>
            <v:shape id="Text Box 1" o:spid="_x0000_s1028" type="#_x0000_t202" alt="Confidential" style="position:absolute;margin-left:11.45pt;margin-top:0;width:62.65pt;height:24.7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" filled="f" stroked="f">
              <v:textbox style="mso-fit-shape-to-text:t" inset="0,0,20pt,15pt">
                <w:txbxContent>
                  <w:p w14:paraId="381D061F" w14:textId="4C80AB60" w:rsidR="000D1DF4" w:rsidRPr="000D1DF4" w:rsidRDefault="000D1DF4" w:rsidP="000D1DF4">
                    <w:pPr>
                      <w:rPr>
                        <w:rFonts w:ascii="Aptos" w:eastAsia="Aptos" w:hAnsi="Aptos" w:cs="Aptos"/>
                        <w:noProof/>
                        <w:color w:val="000000"/>
                        <w:sz w:val="16"/>
                        <w:szCs w:val="16"/>
                      </w:rPr>
                    </w:pPr>
                    <w:r w:rsidRPr="000D1DF4">
                      <w:rPr>
                        <w:rFonts w:ascii="Aptos" w:eastAsia="Aptos" w:hAnsi="Aptos" w:cs="Aptos"/>
                        <w:noProof/>
                        <w:color w:val="000000"/>
                        <w:sz w:val="16"/>
                        <w:szCs w:val="16"/>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5FA68" w14:textId="77777777" w:rsidR="006D3F54" w:rsidRDefault="006D3F54">
      <w:r>
        <w:separator/>
      </w:r>
    </w:p>
  </w:footnote>
  <w:footnote w:type="continuationSeparator" w:id="0">
    <w:p w14:paraId="0833EF80" w14:textId="77777777" w:rsidR="006D3F54" w:rsidRDefault="006D3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5DCA1" w14:textId="77777777" w:rsidR="0053724D" w:rsidRDefault="0053724D" w:rsidP="0053724D">
    <w:pPr>
      <w:pStyle w:val="Header"/>
      <w:tabs>
        <w:tab w:val="clear" w:pos="4680"/>
        <w:tab w:val="clear" w:pos="9360"/>
        <w:tab w:val="left" w:pos="3209"/>
      </w:tabs>
    </w:pPr>
    <w:r>
      <w:tab/>
    </w:r>
  </w:p>
  <w:tbl>
    <w:tblPr>
      <w:tblW w:w="0" w:type="auto"/>
      <w:tblLook w:val="06A0" w:firstRow="1" w:lastRow="0" w:firstColumn="1" w:lastColumn="0" w:noHBand="1" w:noVBand="1"/>
    </w:tblPr>
    <w:tblGrid>
      <w:gridCol w:w="2880"/>
      <w:gridCol w:w="2880"/>
      <w:gridCol w:w="2880"/>
    </w:tblGrid>
    <w:tr w:rsidR="003C2F7C" w14:paraId="2B04C166" w14:textId="77777777" w:rsidTr="00940BCF">
      <w:trPr>
        <w:trHeight w:val="300"/>
      </w:trPr>
      <w:tc>
        <w:tcPr>
          <w:tcW w:w="2880" w:type="dxa"/>
        </w:tcPr>
        <w:p w14:paraId="3F4E0041" w14:textId="77777777" w:rsidR="0053724D" w:rsidRDefault="0053724D" w:rsidP="0053724D">
          <w:pPr>
            <w:pStyle w:val="Header"/>
            <w:ind w:left="-115"/>
          </w:pPr>
          <w:r>
            <w:rPr>
              <w:noProof/>
            </w:rPr>
            <w:drawing>
              <wp:inline distT="0" distB="0" distL="0" distR="0" wp14:anchorId="707C3AF2" wp14:editId="68EE4E66">
                <wp:extent cx="1371600" cy="385281"/>
                <wp:effectExtent l="0" t="0" r="0" b="0"/>
                <wp:docPr id="1469347520" name="drawing">
                  <a:extLst xmlns:a="http://schemas.openxmlformats.org/drawingml/2006/main">
                    <a:ext uri="{FF2B5EF4-FFF2-40B4-BE49-F238E27FC236}">
                      <a16:creationId xmlns:a16="http://schemas.microsoft.com/office/drawing/2014/main" id="{4BFD2CDE-D43C-4E70-B982-A6B095FDDF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8596" name="Picture 1186688596"/>
                        <pic:cNvPicPr/>
                      </pic:nvPicPr>
                      <pic:blipFill>
                        <a:blip r:embed="rId1">
                          <a:extLst>
                            <a:ext uri="{28A0092B-C50C-407E-A947-70E740481C1C}">
                              <a14:useLocalDpi xmlns:a14="http://schemas.microsoft.com/office/drawing/2010/main"/>
                            </a:ext>
                          </a:extLst>
                        </a:blip>
                        <a:stretch>
                          <a:fillRect/>
                        </a:stretch>
                      </pic:blipFill>
                      <pic:spPr>
                        <a:xfrm>
                          <a:off x="0" y="0"/>
                          <a:ext cx="1371600" cy="385281"/>
                        </a:xfrm>
                        <a:prstGeom prst="rect">
                          <a:avLst/>
                        </a:prstGeom>
                      </pic:spPr>
                    </pic:pic>
                  </a:graphicData>
                </a:graphic>
              </wp:inline>
            </w:drawing>
          </w:r>
        </w:p>
      </w:tc>
      <w:tc>
        <w:tcPr>
          <w:tcW w:w="2880" w:type="dxa"/>
        </w:tcPr>
        <w:p w14:paraId="2E6C8971" w14:textId="77777777" w:rsidR="0053724D" w:rsidRDefault="0053724D" w:rsidP="0053724D">
          <w:pPr>
            <w:pStyle w:val="Header"/>
            <w:jc w:val="center"/>
          </w:pPr>
        </w:p>
      </w:tc>
      <w:tc>
        <w:tcPr>
          <w:tcW w:w="2880" w:type="dxa"/>
        </w:tcPr>
        <w:p w14:paraId="14E18700" w14:textId="77777777" w:rsidR="0053724D" w:rsidRDefault="0053724D" w:rsidP="0053724D">
          <w:pPr>
            <w:pStyle w:val="Header"/>
            <w:ind w:right="-115"/>
            <w:jc w:val="right"/>
            <w:rPr>
              <w:rFonts w:asciiTheme="majorHAnsi" w:eastAsiaTheme="majorEastAsia" w:hAnsiTheme="majorHAnsi" w:cstheme="majorBidi"/>
            </w:rPr>
          </w:pPr>
          <w:r>
            <w:rPr>
              <w:rFonts w:asciiTheme="majorHAnsi" w:eastAsiaTheme="majorEastAsia" w:hAnsiTheme="majorHAnsi" w:cstheme="majorBidi"/>
            </w:rPr>
            <w:t>May</w:t>
          </w:r>
          <w:r w:rsidRPr="22DD4C4C">
            <w:rPr>
              <w:rFonts w:asciiTheme="majorHAnsi" w:eastAsiaTheme="majorEastAsia" w:hAnsiTheme="majorHAnsi" w:cstheme="majorBidi"/>
            </w:rPr>
            <w:t xml:space="preserve"> 2026</w:t>
          </w:r>
        </w:p>
      </w:tc>
    </w:tr>
  </w:tbl>
  <w:p w14:paraId="5D3662F1" w14:textId="632D4611" w:rsidR="008970B5" w:rsidRDefault="008970B5" w:rsidP="0053724D">
    <w:pPr>
      <w:pStyle w:val="Header"/>
      <w:tabs>
        <w:tab w:val="clear" w:pos="4680"/>
        <w:tab w:val="clear" w:pos="9360"/>
        <w:tab w:val="left" w:pos="320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87E50"/>
    <w:multiLevelType w:val="hybridMultilevel"/>
    <w:tmpl w:val="A5B0C11A"/>
    <w:lvl w:ilvl="0" w:tplc="AD46F6C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80274C"/>
    <w:multiLevelType w:val="hybridMultilevel"/>
    <w:tmpl w:val="0C487378"/>
    <w:lvl w:ilvl="0" w:tplc="6F8E266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6BC61C2"/>
    <w:multiLevelType w:val="hybridMultilevel"/>
    <w:tmpl w:val="4A2CC9D4"/>
    <w:lvl w:ilvl="0" w:tplc="7DC45EB6">
      <w:start w:val="1"/>
      <w:numFmt w:val="bullet"/>
      <w:lvlText w:val="●"/>
      <w:lvlJc w:val="left"/>
      <w:pPr>
        <w:ind w:left="720" w:hanging="360"/>
      </w:pPr>
    </w:lvl>
    <w:lvl w:ilvl="1" w:tplc="EFCE57F6">
      <w:start w:val="1"/>
      <w:numFmt w:val="bullet"/>
      <w:lvlText w:val="○"/>
      <w:lvlJc w:val="left"/>
      <w:pPr>
        <w:ind w:left="1440" w:hanging="360"/>
      </w:pPr>
    </w:lvl>
    <w:lvl w:ilvl="2" w:tplc="E6B8C45A">
      <w:start w:val="1"/>
      <w:numFmt w:val="bullet"/>
      <w:lvlText w:val="■"/>
      <w:lvlJc w:val="left"/>
      <w:pPr>
        <w:ind w:left="2160" w:hanging="360"/>
      </w:pPr>
    </w:lvl>
    <w:lvl w:ilvl="3" w:tplc="32649216">
      <w:start w:val="1"/>
      <w:numFmt w:val="bullet"/>
      <w:lvlText w:val="●"/>
      <w:lvlJc w:val="left"/>
      <w:pPr>
        <w:ind w:left="2880" w:hanging="360"/>
      </w:pPr>
    </w:lvl>
    <w:lvl w:ilvl="4" w:tplc="E63C3AAA">
      <w:start w:val="1"/>
      <w:numFmt w:val="bullet"/>
      <w:lvlText w:val="○"/>
      <w:lvlJc w:val="left"/>
      <w:pPr>
        <w:ind w:left="3600" w:hanging="360"/>
      </w:pPr>
    </w:lvl>
    <w:lvl w:ilvl="5" w:tplc="F0D22AC8">
      <w:start w:val="1"/>
      <w:numFmt w:val="bullet"/>
      <w:lvlText w:val="■"/>
      <w:lvlJc w:val="left"/>
      <w:pPr>
        <w:ind w:left="4320" w:hanging="360"/>
      </w:pPr>
    </w:lvl>
    <w:lvl w:ilvl="6" w:tplc="B89A627E">
      <w:start w:val="1"/>
      <w:numFmt w:val="bullet"/>
      <w:lvlText w:val="●"/>
      <w:lvlJc w:val="left"/>
      <w:pPr>
        <w:ind w:left="5040" w:hanging="360"/>
      </w:pPr>
    </w:lvl>
    <w:lvl w:ilvl="7" w:tplc="D15669AA">
      <w:start w:val="1"/>
      <w:numFmt w:val="bullet"/>
      <w:lvlText w:val="●"/>
      <w:lvlJc w:val="left"/>
      <w:pPr>
        <w:ind w:left="5760" w:hanging="360"/>
      </w:pPr>
    </w:lvl>
    <w:lvl w:ilvl="8" w:tplc="250E14FC">
      <w:start w:val="1"/>
      <w:numFmt w:val="bullet"/>
      <w:lvlText w:val="●"/>
      <w:lvlJc w:val="left"/>
      <w:pPr>
        <w:ind w:left="6480" w:hanging="360"/>
      </w:pPr>
    </w:lvl>
  </w:abstractNum>
  <w:num w:numId="1" w16cid:durableId="976684740">
    <w:abstractNumId w:val="2"/>
    <w:lvlOverride w:ilvl="0">
      <w:startOverride w:val="1"/>
    </w:lvlOverride>
  </w:num>
  <w:num w:numId="2" w16cid:durableId="950355897">
    <w:abstractNumId w:val="0"/>
  </w:num>
  <w:num w:numId="3" w16cid:durableId="19675456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1D9"/>
    <w:rsid w:val="000068B1"/>
    <w:rsid w:val="00007631"/>
    <w:rsid w:val="00017C34"/>
    <w:rsid w:val="00020CAA"/>
    <w:rsid w:val="000247CB"/>
    <w:rsid w:val="00027986"/>
    <w:rsid w:val="00030231"/>
    <w:rsid w:val="00046BC3"/>
    <w:rsid w:val="000524E7"/>
    <w:rsid w:val="00053120"/>
    <w:rsid w:val="00053BD6"/>
    <w:rsid w:val="00055F33"/>
    <w:rsid w:val="0006196A"/>
    <w:rsid w:val="000626C7"/>
    <w:rsid w:val="00067D8D"/>
    <w:rsid w:val="00071A1A"/>
    <w:rsid w:val="0007548A"/>
    <w:rsid w:val="00075683"/>
    <w:rsid w:val="00086728"/>
    <w:rsid w:val="00090436"/>
    <w:rsid w:val="0009198E"/>
    <w:rsid w:val="000956AB"/>
    <w:rsid w:val="000B16C7"/>
    <w:rsid w:val="000B4F18"/>
    <w:rsid w:val="000C113E"/>
    <w:rsid w:val="000C374F"/>
    <w:rsid w:val="000C4A7A"/>
    <w:rsid w:val="000C52D2"/>
    <w:rsid w:val="000C7805"/>
    <w:rsid w:val="000C7F5C"/>
    <w:rsid w:val="000D1DF4"/>
    <w:rsid w:val="000D3323"/>
    <w:rsid w:val="000D6531"/>
    <w:rsid w:val="000E3911"/>
    <w:rsid w:val="00107D4D"/>
    <w:rsid w:val="001148B6"/>
    <w:rsid w:val="0013127A"/>
    <w:rsid w:val="00134652"/>
    <w:rsid w:val="00134A89"/>
    <w:rsid w:val="00135EF5"/>
    <w:rsid w:val="00136619"/>
    <w:rsid w:val="0014021A"/>
    <w:rsid w:val="00152484"/>
    <w:rsid w:val="00154249"/>
    <w:rsid w:val="00154553"/>
    <w:rsid w:val="001555B3"/>
    <w:rsid w:val="00155763"/>
    <w:rsid w:val="0016378F"/>
    <w:rsid w:val="00172313"/>
    <w:rsid w:val="00173558"/>
    <w:rsid w:val="00183117"/>
    <w:rsid w:val="001859DB"/>
    <w:rsid w:val="00187386"/>
    <w:rsid w:val="0019367F"/>
    <w:rsid w:val="001A27A2"/>
    <w:rsid w:val="001A5FD2"/>
    <w:rsid w:val="001B2D2F"/>
    <w:rsid w:val="001B307B"/>
    <w:rsid w:val="001B5B73"/>
    <w:rsid w:val="001B6C96"/>
    <w:rsid w:val="001B7533"/>
    <w:rsid w:val="001C41CB"/>
    <w:rsid w:val="001C482A"/>
    <w:rsid w:val="001C4C25"/>
    <w:rsid w:val="001D3376"/>
    <w:rsid w:val="001D6609"/>
    <w:rsid w:val="001D75AA"/>
    <w:rsid w:val="001E0866"/>
    <w:rsid w:val="001E2F68"/>
    <w:rsid w:val="001E39F7"/>
    <w:rsid w:val="001E3E79"/>
    <w:rsid w:val="001E48D8"/>
    <w:rsid w:val="001F25BC"/>
    <w:rsid w:val="001F2D93"/>
    <w:rsid w:val="001F5573"/>
    <w:rsid w:val="00204FA3"/>
    <w:rsid w:val="002065CC"/>
    <w:rsid w:val="002067F7"/>
    <w:rsid w:val="0020706B"/>
    <w:rsid w:val="002107EF"/>
    <w:rsid w:val="0021191D"/>
    <w:rsid w:val="00214678"/>
    <w:rsid w:val="00215500"/>
    <w:rsid w:val="00223D24"/>
    <w:rsid w:val="00223E8A"/>
    <w:rsid w:val="00224455"/>
    <w:rsid w:val="002245CE"/>
    <w:rsid w:val="00224706"/>
    <w:rsid w:val="00224F5E"/>
    <w:rsid w:val="00226778"/>
    <w:rsid w:val="00227C2D"/>
    <w:rsid w:val="00232447"/>
    <w:rsid w:val="0023444F"/>
    <w:rsid w:val="00235E8A"/>
    <w:rsid w:val="0024463A"/>
    <w:rsid w:val="00244A3F"/>
    <w:rsid w:val="00246CBF"/>
    <w:rsid w:val="00250B93"/>
    <w:rsid w:val="00251DF2"/>
    <w:rsid w:val="002520C8"/>
    <w:rsid w:val="0025379F"/>
    <w:rsid w:val="0025421D"/>
    <w:rsid w:val="00255236"/>
    <w:rsid w:val="002628B9"/>
    <w:rsid w:val="0026492D"/>
    <w:rsid w:val="00271283"/>
    <w:rsid w:val="002712D3"/>
    <w:rsid w:val="00274710"/>
    <w:rsid w:val="0027738B"/>
    <w:rsid w:val="0028077C"/>
    <w:rsid w:val="002824EF"/>
    <w:rsid w:val="00285CB9"/>
    <w:rsid w:val="0028786C"/>
    <w:rsid w:val="00291126"/>
    <w:rsid w:val="002933A7"/>
    <w:rsid w:val="0029357D"/>
    <w:rsid w:val="002A1A4B"/>
    <w:rsid w:val="002B3048"/>
    <w:rsid w:val="002B75E4"/>
    <w:rsid w:val="002C692D"/>
    <w:rsid w:val="002D3CF2"/>
    <w:rsid w:val="002D5025"/>
    <w:rsid w:val="002D6B88"/>
    <w:rsid w:val="002E20B7"/>
    <w:rsid w:val="002E2FE8"/>
    <w:rsid w:val="002E60CD"/>
    <w:rsid w:val="002E6FA6"/>
    <w:rsid w:val="002F400E"/>
    <w:rsid w:val="002F40E6"/>
    <w:rsid w:val="00303916"/>
    <w:rsid w:val="0030655F"/>
    <w:rsid w:val="0031096F"/>
    <w:rsid w:val="003114BF"/>
    <w:rsid w:val="003169C5"/>
    <w:rsid w:val="00316E91"/>
    <w:rsid w:val="00325A37"/>
    <w:rsid w:val="00326B68"/>
    <w:rsid w:val="00330CEE"/>
    <w:rsid w:val="003326FC"/>
    <w:rsid w:val="003346D5"/>
    <w:rsid w:val="00351599"/>
    <w:rsid w:val="00352036"/>
    <w:rsid w:val="003562CA"/>
    <w:rsid w:val="003659C2"/>
    <w:rsid w:val="00376EDF"/>
    <w:rsid w:val="003778D7"/>
    <w:rsid w:val="00384352"/>
    <w:rsid w:val="00384B52"/>
    <w:rsid w:val="003A16F5"/>
    <w:rsid w:val="003A4434"/>
    <w:rsid w:val="003A4E20"/>
    <w:rsid w:val="003A5654"/>
    <w:rsid w:val="003B0DA9"/>
    <w:rsid w:val="003B3A2D"/>
    <w:rsid w:val="003B5E93"/>
    <w:rsid w:val="003B68F1"/>
    <w:rsid w:val="003B7629"/>
    <w:rsid w:val="003B7A0D"/>
    <w:rsid w:val="003B7ACF"/>
    <w:rsid w:val="003C060A"/>
    <w:rsid w:val="003C2F7C"/>
    <w:rsid w:val="003C45C0"/>
    <w:rsid w:val="003D2776"/>
    <w:rsid w:val="003D4758"/>
    <w:rsid w:val="003D6CDF"/>
    <w:rsid w:val="003E27B6"/>
    <w:rsid w:val="003E56E7"/>
    <w:rsid w:val="003E717A"/>
    <w:rsid w:val="003F36C1"/>
    <w:rsid w:val="003F57DD"/>
    <w:rsid w:val="003F6CA1"/>
    <w:rsid w:val="00404C86"/>
    <w:rsid w:val="004053F3"/>
    <w:rsid w:val="004249E5"/>
    <w:rsid w:val="004320D3"/>
    <w:rsid w:val="00452FCF"/>
    <w:rsid w:val="00454E35"/>
    <w:rsid w:val="00456E01"/>
    <w:rsid w:val="004604C8"/>
    <w:rsid w:val="00464B98"/>
    <w:rsid w:val="00471D08"/>
    <w:rsid w:val="00474F73"/>
    <w:rsid w:val="00482DA3"/>
    <w:rsid w:val="00486340"/>
    <w:rsid w:val="0048752C"/>
    <w:rsid w:val="00490FB2"/>
    <w:rsid w:val="004917A5"/>
    <w:rsid w:val="004920B0"/>
    <w:rsid w:val="00493B0D"/>
    <w:rsid w:val="004A06C3"/>
    <w:rsid w:val="004A214F"/>
    <w:rsid w:val="004A4F37"/>
    <w:rsid w:val="004B19BE"/>
    <w:rsid w:val="004B57EB"/>
    <w:rsid w:val="004C15BE"/>
    <w:rsid w:val="004C7F79"/>
    <w:rsid w:val="004D1E75"/>
    <w:rsid w:val="004D302D"/>
    <w:rsid w:val="004D61D9"/>
    <w:rsid w:val="004D67ED"/>
    <w:rsid w:val="004E130D"/>
    <w:rsid w:val="004E188B"/>
    <w:rsid w:val="004E23EF"/>
    <w:rsid w:val="004E2E0D"/>
    <w:rsid w:val="004E6433"/>
    <w:rsid w:val="004F58BC"/>
    <w:rsid w:val="00500C18"/>
    <w:rsid w:val="005026FE"/>
    <w:rsid w:val="005034F5"/>
    <w:rsid w:val="005044A4"/>
    <w:rsid w:val="00504738"/>
    <w:rsid w:val="00505368"/>
    <w:rsid w:val="00513AD2"/>
    <w:rsid w:val="00521277"/>
    <w:rsid w:val="005219ED"/>
    <w:rsid w:val="005257CD"/>
    <w:rsid w:val="00525AF3"/>
    <w:rsid w:val="0053156A"/>
    <w:rsid w:val="00531A70"/>
    <w:rsid w:val="0053724D"/>
    <w:rsid w:val="00541114"/>
    <w:rsid w:val="005435A9"/>
    <w:rsid w:val="0055060D"/>
    <w:rsid w:val="00552AF7"/>
    <w:rsid w:val="005604F0"/>
    <w:rsid w:val="00576127"/>
    <w:rsid w:val="005761F2"/>
    <w:rsid w:val="00577D48"/>
    <w:rsid w:val="00577F7C"/>
    <w:rsid w:val="00587CCC"/>
    <w:rsid w:val="00592D65"/>
    <w:rsid w:val="00593EF1"/>
    <w:rsid w:val="00593F73"/>
    <w:rsid w:val="005B099A"/>
    <w:rsid w:val="005B348D"/>
    <w:rsid w:val="005C0B64"/>
    <w:rsid w:val="005C22FF"/>
    <w:rsid w:val="005C7E8B"/>
    <w:rsid w:val="005D1C25"/>
    <w:rsid w:val="005D5181"/>
    <w:rsid w:val="005E1CE7"/>
    <w:rsid w:val="005E248E"/>
    <w:rsid w:val="005E4D55"/>
    <w:rsid w:val="005E5059"/>
    <w:rsid w:val="005F27FC"/>
    <w:rsid w:val="005F4321"/>
    <w:rsid w:val="005F5E22"/>
    <w:rsid w:val="00603D4B"/>
    <w:rsid w:val="006066C1"/>
    <w:rsid w:val="0060726D"/>
    <w:rsid w:val="0061200C"/>
    <w:rsid w:val="006131F3"/>
    <w:rsid w:val="00616C08"/>
    <w:rsid w:val="006227A7"/>
    <w:rsid w:val="006268DD"/>
    <w:rsid w:val="00631CF7"/>
    <w:rsid w:val="00632731"/>
    <w:rsid w:val="0063446A"/>
    <w:rsid w:val="00636E85"/>
    <w:rsid w:val="006433BF"/>
    <w:rsid w:val="00647376"/>
    <w:rsid w:val="00652506"/>
    <w:rsid w:val="00654E37"/>
    <w:rsid w:val="00656DFE"/>
    <w:rsid w:val="00661117"/>
    <w:rsid w:val="0066166A"/>
    <w:rsid w:val="00666615"/>
    <w:rsid w:val="00682AD9"/>
    <w:rsid w:val="006863BC"/>
    <w:rsid w:val="00686F8A"/>
    <w:rsid w:val="00691A3E"/>
    <w:rsid w:val="00694FC6"/>
    <w:rsid w:val="00695241"/>
    <w:rsid w:val="00695C12"/>
    <w:rsid w:val="00696E43"/>
    <w:rsid w:val="006975CE"/>
    <w:rsid w:val="006A044C"/>
    <w:rsid w:val="006A2D33"/>
    <w:rsid w:val="006A5C1F"/>
    <w:rsid w:val="006A6D07"/>
    <w:rsid w:val="006B1868"/>
    <w:rsid w:val="006B58BC"/>
    <w:rsid w:val="006B6F94"/>
    <w:rsid w:val="006C1DE4"/>
    <w:rsid w:val="006C4C25"/>
    <w:rsid w:val="006C633A"/>
    <w:rsid w:val="006D3F33"/>
    <w:rsid w:val="006D3F54"/>
    <w:rsid w:val="006D45A6"/>
    <w:rsid w:val="006D6386"/>
    <w:rsid w:val="006E16A9"/>
    <w:rsid w:val="006E1824"/>
    <w:rsid w:val="006E6A70"/>
    <w:rsid w:val="006F3251"/>
    <w:rsid w:val="006F66E4"/>
    <w:rsid w:val="0070270F"/>
    <w:rsid w:val="00702FE0"/>
    <w:rsid w:val="00705F9F"/>
    <w:rsid w:val="00711ADA"/>
    <w:rsid w:val="00712673"/>
    <w:rsid w:val="00712827"/>
    <w:rsid w:val="00714E7A"/>
    <w:rsid w:val="007158E2"/>
    <w:rsid w:val="007242A5"/>
    <w:rsid w:val="00727522"/>
    <w:rsid w:val="00733882"/>
    <w:rsid w:val="00737399"/>
    <w:rsid w:val="007446D9"/>
    <w:rsid w:val="0074772C"/>
    <w:rsid w:val="00756D2F"/>
    <w:rsid w:val="00757EAC"/>
    <w:rsid w:val="00762B44"/>
    <w:rsid w:val="007714F9"/>
    <w:rsid w:val="00782404"/>
    <w:rsid w:val="00784385"/>
    <w:rsid w:val="007844EC"/>
    <w:rsid w:val="007920B9"/>
    <w:rsid w:val="00793C60"/>
    <w:rsid w:val="0079753F"/>
    <w:rsid w:val="00797582"/>
    <w:rsid w:val="007A437C"/>
    <w:rsid w:val="007A64F7"/>
    <w:rsid w:val="007B3839"/>
    <w:rsid w:val="007D347A"/>
    <w:rsid w:val="007D670C"/>
    <w:rsid w:val="007E11B0"/>
    <w:rsid w:val="007E1694"/>
    <w:rsid w:val="007E3398"/>
    <w:rsid w:val="007F66E6"/>
    <w:rsid w:val="00801668"/>
    <w:rsid w:val="00803ECF"/>
    <w:rsid w:val="00803F37"/>
    <w:rsid w:val="0080480F"/>
    <w:rsid w:val="00811F1F"/>
    <w:rsid w:val="00813BDF"/>
    <w:rsid w:val="00815781"/>
    <w:rsid w:val="00821940"/>
    <w:rsid w:val="008219AF"/>
    <w:rsid w:val="00822F80"/>
    <w:rsid w:val="00826924"/>
    <w:rsid w:val="00827205"/>
    <w:rsid w:val="0083231D"/>
    <w:rsid w:val="0083458D"/>
    <w:rsid w:val="0083537A"/>
    <w:rsid w:val="0083755D"/>
    <w:rsid w:val="00841E5C"/>
    <w:rsid w:val="008532D4"/>
    <w:rsid w:val="008566C2"/>
    <w:rsid w:val="00857274"/>
    <w:rsid w:val="00862BAB"/>
    <w:rsid w:val="00870172"/>
    <w:rsid w:val="00871694"/>
    <w:rsid w:val="0087321F"/>
    <w:rsid w:val="00874500"/>
    <w:rsid w:val="008749DB"/>
    <w:rsid w:val="008759A8"/>
    <w:rsid w:val="0088712E"/>
    <w:rsid w:val="00891FCE"/>
    <w:rsid w:val="0089252F"/>
    <w:rsid w:val="00892F66"/>
    <w:rsid w:val="00896049"/>
    <w:rsid w:val="008970B5"/>
    <w:rsid w:val="008A352C"/>
    <w:rsid w:val="008A4B49"/>
    <w:rsid w:val="008A6115"/>
    <w:rsid w:val="008A77E0"/>
    <w:rsid w:val="008B0D44"/>
    <w:rsid w:val="008B4882"/>
    <w:rsid w:val="008B4CE4"/>
    <w:rsid w:val="008C088F"/>
    <w:rsid w:val="008C15C7"/>
    <w:rsid w:val="008C1DA0"/>
    <w:rsid w:val="008C355B"/>
    <w:rsid w:val="008D05F1"/>
    <w:rsid w:val="008E009D"/>
    <w:rsid w:val="008E0E1A"/>
    <w:rsid w:val="008F0072"/>
    <w:rsid w:val="008F2B6A"/>
    <w:rsid w:val="008F2E66"/>
    <w:rsid w:val="008F3C5C"/>
    <w:rsid w:val="009014DE"/>
    <w:rsid w:val="00901D0C"/>
    <w:rsid w:val="00902F64"/>
    <w:rsid w:val="009059C8"/>
    <w:rsid w:val="00906978"/>
    <w:rsid w:val="009109C7"/>
    <w:rsid w:val="0091410F"/>
    <w:rsid w:val="00923C1A"/>
    <w:rsid w:val="0092767B"/>
    <w:rsid w:val="00930158"/>
    <w:rsid w:val="009315D8"/>
    <w:rsid w:val="009408BE"/>
    <w:rsid w:val="00940C3A"/>
    <w:rsid w:val="00954D58"/>
    <w:rsid w:val="0096149B"/>
    <w:rsid w:val="00964B1B"/>
    <w:rsid w:val="0096544F"/>
    <w:rsid w:val="00971E30"/>
    <w:rsid w:val="00972058"/>
    <w:rsid w:val="009732CD"/>
    <w:rsid w:val="00977A74"/>
    <w:rsid w:val="00982815"/>
    <w:rsid w:val="00984C18"/>
    <w:rsid w:val="00996136"/>
    <w:rsid w:val="00996F92"/>
    <w:rsid w:val="009A5431"/>
    <w:rsid w:val="009A5AB2"/>
    <w:rsid w:val="009A5EEC"/>
    <w:rsid w:val="009A68F2"/>
    <w:rsid w:val="009B2F1B"/>
    <w:rsid w:val="009B2FB7"/>
    <w:rsid w:val="009B363C"/>
    <w:rsid w:val="009B5526"/>
    <w:rsid w:val="009C5981"/>
    <w:rsid w:val="009D21D9"/>
    <w:rsid w:val="009D2425"/>
    <w:rsid w:val="009D5493"/>
    <w:rsid w:val="009D7085"/>
    <w:rsid w:val="009D78DB"/>
    <w:rsid w:val="009E11FE"/>
    <w:rsid w:val="009E2876"/>
    <w:rsid w:val="009F01A1"/>
    <w:rsid w:val="009F6AED"/>
    <w:rsid w:val="00A04F98"/>
    <w:rsid w:val="00A056AC"/>
    <w:rsid w:val="00A062A9"/>
    <w:rsid w:val="00A077A4"/>
    <w:rsid w:val="00A12761"/>
    <w:rsid w:val="00A13FCB"/>
    <w:rsid w:val="00A27BDB"/>
    <w:rsid w:val="00A403E5"/>
    <w:rsid w:val="00A417CE"/>
    <w:rsid w:val="00A422BA"/>
    <w:rsid w:val="00A42E7C"/>
    <w:rsid w:val="00A676C5"/>
    <w:rsid w:val="00A676CB"/>
    <w:rsid w:val="00A70176"/>
    <w:rsid w:val="00A70730"/>
    <w:rsid w:val="00A70E76"/>
    <w:rsid w:val="00A73AFA"/>
    <w:rsid w:val="00A92934"/>
    <w:rsid w:val="00A94400"/>
    <w:rsid w:val="00A9454F"/>
    <w:rsid w:val="00A94DC8"/>
    <w:rsid w:val="00A96AFA"/>
    <w:rsid w:val="00AA0517"/>
    <w:rsid w:val="00AA583E"/>
    <w:rsid w:val="00AB2356"/>
    <w:rsid w:val="00AB4650"/>
    <w:rsid w:val="00AB53C5"/>
    <w:rsid w:val="00AC0B0B"/>
    <w:rsid w:val="00AD72CE"/>
    <w:rsid w:val="00AE2B1F"/>
    <w:rsid w:val="00AF38EE"/>
    <w:rsid w:val="00AF3C87"/>
    <w:rsid w:val="00AF4282"/>
    <w:rsid w:val="00B04584"/>
    <w:rsid w:val="00B07851"/>
    <w:rsid w:val="00B15098"/>
    <w:rsid w:val="00B20507"/>
    <w:rsid w:val="00B24FCC"/>
    <w:rsid w:val="00B26781"/>
    <w:rsid w:val="00B26D64"/>
    <w:rsid w:val="00B335F7"/>
    <w:rsid w:val="00B36280"/>
    <w:rsid w:val="00B3796D"/>
    <w:rsid w:val="00B4233E"/>
    <w:rsid w:val="00B441BE"/>
    <w:rsid w:val="00B4432D"/>
    <w:rsid w:val="00B45785"/>
    <w:rsid w:val="00B47839"/>
    <w:rsid w:val="00B53772"/>
    <w:rsid w:val="00B5456D"/>
    <w:rsid w:val="00B551DA"/>
    <w:rsid w:val="00B5548C"/>
    <w:rsid w:val="00B558B8"/>
    <w:rsid w:val="00B6032A"/>
    <w:rsid w:val="00B609BB"/>
    <w:rsid w:val="00B63309"/>
    <w:rsid w:val="00B67E48"/>
    <w:rsid w:val="00B76BD3"/>
    <w:rsid w:val="00B82A78"/>
    <w:rsid w:val="00B84A68"/>
    <w:rsid w:val="00B95534"/>
    <w:rsid w:val="00BA00B6"/>
    <w:rsid w:val="00BA0C71"/>
    <w:rsid w:val="00BA6CFD"/>
    <w:rsid w:val="00BB04D5"/>
    <w:rsid w:val="00BB12C0"/>
    <w:rsid w:val="00BB137C"/>
    <w:rsid w:val="00BB1844"/>
    <w:rsid w:val="00BB2982"/>
    <w:rsid w:val="00BB4ECC"/>
    <w:rsid w:val="00BC6252"/>
    <w:rsid w:val="00BD32BA"/>
    <w:rsid w:val="00BD4016"/>
    <w:rsid w:val="00BE01C7"/>
    <w:rsid w:val="00BF1EE3"/>
    <w:rsid w:val="00BF3BE5"/>
    <w:rsid w:val="00C01D1B"/>
    <w:rsid w:val="00C029A7"/>
    <w:rsid w:val="00C02F48"/>
    <w:rsid w:val="00C06076"/>
    <w:rsid w:val="00C1000E"/>
    <w:rsid w:val="00C13EB4"/>
    <w:rsid w:val="00C152B8"/>
    <w:rsid w:val="00C156D3"/>
    <w:rsid w:val="00C16163"/>
    <w:rsid w:val="00C171CA"/>
    <w:rsid w:val="00C204A2"/>
    <w:rsid w:val="00C24FF1"/>
    <w:rsid w:val="00C26A29"/>
    <w:rsid w:val="00C26FF3"/>
    <w:rsid w:val="00C27226"/>
    <w:rsid w:val="00C31E9A"/>
    <w:rsid w:val="00C32B7C"/>
    <w:rsid w:val="00C36897"/>
    <w:rsid w:val="00C40C59"/>
    <w:rsid w:val="00C4260D"/>
    <w:rsid w:val="00C43520"/>
    <w:rsid w:val="00C45072"/>
    <w:rsid w:val="00C500D8"/>
    <w:rsid w:val="00C51199"/>
    <w:rsid w:val="00C55673"/>
    <w:rsid w:val="00C67003"/>
    <w:rsid w:val="00C76DE2"/>
    <w:rsid w:val="00C811F5"/>
    <w:rsid w:val="00C83504"/>
    <w:rsid w:val="00C86BD1"/>
    <w:rsid w:val="00C87327"/>
    <w:rsid w:val="00C91667"/>
    <w:rsid w:val="00C92759"/>
    <w:rsid w:val="00CA0C19"/>
    <w:rsid w:val="00CA58CA"/>
    <w:rsid w:val="00CB0C01"/>
    <w:rsid w:val="00CB14E7"/>
    <w:rsid w:val="00CB186C"/>
    <w:rsid w:val="00CB3D26"/>
    <w:rsid w:val="00CB45D3"/>
    <w:rsid w:val="00CB66D4"/>
    <w:rsid w:val="00CC5C2E"/>
    <w:rsid w:val="00CC5F9D"/>
    <w:rsid w:val="00CC72E0"/>
    <w:rsid w:val="00CD06A8"/>
    <w:rsid w:val="00CD27BB"/>
    <w:rsid w:val="00CD2910"/>
    <w:rsid w:val="00CD46FA"/>
    <w:rsid w:val="00CD6ADA"/>
    <w:rsid w:val="00CD6FE5"/>
    <w:rsid w:val="00CD7E1A"/>
    <w:rsid w:val="00CE0162"/>
    <w:rsid w:val="00CE2271"/>
    <w:rsid w:val="00CE5B4A"/>
    <w:rsid w:val="00CF2263"/>
    <w:rsid w:val="00D01F0A"/>
    <w:rsid w:val="00D046D6"/>
    <w:rsid w:val="00D05ACC"/>
    <w:rsid w:val="00D07FC7"/>
    <w:rsid w:val="00D1174E"/>
    <w:rsid w:val="00D16225"/>
    <w:rsid w:val="00D177F9"/>
    <w:rsid w:val="00D22A6A"/>
    <w:rsid w:val="00D30601"/>
    <w:rsid w:val="00D313CC"/>
    <w:rsid w:val="00D320C3"/>
    <w:rsid w:val="00D40D69"/>
    <w:rsid w:val="00D40DE8"/>
    <w:rsid w:val="00D43843"/>
    <w:rsid w:val="00D44BA6"/>
    <w:rsid w:val="00D47A29"/>
    <w:rsid w:val="00D50D1E"/>
    <w:rsid w:val="00D64AA9"/>
    <w:rsid w:val="00D65CB8"/>
    <w:rsid w:val="00D67AF1"/>
    <w:rsid w:val="00D71E11"/>
    <w:rsid w:val="00D72F2A"/>
    <w:rsid w:val="00D83549"/>
    <w:rsid w:val="00D83BB7"/>
    <w:rsid w:val="00D874C0"/>
    <w:rsid w:val="00D905C0"/>
    <w:rsid w:val="00D94566"/>
    <w:rsid w:val="00D95B76"/>
    <w:rsid w:val="00D966D3"/>
    <w:rsid w:val="00DC0701"/>
    <w:rsid w:val="00DC0880"/>
    <w:rsid w:val="00DC1BFE"/>
    <w:rsid w:val="00DC2D42"/>
    <w:rsid w:val="00DC54F7"/>
    <w:rsid w:val="00DC59F4"/>
    <w:rsid w:val="00DD1935"/>
    <w:rsid w:val="00DD1B0A"/>
    <w:rsid w:val="00DD1B5C"/>
    <w:rsid w:val="00DD1BDB"/>
    <w:rsid w:val="00DD2684"/>
    <w:rsid w:val="00DD52A2"/>
    <w:rsid w:val="00DD71BE"/>
    <w:rsid w:val="00DE05C5"/>
    <w:rsid w:val="00DE368B"/>
    <w:rsid w:val="00DE52FD"/>
    <w:rsid w:val="00DF32D3"/>
    <w:rsid w:val="00E00037"/>
    <w:rsid w:val="00E01B16"/>
    <w:rsid w:val="00E0344D"/>
    <w:rsid w:val="00E06B94"/>
    <w:rsid w:val="00E105B0"/>
    <w:rsid w:val="00E114D2"/>
    <w:rsid w:val="00E1518C"/>
    <w:rsid w:val="00E16AD7"/>
    <w:rsid w:val="00E2016A"/>
    <w:rsid w:val="00E205A1"/>
    <w:rsid w:val="00E21A95"/>
    <w:rsid w:val="00E36DB6"/>
    <w:rsid w:val="00E4071F"/>
    <w:rsid w:val="00E418FB"/>
    <w:rsid w:val="00E4765B"/>
    <w:rsid w:val="00E52889"/>
    <w:rsid w:val="00E612E5"/>
    <w:rsid w:val="00E62F7B"/>
    <w:rsid w:val="00E64AF1"/>
    <w:rsid w:val="00E66DF0"/>
    <w:rsid w:val="00E67D7B"/>
    <w:rsid w:val="00E7101B"/>
    <w:rsid w:val="00E75714"/>
    <w:rsid w:val="00E771C8"/>
    <w:rsid w:val="00E83455"/>
    <w:rsid w:val="00E863B6"/>
    <w:rsid w:val="00E90AEC"/>
    <w:rsid w:val="00E9206A"/>
    <w:rsid w:val="00E9576B"/>
    <w:rsid w:val="00E96531"/>
    <w:rsid w:val="00EA1AD0"/>
    <w:rsid w:val="00EA227B"/>
    <w:rsid w:val="00EA25A9"/>
    <w:rsid w:val="00EA66EC"/>
    <w:rsid w:val="00EB5049"/>
    <w:rsid w:val="00EC4AE9"/>
    <w:rsid w:val="00ED36E3"/>
    <w:rsid w:val="00ED42A7"/>
    <w:rsid w:val="00ED46E2"/>
    <w:rsid w:val="00EE07C2"/>
    <w:rsid w:val="00EE2A19"/>
    <w:rsid w:val="00EE75FB"/>
    <w:rsid w:val="00EE7C05"/>
    <w:rsid w:val="00EF1109"/>
    <w:rsid w:val="00EF1A5C"/>
    <w:rsid w:val="00EF3986"/>
    <w:rsid w:val="00EF3CD5"/>
    <w:rsid w:val="00EF5B16"/>
    <w:rsid w:val="00EF6541"/>
    <w:rsid w:val="00EF733E"/>
    <w:rsid w:val="00F03399"/>
    <w:rsid w:val="00F03E23"/>
    <w:rsid w:val="00F05E5E"/>
    <w:rsid w:val="00F12249"/>
    <w:rsid w:val="00F14CBA"/>
    <w:rsid w:val="00F14DCD"/>
    <w:rsid w:val="00F17A56"/>
    <w:rsid w:val="00F239C6"/>
    <w:rsid w:val="00F3087B"/>
    <w:rsid w:val="00F324E6"/>
    <w:rsid w:val="00F33948"/>
    <w:rsid w:val="00F34856"/>
    <w:rsid w:val="00F37663"/>
    <w:rsid w:val="00F405A5"/>
    <w:rsid w:val="00F53855"/>
    <w:rsid w:val="00F54353"/>
    <w:rsid w:val="00F656CD"/>
    <w:rsid w:val="00F92599"/>
    <w:rsid w:val="00F92763"/>
    <w:rsid w:val="00FA190B"/>
    <w:rsid w:val="00FA4E55"/>
    <w:rsid w:val="00FA7686"/>
    <w:rsid w:val="00FB242C"/>
    <w:rsid w:val="00FB450F"/>
    <w:rsid w:val="00FB4A32"/>
    <w:rsid w:val="00FB65E3"/>
    <w:rsid w:val="00FC1E43"/>
    <w:rsid w:val="00FD07D2"/>
    <w:rsid w:val="00FD4319"/>
    <w:rsid w:val="00FE12F8"/>
    <w:rsid w:val="00FE16F9"/>
    <w:rsid w:val="00FE40BB"/>
    <w:rsid w:val="00FE5FB1"/>
    <w:rsid w:val="00FE6D8A"/>
    <w:rsid w:val="00FF1DD3"/>
    <w:rsid w:val="00FF3F2C"/>
    <w:rsid w:val="00FF7F11"/>
    <w:rsid w:val="0491123E"/>
    <w:rsid w:val="0734DA10"/>
    <w:rsid w:val="0D8ED1AE"/>
    <w:rsid w:val="13844704"/>
    <w:rsid w:val="1D34CB8B"/>
    <w:rsid w:val="24988EA7"/>
    <w:rsid w:val="274189BD"/>
    <w:rsid w:val="2C8A3A22"/>
    <w:rsid w:val="2CB91092"/>
    <w:rsid w:val="2E1065D8"/>
    <w:rsid w:val="3B0E67AA"/>
    <w:rsid w:val="3F44222B"/>
    <w:rsid w:val="41CAC61A"/>
    <w:rsid w:val="4EB3F75D"/>
    <w:rsid w:val="51765A77"/>
    <w:rsid w:val="51F1A64C"/>
    <w:rsid w:val="550FA37A"/>
    <w:rsid w:val="5A2CAD9A"/>
    <w:rsid w:val="6304B89A"/>
    <w:rsid w:val="6357AD5A"/>
    <w:rsid w:val="67F4228A"/>
    <w:rsid w:val="70030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AC6E8"/>
  <w15:docId w15:val="{8276690B-B6A7-4DAF-B22C-C2F5BF8E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120"/>
      <w:outlineLvl w:val="1"/>
    </w:pPr>
    <w:rPr>
      <w:color w:val="00292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970B5"/>
    <w:pPr>
      <w:tabs>
        <w:tab w:val="center" w:pos="4680"/>
        <w:tab w:val="right" w:pos="9360"/>
      </w:tabs>
    </w:pPr>
  </w:style>
  <w:style w:type="character" w:customStyle="1" w:styleId="HeaderChar">
    <w:name w:val="Header Char"/>
    <w:basedOn w:val="DefaultParagraphFont"/>
    <w:link w:val="Header"/>
    <w:uiPriority w:val="99"/>
    <w:rsid w:val="008970B5"/>
  </w:style>
  <w:style w:type="paragraph" w:styleId="Footer">
    <w:name w:val="footer"/>
    <w:basedOn w:val="Normal"/>
    <w:link w:val="FooterChar"/>
    <w:uiPriority w:val="99"/>
    <w:unhideWhenUsed/>
    <w:rsid w:val="008970B5"/>
    <w:pPr>
      <w:tabs>
        <w:tab w:val="center" w:pos="4680"/>
        <w:tab w:val="right" w:pos="9360"/>
      </w:tabs>
    </w:pPr>
  </w:style>
  <w:style w:type="character" w:customStyle="1" w:styleId="FooterChar">
    <w:name w:val="Footer Char"/>
    <w:basedOn w:val="DefaultParagraphFont"/>
    <w:link w:val="Footer"/>
    <w:uiPriority w:val="99"/>
    <w:rsid w:val="008970B5"/>
  </w:style>
  <w:style w:type="character" w:styleId="CommentReference">
    <w:name w:val="annotation reference"/>
    <w:basedOn w:val="DefaultParagraphFont"/>
    <w:uiPriority w:val="99"/>
    <w:semiHidden/>
    <w:unhideWhenUsed/>
    <w:rsid w:val="00A403E5"/>
    <w:rPr>
      <w:sz w:val="16"/>
      <w:szCs w:val="16"/>
    </w:rPr>
  </w:style>
  <w:style w:type="paragraph" w:styleId="CommentText">
    <w:name w:val="annotation text"/>
    <w:basedOn w:val="Normal"/>
    <w:link w:val="CommentTextChar"/>
    <w:uiPriority w:val="99"/>
    <w:unhideWhenUsed/>
    <w:rsid w:val="00A403E5"/>
    <w:rPr>
      <w:sz w:val="20"/>
      <w:szCs w:val="20"/>
    </w:rPr>
  </w:style>
  <w:style w:type="character" w:customStyle="1" w:styleId="CommentTextChar">
    <w:name w:val="Comment Text Char"/>
    <w:basedOn w:val="DefaultParagraphFont"/>
    <w:link w:val="CommentText"/>
    <w:uiPriority w:val="99"/>
    <w:rsid w:val="00A403E5"/>
    <w:rPr>
      <w:sz w:val="20"/>
      <w:szCs w:val="20"/>
    </w:rPr>
  </w:style>
  <w:style w:type="paragraph" w:styleId="CommentSubject">
    <w:name w:val="annotation subject"/>
    <w:basedOn w:val="CommentText"/>
    <w:next w:val="CommentText"/>
    <w:link w:val="CommentSubjectChar"/>
    <w:uiPriority w:val="99"/>
    <w:semiHidden/>
    <w:unhideWhenUsed/>
    <w:rsid w:val="00A403E5"/>
    <w:rPr>
      <w:b/>
      <w:bCs/>
    </w:rPr>
  </w:style>
  <w:style w:type="character" w:customStyle="1" w:styleId="CommentSubjectChar">
    <w:name w:val="Comment Subject Char"/>
    <w:basedOn w:val="CommentTextChar"/>
    <w:link w:val="CommentSubject"/>
    <w:uiPriority w:val="99"/>
    <w:semiHidden/>
    <w:rsid w:val="00A403E5"/>
    <w:rPr>
      <w:b/>
      <w:bCs/>
      <w:sz w:val="20"/>
      <w:szCs w:val="20"/>
    </w:rPr>
  </w:style>
  <w:style w:type="character" w:styleId="Mention">
    <w:name w:val="Mention"/>
    <w:basedOn w:val="DefaultParagraphFont"/>
    <w:uiPriority w:val="99"/>
    <w:unhideWhenUsed/>
    <w:rsid w:val="00A403E5"/>
    <w:rPr>
      <w:color w:val="2B579A"/>
      <w:shd w:val="clear" w:color="auto" w:fill="E1DFDD"/>
    </w:rPr>
  </w:style>
  <w:style w:type="character" w:styleId="FollowedHyperlink">
    <w:name w:val="FollowedHyperlink"/>
    <w:basedOn w:val="DefaultParagraphFont"/>
    <w:uiPriority w:val="99"/>
    <w:semiHidden/>
    <w:unhideWhenUsed/>
    <w:rsid w:val="0014021A"/>
    <w:rPr>
      <w:color w:val="96607D" w:themeColor="followedHyperlink"/>
      <w:u w:val="single"/>
    </w:rPr>
  </w:style>
  <w:style w:type="character" w:styleId="UnresolvedMention">
    <w:name w:val="Unresolved Mention"/>
    <w:basedOn w:val="DefaultParagraphFont"/>
    <w:uiPriority w:val="99"/>
    <w:semiHidden/>
    <w:unhideWhenUsed/>
    <w:rsid w:val="00C92759"/>
    <w:rPr>
      <w:color w:val="605E5C"/>
      <w:shd w:val="clear" w:color="auto" w:fill="E1DFDD"/>
    </w:rPr>
  </w:style>
  <w:style w:type="paragraph" w:styleId="Revision">
    <w:name w:val="Revision"/>
    <w:hidden/>
    <w:uiPriority w:val="99"/>
    <w:semiHidden/>
    <w:rsid w:val="00235E8A"/>
  </w:style>
  <w:style w:type="table" w:styleId="GridTable4">
    <w:name w:val="Grid Table 4"/>
    <w:basedOn w:val="TableNormal"/>
    <w:uiPriority w:val="49"/>
    <w:rsid w:val="00DD1B0A"/>
    <w:rPr>
      <w:rFonts w:asciiTheme="minorHAnsi" w:eastAsiaTheme="minorHAnsi" w:hAnsiTheme="minorHAnsi" w:cstheme="minorBidi"/>
      <w:kern w:val="2"/>
      <w:sz w:val="24"/>
      <w:szCs w:val="24"/>
      <w:lang w:val="en-GB"/>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32B7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font-claude-response-body">
    <w:name w:val="font-claude-response-body"/>
    <w:basedOn w:val="Normal"/>
    <w:rsid w:val="006B58B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ubmed.ncbi.nlm.nih.gov/36309131/"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liebertpub.com/doi/10.1089/cbr.2022.0028"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thelancet.com/journals/lanonc/article/PIIS1470-2045(25"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nm.snmjournals.org/content/early/2026/04/30/jnumed.125.271933" TargetMode="External"/><Relationship Id="rId5" Type="http://schemas.openxmlformats.org/officeDocument/2006/relationships/styles" Target="styles.xml"/><Relationship Id="rId15" Type="http://schemas.openxmlformats.org/officeDocument/2006/relationships/hyperlink" Target="https://pmc.ncbi.nlm.nih.gov/articles/PMC12629902/" TargetMode="External"/><Relationship Id="rId10" Type="http://schemas.openxmlformats.org/officeDocument/2006/relationships/hyperlink" Target="https://pubmed.ncbi.nlm.nih.gov/40571760/"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ubmed.ncbi.nlm.nih.gov/16369486/"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6EABB8B3F65B47BE025CC264113219" ma:contentTypeVersion="11" ma:contentTypeDescription="Create a new document." ma:contentTypeScope="" ma:versionID="372fbf92ab6f4a46db1f5cd6be12afea">
  <xsd:schema xmlns:xsd="http://www.w3.org/2001/XMLSchema" xmlns:xs="http://www.w3.org/2001/XMLSchema" xmlns:p="http://schemas.microsoft.com/office/2006/metadata/properties" xmlns:ns2="17a099e9-2c6f-4eed-a731-aa23c2084e1b" xmlns:ns3="9b41257d-d9f1-45d2-83fb-79c2dd89ff18" targetNamespace="http://schemas.microsoft.com/office/2006/metadata/properties" ma:root="true" ma:fieldsID="16bf60042c9b3853215886f36ce98b21" ns2:_="" ns3:_="">
    <xsd:import namespace="17a099e9-2c6f-4eed-a731-aa23c2084e1b"/>
    <xsd:import namespace="9b41257d-d9f1-45d2-83fb-79c2dd89ff1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099e9-2c6f-4eed-a731-aa23c2084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d5e21b9-9a91-448a-b7da-1ab90cd0a9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1257d-d9f1-45d2-83fb-79c2dd89ff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56a1f0-8357-4b64-86fd-fd0a5fd73875}" ma:internalName="TaxCatchAll" ma:showField="CatchAllData" ma:web="9b41257d-d9f1-45d2-83fb-79c2dd89ff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b41257d-d9f1-45d2-83fb-79c2dd89ff18" xsi:nil="true"/>
    <lcf76f155ced4ddcb4097134ff3c332f xmlns="17a099e9-2c6f-4eed-a731-aa23c2084e1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3BAF20-0E23-4A45-B4EB-508790934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099e9-2c6f-4eed-a731-aa23c2084e1b"/>
    <ds:schemaRef ds:uri="9b41257d-d9f1-45d2-83fb-79c2dd89ff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EA6C40-F859-4472-8B98-9386EF029801}">
  <ds:schemaRefs>
    <ds:schemaRef ds:uri="http://schemas.microsoft.com/office/2006/metadata/properties"/>
    <ds:schemaRef ds:uri="http://schemas.microsoft.com/office/infopath/2007/PartnerControls"/>
    <ds:schemaRef ds:uri="9b41257d-d9f1-45d2-83fb-79c2dd89ff18"/>
    <ds:schemaRef ds:uri="17a099e9-2c6f-4eed-a731-aa23c2084e1b"/>
  </ds:schemaRefs>
</ds:datastoreItem>
</file>

<file path=customXml/itemProps3.xml><?xml version="1.0" encoding="utf-8"?>
<ds:datastoreItem xmlns:ds="http://schemas.openxmlformats.org/officeDocument/2006/customXml" ds:itemID="{4C84E77F-E00C-4ADC-B1F8-8F68215F10B3}">
  <ds:schemaRefs>
    <ds:schemaRef ds:uri="http://schemas.microsoft.com/sharepoint/v3/contenttype/forms"/>
  </ds:schemaRefs>
</ds:datastoreItem>
</file>

<file path=docMetadata/LabelInfo.xml><?xml version="1.0" encoding="utf-8"?>
<clbl:labelList xmlns:clbl="http://schemas.microsoft.com/office/2020/mipLabelMetadata">
  <clbl:label id="{0d74513f-0122-4961-9f9d-1b0308a15633}" enabled="1" method="Standard" siteId="{0ef4dffa-8c77-49f6-a7ba-d33398e9a997}" removed="0"/>
</clbl:labelList>
</file>

<file path=docProps/app.xml><?xml version="1.0" encoding="utf-8"?>
<Properties xmlns="http://schemas.openxmlformats.org/officeDocument/2006/extended-properties" xmlns:vt="http://schemas.openxmlformats.org/officeDocument/2006/docPropsVTypes">
  <Template>Normal</Template>
  <TotalTime>1967</TotalTime>
  <Pages>9</Pages>
  <Words>2977</Words>
  <Characters>17154</Characters>
  <Application>Microsoft Office Word</Application>
  <DocSecurity>0</DocSecurity>
  <Lines>343</Lines>
  <Paragraphs>114</Paragraphs>
  <ScaleCrop>false</ScaleCrop>
  <Company/>
  <LinksUpToDate>false</LinksUpToDate>
  <CharactersWithSpaces>20108</CharactersWithSpaces>
  <SharedDoc>false</SharedDoc>
  <HLinks>
    <vt:vector size="180" baseType="variant">
      <vt:variant>
        <vt:i4>3670112</vt:i4>
      </vt:variant>
      <vt:variant>
        <vt:i4>30</vt:i4>
      </vt:variant>
      <vt:variant>
        <vt:i4>0</vt:i4>
      </vt:variant>
      <vt:variant>
        <vt:i4>5</vt:i4>
      </vt:variant>
      <vt:variant>
        <vt:lpwstr>https://www.thelancet.com/journals/lanonc/article/PIIS1470-2045(25</vt:lpwstr>
      </vt:variant>
      <vt:variant>
        <vt:lpwstr/>
      </vt:variant>
      <vt:variant>
        <vt:i4>3932200</vt:i4>
      </vt:variant>
      <vt:variant>
        <vt:i4>27</vt:i4>
      </vt:variant>
      <vt:variant>
        <vt:i4>0</vt:i4>
      </vt:variant>
      <vt:variant>
        <vt:i4>5</vt:i4>
      </vt:variant>
      <vt:variant>
        <vt:lpwstr>https://pmc.ncbi.nlm.nih.gov/articles/PMC12629902/</vt:lpwstr>
      </vt:variant>
      <vt:variant>
        <vt:lpwstr/>
      </vt:variant>
      <vt:variant>
        <vt:i4>7929953</vt:i4>
      </vt:variant>
      <vt:variant>
        <vt:i4>24</vt:i4>
      </vt:variant>
      <vt:variant>
        <vt:i4>0</vt:i4>
      </vt:variant>
      <vt:variant>
        <vt:i4>5</vt:i4>
      </vt:variant>
      <vt:variant>
        <vt:lpwstr>https://insight.jci.org/articles/view/99880</vt:lpwstr>
      </vt:variant>
      <vt:variant>
        <vt:lpwstr/>
      </vt:variant>
      <vt:variant>
        <vt:i4>524292</vt:i4>
      </vt:variant>
      <vt:variant>
        <vt:i4>21</vt:i4>
      </vt:variant>
      <vt:variant>
        <vt:i4>0</vt:i4>
      </vt:variant>
      <vt:variant>
        <vt:i4>5</vt:i4>
      </vt:variant>
      <vt:variant>
        <vt:lpwstr>https://pubmed.ncbi.nlm.nih.gov/16369486/</vt:lpwstr>
      </vt:variant>
      <vt:variant>
        <vt:lpwstr/>
      </vt:variant>
      <vt:variant>
        <vt:i4>786445</vt:i4>
      </vt:variant>
      <vt:variant>
        <vt:i4>18</vt:i4>
      </vt:variant>
      <vt:variant>
        <vt:i4>0</vt:i4>
      </vt:variant>
      <vt:variant>
        <vt:i4>5</vt:i4>
      </vt:variant>
      <vt:variant>
        <vt:lpwstr>https://pubmed.ncbi.nlm.nih.gov/36309131/</vt:lpwstr>
      </vt:variant>
      <vt:variant>
        <vt:lpwstr/>
      </vt:variant>
      <vt:variant>
        <vt:i4>65625</vt:i4>
      </vt:variant>
      <vt:variant>
        <vt:i4>15</vt:i4>
      </vt:variant>
      <vt:variant>
        <vt:i4>0</vt:i4>
      </vt:variant>
      <vt:variant>
        <vt:i4>5</vt:i4>
      </vt:variant>
      <vt:variant>
        <vt:lpwstr>https://www.liebertpub.com/doi/10.1089/cbr.2022.0028</vt:lpwstr>
      </vt:variant>
      <vt:variant>
        <vt:lpwstr/>
      </vt:variant>
      <vt:variant>
        <vt:i4>4063276</vt:i4>
      </vt:variant>
      <vt:variant>
        <vt:i4>12</vt:i4>
      </vt:variant>
      <vt:variant>
        <vt:i4>0</vt:i4>
      </vt:variant>
      <vt:variant>
        <vt:i4>5</vt:i4>
      </vt:variant>
      <vt:variant>
        <vt:lpwstr>https://www.annalsofoncology.org/article/S0923-7534%2822%2900003-5/fulltext</vt:lpwstr>
      </vt:variant>
      <vt:variant>
        <vt:lpwstr/>
      </vt:variant>
      <vt:variant>
        <vt:i4>7667832</vt:i4>
      </vt:variant>
      <vt:variant>
        <vt:i4>9</vt:i4>
      </vt:variant>
      <vt:variant>
        <vt:i4>0</vt:i4>
      </vt:variant>
      <vt:variant>
        <vt:i4>5</vt:i4>
      </vt:variant>
      <vt:variant>
        <vt:lpwstr>https://jnm.snmjournals.org/content/early/2026/04/30/jnumed.125.271933</vt:lpwstr>
      </vt:variant>
      <vt:variant>
        <vt:lpwstr/>
      </vt:variant>
      <vt:variant>
        <vt:i4>655361</vt:i4>
      </vt:variant>
      <vt:variant>
        <vt:i4>6</vt:i4>
      </vt:variant>
      <vt:variant>
        <vt:i4>0</vt:i4>
      </vt:variant>
      <vt:variant>
        <vt:i4>5</vt:i4>
      </vt:variant>
      <vt:variant>
        <vt:lpwstr>https://pubmed.ncbi.nlm.nih.gov/40571760/</vt:lpwstr>
      </vt:variant>
      <vt:variant>
        <vt:lpwstr/>
      </vt:variant>
      <vt:variant>
        <vt:i4>5177459</vt:i4>
      </vt:variant>
      <vt:variant>
        <vt:i4>3</vt:i4>
      </vt:variant>
      <vt:variant>
        <vt:i4>0</vt:i4>
      </vt:variant>
      <vt:variant>
        <vt:i4>5</vt:i4>
      </vt:variant>
      <vt:variant>
        <vt:lpwstr>https://ascopubs.org/doi/10.1200/JCO.2024.42.16_suppl.5010</vt:lpwstr>
      </vt:variant>
      <vt:variant>
        <vt:lpwstr/>
      </vt:variant>
      <vt:variant>
        <vt:i4>6291498</vt:i4>
      </vt:variant>
      <vt:variant>
        <vt:i4>0</vt:i4>
      </vt:variant>
      <vt:variant>
        <vt:i4>0</vt:i4>
      </vt:variant>
      <vt:variant>
        <vt:i4>5</vt:i4>
      </vt:variant>
      <vt:variant>
        <vt:lpwstr>https://www.urotoday.com/conference-highlights/2025-ucsf-ucla-psma-conference/159332-psma-and-beyond-2025-overview-of-clinical-trials-of-psma-rlt-in-2025.html</vt:lpwstr>
      </vt:variant>
      <vt:variant>
        <vt:lpwstr/>
      </vt:variant>
      <vt:variant>
        <vt:i4>2818079</vt:i4>
      </vt:variant>
      <vt:variant>
        <vt:i4>54</vt:i4>
      </vt:variant>
      <vt:variant>
        <vt:i4>0</vt:i4>
      </vt:variant>
      <vt:variant>
        <vt:i4>5</vt:i4>
      </vt:variant>
      <vt:variant>
        <vt:lpwstr>mailto:JVirk@segotx.com</vt:lpwstr>
      </vt:variant>
      <vt:variant>
        <vt:lpwstr/>
      </vt:variant>
      <vt:variant>
        <vt:i4>5439615</vt:i4>
      </vt:variant>
      <vt:variant>
        <vt:i4>51</vt:i4>
      </vt:variant>
      <vt:variant>
        <vt:i4>0</vt:i4>
      </vt:variant>
      <vt:variant>
        <vt:i4>5</vt:i4>
      </vt:variant>
      <vt:variant>
        <vt:lpwstr>mailto:GMullen@segotx.com</vt:lpwstr>
      </vt:variant>
      <vt:variant>
        <vt:lpwstr/>
      </vt:variant>
      <vt:variant>
        <vt:i4>2818079</vt:i4>
      </vt:variant>
      <vt:variant>
        <vt:i4>48</vt:i4>
      </vt:variant>
      <vt:variant>
        <vt:i4>0</vt:i4>
      </vt:variant>
      <vt:variant>
        <vt:i4>5</vt:i4>
      </vt:variant>
      <vt:variant>
        <vt:lpwstr>mailto:JVirk@segotx.com</vt:lpwstr>
      </vt:variant>
      <vt:variant>
        <vt:lpwstr/>
      </vt:variant>
      <vt:variant>
        <vt:i4>5439615</vt:i4>
      </vt:variant>
      <vt:variant>
        <vt:i4>45</vt:i4>
      </vt:variant>
      <vt:variant>
        <vt:i4>0</vt:i4>
      </vt:variant>
      <vt:variant>
        <vt:i4>5</vt:i4>
      </vt:variant>
      <vt:variant>
        <vt:lpwstr>mailto:GMullen@segotx.com</vt:lpwstr>
      </vt:variant>
      <vt:variant>
        <vt:lpwstr/>
      </vt:variant>
      <vt:variant>
        <vt:i4>3145759</vt:i4>
      </vt:variant>
      <vt:variant>
        <vt:i4>42</vt:i4>
      </vt:variant>
      <vt:variant>
        <vt:i4>0</vt:i4>
      </vt:variant>
      <vt:variant>
        <vt:i4>5</vt:i4>
      </vt:variant>
      <vt:variant>
        <vt:lpwstr>mailto:BLevin@segotx.com</vt:lpwstr>
      </vt:variant>
      <vt:variant>
        <vt:lpwstr/>
      </vt:variant>
      <vt:variant>
        <vt:i4>5439615</vt:i4>
      </vt:variant>
      <vt:variant>
        <vt:i4>39</vt:i4>
      </vt:variant>
      <vt:variant>
        <vt:i4>0</vt:i4>
      </vt:variant>
      <vt:variant>
        <vt:i4>5</vt:i4>
      </vt:variant>
      <vt:variant>
        <vt:lpwstr>mailto:GMullen@segotx.com</vt:lpwstr>
      </vt:variant>
      <vt:variant>
        <vt:lpwstr/>
      </vt:variant>
      <vt:variant>
        <vt:i4>5439615</vt:i4>
      </vt:variant>
      <vt:variant>
        <vt:i4>36</vt:i4>
      </vt:variant>
      <vt:variant>
        <vt:i4>0</vt:i4>
      </vt:variant>
      <vt:variant>
        <vt:i4>5</vt:i4>
      </vt:variant>
      <vt:variant>
        <vt:lpwstr>mailto:GMullen@segotx.com</vt:lpwstr>
      </vt:variant>
      <vt:variant>
        <vt:lpwstr/>
      </vt:variant>
      <vt:variant>
        <vt:i4>5505131</vt:i4>
      </vt:variant>
      <vt:variant>
        <vt:i4>33</vt:i4>
      </vt:variant>
      <vt:variant>
        <vt:i4>0</vt:i4>
      </vt:variant>
      <vt:variant>
        <vt:i4>5</vt:i4>
      </vt:variant>
      <vt:variant>
        <vt:lpwstr>mailto:RTavare@segotx.com</vt:lpwstr>
      </vt:variant>
      <vt:variant>
        <vt:lpwstr/>
      </vt:variant>
      <vt:variant>
        <vt:i4>2818079</vt:i4>
      </vt:variant>
      <vt:variant>
        <vt:i4>30</vt:i4>
      </vt:variant>
      <vt:variant>
        <vt:i4>0</vt:i4>
      </vt:variant>
      <vt:variant>
        <vt:i4>5</vt:i4>
      </vt:variant>
      <vt:variant>
        <vt:lpwstr>mailto:JVirk@segotx.com</vt:lpwstr>
      </vt:variant>
      <vt:variant>
        <vt:lpwstr/>
      </vt:variant>
      <vt:variant>
        <vt:i4>5505131</vt:i4>
      </vt:variant>
      <vt:variant>
        <vt:i4>27</vt:i4>
      </vt:variant>
      <vt:variant>
        <vt:i4>0</vt:i4>
      </vt:variant>
      <vt:variant>
        <vt:i4>5</vt:i4>
      </vt:variant>
      <vt:variant>
        <vt:lpwstr>mailto:RTavare@segotx.com</vt:lpwstr>
      </vt:variant>
      <vt:variant>
        <vt:lpwstr/>
      </vt:variant>
      <vt:variant>
        <vt:i4>5505131</vt:i4>
      </vt:variant>
      <vt:variant>
        <vt:i4>24</vt:i4>
      </vt:variant>
      <vt:variant>
        <vt:i4>0</vt:i4>
      </vt:variant>
      <vt:variant>
        <vt:i4>5</vt:i4>
      </vt:variant>
      <vt:variant>
        <vt:lpwstr>mailto:RTavare@segotx.com</vt:lpwstr>
      </vt:variant>
      <vt:variant>
        <vt:lpwstr/>
      </vt:variant>
      <vt:variant>
        <vt:i4>5505131</vt:i4>
      </vt:variant>
      <vt:variant>
        <vt:i4>21</vt:i4>
      </vt:variant>
      <vt:variant>
        <vt:i4>0</vt:i4>
      </vt:variant>
      <vt:variant>
        <vt:i4>5</vt:i4>
      </vt:variant>
      <vt:variant>
        <vt:lpwstr>mailto:RTavare@segotx.com</vt:lpwstr>
      </vt:variant>
      <vt:variant>
        <vt:lpwstr/>
      </vt:variant>
      <vt:variant>
        <vt:i4>5439615</vt:i4>
      </vt:variant>
      <vt:variant>
        <vt:i4>18</vt:i4>
      </vt:variant>
      <vt:variant>
        <vt:i4>0</vt:i4>
      </vt:variant>
      <vt:variant>
        <vt:i4>5</vt:i4>
      </vt:variant>
      <vt:variant>
        <vt:lpwstr>mailto:GMullen@segotx.com</vt:lpwstr>
      </vt:variant>
      <vt:variant>
        <vt:lpwstr/>
      </vt:variant>
      <vt:variant>
        <vt:i4>5505131</vt:i4>
      </vt:variant>
      <vt:variant>
        <vt:i4>15</vt:i4>
      </vt:variant>
      <vt:variant>
        <vt:i4>0</vt:i4>
      </vt:variant>
      <vt:variant>
        <vt:i4>5</vt:i4>
      </vt:variant>
      <vt:variant>
        <vt:lpwstr>mailto:RTavare@segotx.com</vt:lpwstr>
      </vt:variant>
      <vt:variant>
        <vt:lpwstr/>
      </vt:variant>
      <vt:variant>
        <vt:i4>5505131</vt:i4>
      </vt:variant>
      <vt:variant>
        <vt:i4>12</vt:i4>
      </vt:variant>
      <vt:variant>
        <vt:i4>0</vt:i4>
      </vt:variant>
      <vt:variant>
        <vt:i4>5</vt:i4>
      </vt:variant>
      <vt:variant>
        <vt:lpwstr>mailto:RTavare@segotx.com</vt:lpwstr>
      </vt:variant>
      <vt:variant>
        <vt:lpwstr/>
      </vt:variant>
      <vt:variant>
        <vt:i4>5439615</vt:i4>
      </vt:variant>
      <vt:variant>
        <vt:i4>9</vt:i4>
      </vt:variant>
      <vt:variant>
        <vt:i4>0</vt:i4>
      </vt:variant>
      <vt:variant>
        <vt:i4>5</vt:i4>
      </vt:variant>
      <vt:variant>
        <vt:lpwstr>mailto:GMullen@segotx.com</vt:lpwstr>
      </vt:variant>
      <vt:variant>
        <vt:lpwstr/>
      </vt:variant>
      <vt:variant>
        <vt:i4>2818079</vt:i4>
      </vt:variant>
      <vt:variant>
        <vt:i4>6</vt:i4>
      </vt:variant>
      <vt:variant>
        <vt:i4>0</vt:i4>
      </vt:variant>
      <vt:variant>
        <vt:i4>5</vt:i4>
      </vt:variant>
      <vt:variant>
        <vt:lpwstr>mailto:JVirk@segotx.com</vt:lpwstr>
      </vt:variant>
      <vt:variant>
        <vt:lpwstr/>
      </vt:variant>
      <vt:variant>
        <vt:i4>2818079</vt:i4>
      </vt:variant>
      <vt:variant>
        <vt:i4>3</vt:i4>
      </vt:variant>
      <vt:variant>
        <vt:i4>0</vt:i4>
      </vt:variant>
      <vt:variant>
        <vt:i4>5</vt:i4>
      </vt:variant>
      <vt:variant>
        <vt:lpwstr>mailto:JVirk@segotx.com</vt:lpwstr>
      </vt:variant>
      <vt:variant>
        <vt:lpwstr/>
      </vt:variant>
      <vt:variant>
        <vt:i4>5505131</vt:i4>
      </vt:variant>
      <vt:variant>
        <vt:i4>0</vt:i4>
      </vt:variant>
      <vt:variant>
        <vt:i4>0</vt:i4>
      </vt:variant>
      <vt:variant>
        <vt:i4>5</vt:i4>
      </vt:variant>
      <vt:variant>
        <vt:lpwstr>mailto:RTavare@segotx.com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Becca Levin</cp:lastModifiedBy>
  <cp:revision>320</cp:revision>
  <dcterms:created xsi:type="dcterms:W3CDTF">2026-05-20T19:32:00Z</dcterms:created>
  <dcterms:modified xsi:type="dcterms:W3CDTF">2026-05-27T16:20:00Z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0x010100556EABB8B3F65B47BE025CC264113219</vt:lpwstr>
  </property>
  <property fmtid="{D5CDD505-2E9C-101B-9397-08002B2CF9AE}" pid="3" name="MediaServiceImageTags">
    <vt:lpwstr/>
  </property>
  <property fmtid="{D5CDD505-2E9C-101B-9397-08002B2CF9AE}" pid="4" name="docLang">
    <vt:lpwstr>en</vt:lpwstr>
  </property>
  <property fmtid="{D5CDD505-2E9C-101B-9397-08002B2CF9AE}" pid="5" name="ClassificationContentMarkingFooterShapeIds">
    <vt:lpwstr>7e3a39a9,68deef87,305b3386</vt:lpwstr>
  </property>
  <property fmtid="{D5CDD505-2E9C-101B-9397-08002B2CF9AE}" pid="6" name="ClassificationContentMarkingFooterFontProps">
    <vt:lpwstr>#000000,8,Aptos</vt:lpwstr>
  </property>
  <property fmtid="{D5CDD505-2E9C-101B-9397-08002B2CF9AE}" pid="7" name="ClassificationContentMarkingFooterText">
    <vt:lpwstr>Confidential</vt:lpwstr>
  </property>
</Properties>
</file>