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9A8A" w14:textId="77777777" w:rsidR="008965F9" w:rsidRDefault="00000000">
      <w:pPr>
        <w:pStyle w:val="Heading1"/>
        <w:spacing w:after="200"/>
      </w:pPr>
      <w:r>
        <w:t>DD Question Compilation: Clinical Programs by Target</w:t>
      </w:r>
    </w:p>
    <w:p w14:paraId="558C9A8B" w14:textId="77777777" w:rsidR="008965F9" w:rsidRDefault="00000000">
      <w:pPr>
        <w:spacing w:after="100"/>
      </w:pPr>
      <w:r>
        <w:rPr>
          <w:color w:val="666666"/>
          <w:sz w:val="22"/>
          <w:szCs w:val="22"/>
        </w:rPr>
        <w:t>CEACAM5 | KLK2 | CLDN1 | MUC1-C</w:t>
      </w:r>
    </w:p>
    <w:p w14:paraId="558C9A8C" w14:textId="77777777" w:rsidR="008965F9" w:rsidRDefault="00000000">
      <w:pPr>
        <w:spacing w:after="300"/>
      </w:pPr>
      <w:r>
        <w:rPr>
          <w:i/>
          <w:iCs/>
          <w:color w:val="666666"/>
          <w:sz w:val="20"/>
          <w:szCs w:val="20"/>
        </w:rPr>
        <w:t>Compiled from all investor DD documents | June 2026</w:t>
      </w:r>
    </w:p>
    <w:p w14:paraId="558C9A8D" w14:textId="77777777" w:rsidR="008965F9" w:rsidRDefault="00000000">
      <w:pPr>
        <w:spacing w:before="100" w:after="200"/>
      </w:pPr>
      <w:r>
        <w:rPr>
          <w:b/>
          <w:bCs/>
          <w:color w:val="002924"/>
          <w:sz w:val="24"/>
          <w:szCs w:val="24"/>
        </w:rPr>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8965F9" w14:paraId="558C9A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2924"/>
            <w:tcMar>
              <w:top w:w="60" w:type="dxa"/>
              <w:left w:w="100" w:type="dxa"/>
              <w:bottom w:w="60" w:type="dxa"/>
              <w:right w:w="100" w:type="dxa"/>
            </w:tcMar>
          </w:tcPr>
          <w:p w14:paraId="558C9A8E" w14:textId="77777777" w:rsidR="008965F9" w:rsidRDefault="00000000">
            <w:r>
              <w:rPr>
                <w:b/>
                <w:bCs/>
                <w:color w:val="FFFFFF"/>
                <w:sz w:val="20"/>
                <w:szCs w:val="20"/>
              </w:rPr>
              <w:t>Target</w:t>
            </w:r>
          </w:p>
        </w:tc>
        <w:tc>
          <w:tcPr>
            <w:tcW w:w="2000" w:type="dxa"/>
            <w:tcBorders>
              <w:top w:val="single" w:sz="1" w:space="0" w:color="CCCCCC"/>
              <w:left w:val="single" w:sz="1" w:space="0" w:color="CCCCCC"/>
              <w:bottom w:val="single" w:sz="1" w:space="0" w:color="CCCCCC"/>
              <w:right w:val="single" w:sz="1" w:space="0" w:color="CCCCCC"/>
            </w:tcBorders>
            <w:shd w:val="clear" w:color="auto" w:fill="002924"/>
            <w:tcMar>
              <w:top w:w="60" w:type="dxa"/>
              <w:left w:w="100" w:type="dxa"/>
              <w:bottom w:w="60" w:type="dxa"/>
              <w:right w:w="100" w:type="dxa"/>
            </w:tcMar>
          </w:tcPr>
          <w:p w14:paraId="558C9A8F" w14:textId="77777777" w:rsidR="008965F9" w:rsidRDefault="00000000">
            <w:r>
              <w:rPr>
                <w:b/>
                <w:bCs/>
                <w:color w:val="FFFFFF"/>
                <w:sz w:val="20"/>
                <w:szCs w:val="20"/>
              </w:rPr>
              <w:t># Questions</w:t>
            </w:r>
          </w:p>
        </w:tc>
        <w:tc>
          <w:tcPr>
            <w:tcW w:w="4360" w:type="dxa"/>
            <w:tcBorders>
              <w:top w:val="single" w:sz="1" w:space="0" w:color="CCCCCC"/>
              <w:left w:val="single" w:sz="1" w:space="0" w:color="CCCCCC"/>
              <w:bottom w:val="single" w:sz="1" w:space="0" w:color="CCCCCC"/>
              <w:right w:val="single" w:sz="1" w:space="0" w:color="CCCCCC"/>
            </w:tcBorders>
            <w:shd w:val="clear" w:color="auto" w:fill="002924"/>
            <w:tcMar>
              <w:top w:w="60" w:type="dxa"/>
              <w:left w:w="100" w:type="dxa"/>
              <w:bottom w:w="60" w:type="dxa"/>
              <w:right w:w="100" w:type="dxa"/>
            </w:tcMar>
          </w:tcPr>
          <w:p w14:paraId="558C9A90" w14:textId="77777777" w:rsidR="008965F9" w:rsidRDefault="00000000">
            <w:r>
              <w:rPr>
                <w:b/>
                <w:bCs/>
                <w:color w:val="FFFFFF"/>
                <w:sz w:val="20"/>
                <w:szCs w:val="20"/>
              </w:rPr>
              <w:t>Source Documents</w:t>
            </w:r>
          </w:p>
        </w:tc>
      </w:tr>
      <w:tr w:rsidR="008965F9" w14:paraId="558C9A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2"/>
            <w:tcMar>
              <w:top w:w="60" w:type="dxa"/>
              <w:left w:w="100" w:type="dxa"/>
              <w:bottom w:w="60" w:type="dxa"/>
              <w:right w:w="100" w:type="dxa"/>
            </w:tcMar>
          </w:tcPr>
          <w:p w14:paraId="558C9A92" w14:textId="77777777" w:rsidR="008965F9" w:rsidRDefault="00000000">
            <w:r>
              <w:rPr>
                <w:b/>
                <w:bCs/>
                <w:color w:val="002924"/>
                <w:sz w:val="20"/>
                <w:szCs w:val="20"/>
              </w:rPr>
              <w:t>KLK2</w:t>
            </w:r>
          </w:p>
        </w:tc>
        <w:tc>
          <w:tcPr>
            <w:tcW w:w="2000" w:type="dxa"/>
            <w:tcBorders>
              <w:top w:val="single" w:sz="1" w:space="0" w:color="CCCCCC"/>
              <w:left w:val="single" w:sz="1" w:space="0" w:color="CCCCCC"/>
              <w:bottom w:val="single" w:sz="1" w:space="0" w:color="CCCCCC"/>
              <w:right w:val="single" w:sz="1" w:space="0" w:color="CCCCCC"/>
            </w:tcBorders>
            <w:shd w:val="clear" w:color="auto" w:fill="F2F7F2"/>
            <w:tcMar>
              <w:top w:w="60" w:type="dxa"/>
              <w:left w:w="100" w:type="dxa"/>
              <w:bottom w:w="60" w:type="dxa"/>
              <w:right w:w="100" w:type="dxa"/>
            </w:tcMar>
          </w:tcPr>
          <w:p w14:paraId="558C9A93" w14:textId="77777777" w:rsidR="008965F9" w:rsidRDefault="00000000">
            <w:pPr>
              <w:jc w:val="center"/>
            </w:pPr>
            <w:r>
              <w:rPr>
                <w:color w:val="333333"/>
                <w:sz w:val="20"/>
                <w:szCs w:val="20"/>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F2F7F2"/>
            <w:tcMar>
              <w:top w:w="60" w:type="dxa"/>
              <w:left w:w="100" w:type="dxa"/>
              <w:bottom w:w="60" w:type="dxa"/>
              <w:right w:w="100" w:type="dxa"/>
            </w:tcMar>
          </w:tcPr>
          <w:p w14:paraId="558C9A94" w14:textId="77777777" w:rsidR="008965F9" w:rsidRDefault="00000000">
            <w:r>
              <w:rPr>
                <w:color w:val="666666"/>
                <w:sz w:val="18"/>
                <w:szCs w:val="18"/>
              </w:rPr>
              <w:t>Polaris DD Questions (2026-05-05); Avego DD Questions — May (2026-05-14); Avidity Diligence Questions (2026-04-24); Running List of Diligence Questions; NVF DD Responses — Final (2026-05-20)</w:t>
            </w:r>
          </w:p>
        </w:tc>
      </w:tr>
      <w:tr w:rsidR="008965F9" w14:paraId="558C9A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C9A96" w14:textId="77777777" w:rsidR="008965F9" w:rsidRDefault="00000000">
            <w:r>
              <w:rPr>
                <w:b/>
                <w:bCs/>
                <w:color w:val="002924"/>
                <w:sz w:val="20"/>
                <w:szCs w:val="20"/>
              </w:rPr>
              <w:t>CEACAM5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C9A97" w14:textId="77777777" w:rsidR="008965F9" w:rsidRDefault="00000000">
            <w:pPr>
              <w:jc w:val="center"/>
            </w:pPr>
            <w:r>
              <w:rPr>
                <w:color w:val="333333"/>
                <w:sz w:val="20"/>
                <w:szCs w:val="20"/>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C9A98" w14:textId="77777777" w:rsidR="008965F9" w:rsidRDefault="00000000">
            <w:r>
              <w:rPr>
                <w:color w:val="666666"/>
                <w:sz w:val="18"/>
                <w:szCs w:val="18"/>
              </w:rPr>
              <w:t>Polaris DD Questions (2026-05-05); Avego DD Questions — May (2026-05-14); Avidity Diligence Questions (2026-04-24); Running List of Diligence Questions; NVF DD Responses — Final (2026-05-20)</w:t>
            </w:r>
          </w:p>
        </w:tc>
      </w:tr>
      <w:tr w:rsidR="008965F9" w14:paraId="558C9A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2"/>
            <w:tcMar>
              <w:top w:w="60" w:type="dxa"/>
              <w:left w:w="100" w:type="dxa"/>
              <w:bottom w:w="60" w:type="dxa"/>
              <w:right w:w="100" w:type="dxa"/>
            </w:tcMar>
          </w:tcPr>
          <w:p w14:paraId="558C9A9A" w14:textId="77777777" w:rsidR="008965F9" w:rsidRDefault="00000000">
            <w:r>
              <w:rPr>
                <w:b/>
                <w:bCs/>
                <w:color w:val="002924"/>
                <w:sz w:val="20"/>
                <w:szCs w:val="20"/>
              </w:rPr>
              <w:t>CLDN1</w:t>
            </w:r>
          </w:p>
        </w:tc>
        <w:tc>
          <w:tcPr>
            <w:tcW w:w="2000" w:type="dxa"/>
            <w:tcBorders>
              <w:top w:val="single" w:sz="1" w:space="0" w:color="CCCCCC"/>
              <w:left w:val="single" w:sz="1" w:space="0" w:color="CCCCCC"/>
              <w:bottom w:val="single" w:sz="1" w:space="0" w:color="CCCCCC"/>
              <w:right w:val="single" w:sz="1" w:space="0" w:color="CCCCCC"/>
            </w:tcBorders>
            <w:shd w:val="clear" w:color="auto" w:fill="F2F7F2"/>
            <w:tcMar>
              <w:top w:w="60" w:type="dxa"/>
              <w:left w:w="100" w:type="dxa"/>
              <w:bottom w:w="60" w:type="dxa"/>
              <w:right w:w="100" w:type="dxa"/>
            </w:tcMar>
          </w:tcPr>
          <w:p w14:paraId="558C9A9B" w14:textId="77777777" w:rsidR="008965F9" w:rsidRDefault="00000000">
            <w:pPr>
              <w:jc w:val="center"/>
            </w:pPr>
            <w:r>
              <w:rPr>
                <w:color w:val="333333"/>
                <w:sz w:val="20"/>
                <w:szCs w:val="20"/>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F2F7F2"/>
            <w:tcMar>
              <w:top w:w="60" w:type="dxa"/>
              <w:left w:w="100" w:type="dxa"/>
              <w:bottom w:w="60" w:type="dxa"/>
              <w:right w:w="100" w:type="dxa"/>
            </w:tcMar>
          </w:tcPr>
          <w:p w14:paraId="558C9A9C" w14:textId="77777777" w:rsidR="008965F9" w:rsidRDefault="00000000">
            <w:r>
              <w:rPr>
                <w:color w:val="666666"/>
                <w:sz w:val="18"/>
                <w:szCs w:val="18"/>
              </w:rPr>
              <w:t>Polaris DD Questions (2026-05-05); Avego DD Questions — May (2026-05-14); Avidity Diligence Questions (2026-04-24); Running List of Diligence Questions; NVF DD Responses — Final (2026-05-20)</w:t>
            </w:r>
          </w:p>
        </w:tc>
      </w:tr>
      <w:tr w:rsidR="008965F9" w14:paraId="558C9A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C9A9E" w14:textId="77777777" w:rsidR="008965F9" w:rsidRDefault="00000000">
            <w:r>
              <w:rPr>
                <w:b/>
                <w:bCs/>
                <w:color w:val="002924"/>
                <w:sz w:val="20"/>
                <w:szCs w:val="20"/>
              </w:rPr>
              <w:t>MUC1-C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C9A9F" w14:textId="77777777" w:rsidR="008965F9" w:rsidRDefault="00000000">
            <w:pPr>
              <w:jc w:val="center"/>
            </w:pPr>
            <w:r>
              <w:rPr>
                <w:color w:val="333333"/>
                <w:sz w:val="20"/>
                <w:szCs w:val="20"/>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C9AA0" w14:textId="77777777" w:rsidR="008965F9" w:rsidRDefault="00000000">
            <w:r>
              <w:rPr>
                <w:color w:val="666666"/>
                <w:sz w:val="18"/>
                <w:szCs w:val="18"/>
              </w:rPr>
              <w:t>Polaris DD Questions (2026-05-05); Avego DD Questions — May (2026-05-14); Avidity Diligence Questions (2026-04-24); NVF DD Responses — Final (2026-05-20)</w:t>
            </w:r>
          </w:p>
        </w:tc>
      </w:tr>
    </w:tbl>
    <w:p w14:paraId="558C9AA2" w14:textId="77777777" w:rsidR="008965F9" w:rsidRDefault="00000000">
      <w:r>
        <w:br w:type="page"/>
      </w:r>
    </w:p>
    <w:p w14:paraId="558C9AA3" w14:textId="77777777" w:rsidR="008965F9" w:rsidRDefault="00000000">
      <w:pPr>
        <w:pStyle w:val="Heading1"/>
        <w:spacing w:before="100" w:after="200"/>
      </w:pPr>
      <w:r>
        <w:lastRenderedPageBreak/>
        <w:t>KLK2</w:t>
      </w:r>
    </w:p>
    <w:p w14:paraId="558C9AAF" w14:textId="77777777" w:rsidR="008965F9" w:rsidRDefault="008965F9">
      <w:pPr>
        <w:pBdr>
          <w:bottom w:val="single" w:sz="4" w:space="1" w:color="B1C8B0"/>
        </w:pBdr>
        <w:spacing w:before="160" w:after="160"/>
      </w:pPr>
    </w:p>
    <w:p w14:paraId="558C9AB0" w14:textId="77777777" w:rsidR="008965F9" w:rsidRDefault="00000000">
      <w:pPr>
        <w:spacing w:before="280" w:after="120"/>
      </w:pPr>
      <w:r>
        <w:rPr>
          <w:b/>
          <w:bCs/>
          <w:color w:val="002924"/>
        </w:rPr>
        <w:t xml:space="preserve">Q: </w:t>
      </w:r>
      <w:r>
        <w:rPr>
          <w:b/>
          <w:bCs/>
          <w:color w:val="333333"/>
        </w:rPr>
        <w:t>Can you walk us through the characteristics of ACP3 and KLK2 that you believe will make for a differentiated asset from Pluvicto/PSMA? How will your ACP3/KLK2 molecule stack up against the ACP3/KLK2 RLTs that are already in clinical trials?</w:t>
      </w:r>
    </w:p>
    <w:p w14:paraId="558C9AB1" w14:textId="77777777" w:rsidR="008965F9" w:rsidRDefault="00000000">
      <w:pPr>
        <w:spacing w:after="80"/>
      </w:pPr>
      <w:r>
        <w:rPr>
          <w:b/>
          <w:bCs/>
          <w:color w:val="666666"/>
          <w:sz w:val="18"/>
          <w:szCs w:val="18"/>
        </w:rPr>
        <w:t xml:space="preserve">Source: </w:t>
      </w:r>
      <w:r>
        <w:rPr>
          <w:i/>
          <w:iCs/>
          <w:color w:val="666666"/>
          <w:sz w:val="18"/>
          <w:szCs w:val="18"/>
        </w:rPr>
        <w:t>Polaris DD Questions (2026-05-05)</w:t>
      </w:r>
    </w:p>
    <w:p w14:paraId="558C9AB2" w14:textId="77777777" w:rsidR="008965F9" w:rsidRDefault="00000000">
      <w:pPr>
        <w:spacing w:before="80" w:after="40"/>
      </w:pPr>
      <w:r>
        <w:rPr>
          <w:b/>
          <w:bCs/>
          <w:i/>
          <w:iCs/>
          <w:color w:val="4A7C59"/>
          <w:sz w:val="19"/>
          <w:szCs w:val="19"/>
        </w:rPr>
        <w:t>Answer:</w:t>
      </w:r>
    </w:p>
    <w:p w14:paraId="558C9AB3" w14:textId="77777777" w:rsidR="008965F9" w:rsidRDefault="00000000">
      <w:pPr>
        <w:spacing w:after="100" w:line="264" w:lineRule="auto"/>
      </w:pPr>
      <w:r>
        <w:rPr>
          <w:color w:val="444444"/>
          <w:sz w:val="20"/>
          <w:szCs w:val="20"/>
        </w:rPr>
        <w:t>ACP3 and KLK2 differ from Pluvicto/PSMA on three axes: expression profile across stages of PC, target expression in healthy tissues and organs at risk, and therapeutic index. Both are expressed in PSMA-low and PSMA-negative prostate cancer patients (~15% of high-risk mCRPC), expanding the addressable population beyond Pluvicto's reach.</w:t>
      </w:r>
    </w:p>
    <w:p w14:paraId="558C9AB4" w14:textId="77777777" w:rsidR="008965F9" w:rsidRDefault="00000000">
      <w:pPr>
        <w:spacing w:after="100" w:line="264" w:lineRule="auto"/>
      </w:pPr>
      <w:r>
        <w:rPr>
          <w:color w:val="444444"/>
          <w:sz w:val="20"/>
          <w:szCs w:val="20"/>
        </w:rPr>
        <w:t>ACP3: expression is maintained in ~95% of prostate cancer patients across disease stages, with a lack of expression in salivary gland and kidney, which are the tissues that drive Pluvicto's two dose-limiting toxicities. First-in-human imaging data shows strong tumor uptake with significantly enhanced on-target/off-tumor uptake versus PSMA-targeted agents. BMS/RayzeBio's OncoACP3 program uses a non-internalizing small molecule, creating opportunity for Sego to deliver a more efficacious, internalizing molecule where intracellular delivery amplifies Auger and alpha-emission DNA-damage kinetics of ¹⁶¹Tb and/or ²²⁵Ac. Furthermore, we are developing potential covalent binders to ACP3 that could also enhance retention of the RLT. Finally, OncoACP3 is a racemic mixture that could generate issues with downstream CMC. Sego's initial intent is a randomized comparator pivotal against Pluvicto in the full mCRPC population (not enrichment for PSMA-low/negative) because the expression and TI advantages support a superiority hypothesis across the full population. Given the likely wide therapeutic index, we also intend to bring our ACP3 program rapidly into earlier lines of therapy.</w:t>
      </w:r>
    </w:p>
    <w:p w14:paraId="558C9AB5" w14:textId="77777777" w:rsidR="008965F9" w:rsidRDefault="00000000">
      <w:pPr>
        <w:spacing w:after="100" w:line="264" w:lineRule="auto"/>
      </w:pPr>
      <w:r>
        <w:rPr>
          <w:color w:val="444444"/>
          <w:sz w:val="20"/>
          <w:szCs w:val="20"/>
        </w:rPr>
        <w:t>KLK2: expression is restricted to the healthy prostate with substantial overexpression across prostate cancer stages, maintained in PSMA-negative disease. JNJ's antibody program experienced ILD and hematologic toxicity driven by antibody pharmacokinetics (long half-life, Fc biology, cumulative lung dose) rather than target biology. Sego's short-circulating cyclic peptide approach eliminates all three mechanisms: short circulating half-life reduces prolonged blood residence, there is no Fc biology, and no pulmonary dose accumulation from the targeting vector. Phase 0 imaging will confirm lung dosimetry before any therapeutic activity is given. KLK2's earlier-disease expression profile (earlier-stage disease, BCR-triggered interventions) and PSMA-negative coverage represent additional competitive differentiation absent from PSMA-targeted programs. Like ACP3, we intend to prove superiority to Pluvicto and expand into earlier lines of treatment.</w:t>
      </w:r>
    </w:p>
    <w:p w14:paraId="558C9ACA" w14:textId="77777777" w:rsidR="008965F9" w:rsidRDefault="008965F9">
      <w:pPr>
        <w:pBdr>
          <w:bottom w:val="single" w:sz="4" w:space="1" w:color="B1C8B0"/>
        </w:pBdr>
        <w:spacing w:before="160" w:after="160"/>
      </w:pPr>
    </w:p>
    <w:p w14:paraId="558C9ACB" w14:textId="77777777" w:rsidR="008965F9" w:rsidRDefault="00000000">
      <w:pPr>
        <w:spacing w:before="280" w:after="120"/>
      </w:pPr>
      <w:r>
        <w:rPr>
          <w:b/>
          <w:bCs/>
          <w:color w:val="002924"/>
        </w:rPr>
        <w:t xml:space="preserve">Q: </w:t>
      </w:r>
      <w:r>
        <w:rPr>
          <w:b/>
          <w:bCs/>
          <w:color w:val="333333"/>
        </w:rPr>
        <w:t>How are you thinking about the half-life mismatch between short peptide clearance (hours) and longer-lived isotopes like ²²⁵Ac or ¹⁶¹Tb (may overlap with KLK2 question below)?</w:t>
      </w:r>
    </w:p>
    <w:p w14:paraId="558C9ACC" w14:textId="77777777" w:rsidR="008965F9" w:rsidRDefault="00000000">
      <w:pPr>
        <w:spacing w:after="80"/>
      </w:pPr>
      <w:r>
        <w:rPr>
          <w:b/>
          <w:bCs/>
          <w:color w:val="666666"/>
          <w:sz w:val="18"/>
          <w:szCs w:val="18"/>
        </w:rPr>
        <w:t xml:space="preserve">Source: </w:t>
      </w:r>
      <w:r>
        <w:rPr>
          <w:i/>
          <w:iCs/>
          <w:color w:val="666666"/>
          <w:sz w:val="18"/>
          <w:szCs w:val="18"/>
        </w:rPr>
        <w:t>Avidity Diligence Questions (2026-04-24) | Running List of Diligence Questions</w:t>
      </w:r>
    </w:p>
    <w:p w14:paraId="558C9ACD" w14:textId="77777777" w:rsidR="008965F9" w:rsidRDefault="00000000">
      <w:pPr>
        <w:spacing w:before="80" w:after="40"/>
      </w:pPr>
      <w:r>
        <w:rPr>
          <w:b/>
          <w:bCs/>
          <w:i/>
          <w:iCs/>
          <w:color w:val="4A7C59"/>
          <w:sz w:val="19"/>
          <w:szCs w:val="19"/>
        </w:rPr>
        <w:t>Answer:</w:t>
      </w:r>
    </w:p>
    <w:p w14:paraId="558C9ACE" w14:textId="77777777" w:rsidR="008965F9" w:rsidRDefault="00000000">
      <w:pPr>
        <w:spacing w:after="100" w:line="264" w:lineRule="auto"/>
      </w:pPr>
      <w:r>
        <w:rPr>
          <w:color w:val="444444"/>
          <w:sz w:val="20"/>
          <w:szCs w:val="20"/>
        </w:rPr>
        <w:t>ANSWER:</w:t>
      </w:r>
    </w:p>
    <w:p w14:paraId="558C9ACF" w14:textId="77777777" w:rsidR="008965F9" w:rsidRDefault="00000000">
      <w:pPr>
        <w:spacing w:after="100" w:line="264" w:lineRule="auto"/>
      </w:pPr>
      <w:r>
        <w:rPr>
          <w:color w:val="444444"/>
          <w:sz w:val="20"/>
          <w:szCs w:val="20"/>
        </w:rPr>
        <w:t>We are not trying to pair isotope/serum half-life. The two approved RLT agents (Lutathera and Pluvicto) do not have paired isotope/serum half-life. We effectively have the same format (peptides/small molecules) and isotope half-life (7-10 days) to deliver RLTs that are approvable.</w:t>
      </w:r>
    </w:p>
    <w:p w14:paraId="558C9AD0" w14:textId="77777777" w:rsidR="008965F9" w:rsidRDefault="00000000">
      <w:pPr>
        <w:spacing w:after="100" w:line="264" w:lineRule="auto"/>
      </w:pPr>
      <w:r>
        <w:rPr>
          <w:color w:val="444444"/>
          <w:sz w:val="20"/>
          <w:szCs w:val="20"/>
        </w:rPr>
        <w:t xml:space="preserve">Beyond format and isotope selection, approvability lies in target selection and medicinal chemistry to optimize pk properties. Sego targets have been selected with a specific expression profile we believe is </w:t>
      </w:r>
      <w:r>
        <w:rPr>
          <w:color w:val="444444"/>
          <w:sz w:val="20"/>
          <w:szCs w:val="20"/>
        </w:rPr>
        <w:lastRenderedPageBreak/>
        <w:t>suited to RLT (i.e. highly expressed in the tumor and minimal expression or accessibility in healthy tissue). The goal is to maximize the radiation dose to the tumor (AUC). We achieve this by using med chem optimization which is directed at two complementary objectives:</w:t>
      </w:r>
    </w:p>
    <w:p w14:paraId="558C9AD1" w14:textId="77777777" w:rsidR="008965F9" w:rsidRDefault="00000000">
      <w:pPr>
        <w:spacing w:after="100" w:line="264" w:lineRule="auto"/>
      </w:pPr>
      <w:r>
        <w:rPr>
          <w:color w:val="444444"/>
          <w:sz w:val="20"/>
          <w:szCs w:val="20"/>
        </w:rPr>
        <w:t>(1) high-affinity, rapid tumor uptake and internalization akin to     first-pass capture given the receptor density on target tumors, with     sufficient circulation time to reach intratumoral Cmax; and</w:t>
      </w:r>
    </w:p>
    <w:p w14:paraId="558C9AD2" w14:textId="77777777" w:rsidR="008965F9" w:rsidRDefault="00000000">
      <w:pPr>
        <w:spacing w:after="100" w:line="264" w:lineRule="auto"/>
      </w:pPr>
      <w:r>
        <w:rPr>
          <w:color w:val="444444"/>
          <w:sz w:val="20"/>
          <w:szCs w:val="20"/>
        </w:rPr>
        <w:t>(2) rapid renal clearance into the bladder thereafter, with minimal     kidney retention to protect the expected dose-limiting organ. Once     the peptide has delivered the isotope intracellularly, the long     physical half-life of ²²⁵Ac or ¹⁶¹Tb becomes an asset rather than a     liability. It extends the cumulative tumor dose over days while the     targeting vector itself has long since cleared the systemic     circulation.</w:t>
      </w:r>
    </w:p>
    <w:p w14:paraId="558C9ADE" w14:textId="77777777" w:rsidR="008965F9" w:rsidRDefault="008965F9">
      <w:pPr>
        <w:pBdr>
          <w:bottom w:val="single" w:sz="4" w:space="1" w:color="B1C8B0"/>
        </w:pBdr>
        <w:spacing w:before="160" w:after="160"/>
      </w:pPr>
    </w:p>
    <w:p w14:paraId="558C9ADF" w14:textId="77777777" w:rsidR="008965F9" w:rsidRDefault="00000000">
      <w:pPr>
        <w:spacing w:before="280" w:after="120"/>
      </w:pPr>
      <w:r>
        <w:rPr>
          <w:b/>
          <w:bCs/>
          <w:color w:val="002924"/>
        </w:rPr>
        <w:t xml:space="preserve">Q: </w:t>
      </w:r>
      <w:r>
        <w:rPr>
          <w:b/>
          <w:bCs/>
          <w:color w:val="333333"/>
        </w:rPr>
        <w:t>In light of the safety profile we saw with JNJ’s KLK2 -Why is KLK2 a good target for RLT development?</w:t>
      </w:r>
    </w:p>
    <w:p w14:paraId="558C9AE0" w14:textId="77777777" w:rsidR="008965F9" w:rsidRDefault="00000000">
      <w:pPr>
        <w:spacing w:after="80"/>
      </w:pPr>
      <w:r>
        <w:rPr>
          <w:b/>
          <w:bCs/>
          <w:color w:val="666666"/>
          <w:sz w:val="18"/>
          <w:szCs w:val="18"/>
        </w:rPr>
        <w:t xml:space="preserve">Source: </w:t>
      </w:r>
      <w:r>
        <w:rPr>
          <w:i/>
          <w:iCs/>
          <w:color w:val="666666"/>
          <w:sz w:val="18"/>
          <w:szCs w:val="18"/>
        </w:rPr>
        <w:t>Avidity Diligence Questions (2026-04-24)</w:t>
      </w:r>
    </w:p>
    <w:p w14:paraId="558C9AE1" w14:textId="77777777" w:rsidR="008965F9" w:rsidRDefault="00000000">
      <w:pPr>
        <w:spacing w:before="80" w:after="40"/>
      </w:pPr>
      <w:r>
        <w:rPr>
          <w:b/>
          <w:bCs/>
          <w:i/>
          <w:iCs/>
          <w:color w:val="4A7C59"/>
          <w:sz w:val="19"/>
          <w:szCs w:val="19"/>
        </w:rPr>
        <w:t>Answer:</w:t>
      </w:r>
    </w:p>
    <w:p w14:paraId="558C9AE2" w14:textId="77777777" w:rsidR="008965F9" w:rsidRDefault="00000000">
      <w:pPr>
        <w:spacing w:after="100" w:line="264" w:lineRule="auto"/>
      </w:pPr>
      <w:r>
        <w:rPr>
          <w:color w:val="444444"/>
          <w:sz w:val="20"/>
          <w:szCs w:val="20"/>
        </w:rPr>
        <w:t>ANSWER:</w:t>
      </w:r>
    </w:p>
    <w:p w14:paraId="558C9AE3" w14:textId="77777777" w:rsidR="008965F9" w:rsidRDefault="00000000">
      <w:pPr>
        <w:spacing w:after="100" w:line="264" w:lineRule="auto"/>
      </w:pPr>
      <w:r>
        <w:rPr>
          <w:color w:val="444444"/>
          <w:sz w:val="20"/>
          <w:szCs w:val="20"/>
        </w:rPr>
        <w:t>KLK2 has exceptional tissue expression specificity with expression restricted to the healthy prostate. PCa patients have substantial overexpression in prostate cancer, including early stages of disease through metastatic disease with downregulation after neuroendocrine transition. It is also expressed in metastatic disease in patients that are PSMA-negative allowing for treatment of Pluvicto screen failures. There is clear cell surface accessibility that is compatible with non-internalizing ligands, such as RLT, as opposed to ADCs that require internalization.</w:t>
      </w:r>
    </w:p>
    <w:p w14:paraId="558C9AE4" w14:textId="77777777" w:rsidR="008965F9" w:rsidRDefault="00000000">
      <w:pPr>
        <w:spacing w:after="100" w:line="264" w:lineRule="auto"/>
      </w:pPr>
      <w:r>
        <w:rPr>
          <w:color w:val="444444"/>
          <w:sz w:val="20"/>
          <w:szCs w:val="20"/>
        </w:rPr>
        <w:t>We see the read through from other programs against this target as validating. We believe that we can create molecules in our chosen format/isotope against this target which will have a therapeutic window.</w:t>
      </w:r>
    </w:p>
    <w:p w14:paraId="558C9AE5" w14:textId="77777777" w:rsidR="008965F9" w:rsidRDefault="008965F9">
      <w:pPr>
        <w:pBdr>
          <w:bottom w:val="single" w:sz="4" w:space="1" w:color="B1C8B0"/>
        </w:pBdr>
        <w:spacing w:before="160" w:after="160"/>
      </w:pPr>
    </w:p>
    <w:p w14:paraId="558C9AE6" w14:textId="77777777" w:rsidR="008965F9" w:rsidRDefault="00000000">
      <w:pPr>
        <w:spacing w:before="280" w:after="120"/>
      </w:pPr>
      <w:r>
        <w:rPr>
          <w:b/>
          <w:bCs/>
          <w:color w:val="002924"/>
        </w:rPr>
        <w:t xml:space="preserve">Q: </w:t>
      </w:r>
      <w:r>
        <w:rPr>
          <w:b/>
          <w:bCs/>
          <w:color w:val="333333"/>
        </w:rPr>
        <w:t>Does the safety observed with JNJ’s KLK2 asset indicate anything about potential expression in healthy tissue?</w:t>
      </w:r>
    </w:p>
    <w:p w14:paraId="558C9AE7" w14:textId="77777777" w:rsidR="008965F9" w:rsidRDefault="00000000">
      <w:pPr>
        <w:spacing w:after="80"/>
      </w:pPr>
      <w:r>
        <w:rPr>
          <w:b/>
          <w:bCs/>
          <w:color w:val="666666"/>
          <w:sz w:val="18"/>
          <w:szCs w:val="18"/>
        </w:rPr>
        <w:t xml:space="preserve">Source: </w:t>
      </w:r>
      <w:r>
        <w:rPr>
          <w:i/>
          <w:iCs/>
          <w:color w:val="666666"/>
          <w:sz w:val="18"/>
          <w:szCs w:val="18"/>
        </w:rPr>
        <w:t>Avidity Diligence Questions (2026-04-24)</w:t>
      </w:r>
    </w:p>
    <w:p w14:paraId="558C9AE8" w14:textId="77777777" w:rsidR="008965F9" w:rsidRDefault="00000000">
      <w:pPr>
        <w:spacing w:before="80" w:after="40"/>
      </w:pPr>
      <w:r>
        <w:rPr>
          <w:b/>
          <w:bCs/>
          <w:i/>
          <w:iCs/>
          <w:color w:val="4A7C59"/>
          <w:sz w:val="19"/>
          <w:szCs w:val="19"/>
        </w:rPr>
        <w:t>Answer:</w:t>
      </w:r>
    </w:p>
    <w:p w14:paraId="558C9AE9" w14:textId="77777777" w:rsidR="008965F9" w:rsidRDefault="00000000">
      <w:pPr>
        <w:spacing w:after="100" w:line="264" w:lineRule="auto"/>
      </w:pPr>
      <w:r>
        <w:rPr>
          <w:color w:val="444444"/>
          <w:sz w:val="20"/>
          <w:szCs w:val="20"/>
        </w:rPr>
        <w:t>ANSWER:</w:t>
      </w:r>
    </w:p>
    <w:p w14:paraId="558C9AEA" w14:textId="77777777" w:rsidR="008965F9" w:rsidRDefault="00000000">
      <w:pPr>
        <w:spacing w:after="100" w:line="264" w:lineRule="auto"/>
      </w:pPr>
      <w:r>
        <w:rPr>
          <w:color w:val="444444"/>
          <w:sz w:val="20"/>
          <w:szCs w:val="20"/>
        </w:rPr>
        <w:t>Johnson &amp; Johnson’s KLK2 program (actinium‑225–labeled monoclonal antibody targeting kallikrein‑related peptidase 2) advanced as a long‑circulating IgG‑based alpha‑emitting radioimmunotherapy for prostate cancer. Across early clinical evaluation, the safety profile reflected antibody‑driven exposure patterns rather than target biology alone. Reported adverse events were dominated by:</w:t>
      </w:r>
    </w:p>
    <w:p w14:paraId="558C9AEB" w14:textId="77777777" w:rsidR="008965F9" w:rsidRDefault="00000000">
      <w:pPr>
        <w:spacing w:after="100" w:line="264" w:lineRule="auto"/>
      </w:pPr>
      <w:r>
        <w:rPr>
          <w:color w:val="444444"/>
          <w:sz w:val="20"/>
          <w:szCs w:val="20"/>
        </w:rPr>
        <w:t>-   Hematologic toxicity, consistent with systemic circulation of an     alpha‑emitting construct (e.g., marrow exposure from prolonged blood     residence).</w:t>
      </w:r>
    </w:p>
    <w:p w14:paraId="558C9AEC" w14:textId="77777777" w:rsidR="008965F9" w:rsidRDefault="00000000">
      <w:pPr>
        <w:spacing w:after="100" w:line="264" w:lineRule="auto"/>
      </w:pPr>
      <w:r>
        <w:rPr>
          <w:color w:val="444444"/>
          <w:sz w:val="20"/>
          <w:szCs w:val="20"/>
        </w:rPr>
        <w:t>-   Pulmonary adverse events, including pneumonitis / ILD‑like     manifestations, which became a key liability for continued     development.</w:t>
      </w:r>
    </w:p>
    <w:p w14:paraId="558C9AED" w14:textId="77777777" w:rsidR="008965F9" w:rsidRDefault="00000000">
      <w:pPr>
        <w:spacing w:after="100" w:line="264" w:lineRule="auto"/>
      </w:pPr>
      <w:r>
        <w:rPr>
          <w:color w:val="444444"/>
          <w:sz w:val="20"/>
          <w:szCs w:val="20"/>
        </w:rPr>
        <w:t>-   Delayed‑onset toxicities, emerging weeks to months after dosing,     consistent with cumulative radiation dose to non‑target tissues     rather than acute, target‑mediated effects.</w:t>
      </w:r>
    </w:p>
    <w:p w14:paraId="558C9AEE" w14:textId="77777777" w:rsidR="008965F9" w:rsidRDefault="00000000">
      <w:pPr>
        <w:spacing w:after="100" w:line="264" w:lineRule="auto"/>
      </w:pPr>
      <w:r>
        <w:rPr>
          <w:color w:val="444444"/>
          <w:sz w:val="20"/>
          <w:szCs w:val="20"/>
        </w:rPr>
        <w:t>Importantly, ILD was not plausibly explained by KLK2 expression in lung tissue. Instead, the emerging consensus is that lung injury reflected antibody‑specific pharmacokinetics and biodistribution:</w:t>
      </w:r>
    </w:p>
    <w:p w14:paraId="558C9AEF" w14:textId="77777777" w:rsidR="008965F9" w:rsidRDefault="00000000">
      <w:pPr>
        <w:spacing w:after="100" w:line="264" w:lineRule="auto"/>
      </w:pPr>
      <w:r>
        <w:rPr>
          <w:color w:val="444444"/>
          <w:sz w:val="20"/>
          <w:szCs w:val="20"/>
        </w:rPr>
        <w:lastRenderedPageBreak/>
        <w:t>-   Long circulating half‑life (days–weeks) resulted in persistent     low‑level irradiation of lung capillary endothelium and     interstitium.</w:t>
      </w:r>
    </w:p>
    <w:p w14:paraId="558C9AF0" w14:textId="77777777" w:rsidR="008965F9" w:rsidRDefault="00000000">
      <w:pPr>
        <w:spacing w:after="100" w:line="264" w:lineRule="auto"/>
      </w:pPr>
      <w:r>
        <w:rPr>
          <w:color w:val="444444"/>
          <w:sz w:val="20"/>
          <w:szCs w:val="20"/>
        </w:rPr>
        <w:t>-   Fcγ‑receptor–mediated interactions promoted non‑specific uptake and     retention in immune‑rich tissues.</w:t>
      </w:r>
    </w:p>
    <w:p w14:paraId="558C9AF1" w14:textId="77777777" w:rsidR="008965F9" w:rsidRDefault="00000000">
      <w:pPr>
        <w:spacing w:after="100" w:line="264" w:lineRule="auto"/>
      </w:pPr>
      <w:r>
        <w:rPr>
          <w:color w:val="444444"/>
          <w:sz w:val="20"/>
          <w:szCs w:val="20"/>
        </w:rPr>
        <w:t>-   Repeated or high‑activity dosing allowed cumulative absorbed dose in     lung to exceed tolerability thresholds for alpha radiation, even in     the absence of target expression.</w:t>
      </w:r>
    </w:p>
    <w:p w14:paraId="558C9AF2" w14:textId="77777777" w:rsidR="008965F9" w:rsidRDefault="00000000">
      <w:pPr>
        <w:spacing w:after="100" w:line="264" w:lineRule="auto"/>
      </w:pPr>
      <w:r>
        <w:rPr>
          <w:color w:val="444444"/>
          <w:sz w:val="20"/>
          <w:szCs w:val="20"/>
        </w:rPr>
        <w:t>This pattern mirrors ILD signals observed in other long‑half‑life antibody‑based modalities (including some ADCs), reinforcing that the risk is scaffold‑driven, not target‑specific.</w:t>
      </w:r>
    </w:p>
    <w:p w14:paraId="558C9AF3" w14:textId="77777777" w:rsidR="008965F9" w:rsidRDefault="008965F9">
      <w:pPr>
        <w:pBdr>
          <w:bottom w:val="single" w:sz="4" w:space="1" w:color="B1C8B0"/>
        </w:pBdr>
        <w:spacing w:before="160" w:after="160"/>
      </w:pPr>
    </w:p>
    <w:p w14:paraId="558C9AF4" w14:textId="77777777" w:rsidR="008965F9" w:rsidRDefault="00000000">
      <w:pPr>
        <w:spacing w:before="280" w:after="120"/>
      </w:pPr>
      <w:commentRangeStart w:id="0"/>
      <w:r>
        <w:rPr>
          <w:b/>
          <w:bCs/>
          <w:color w:val="002924"/>
        </w:rPr>
        <w:t xml:space="preserve">Q: </w:t>
      </w:r>
      <w:r>
        <w:rPr>
          <w:b/>
          <w:bCs/>
          <w:color w:val="333333"/>
        </w:rPr>
        <w:t>What preclinical studies can you run to de-risk emergence of a similar safety profile when in humans?</w:t>
      </w:r>
      <w:commentRangeEnd w:id="0"/>
      <w:r w:rsidR="00FF64A1">
        <w:rPr>
          <w:rStyle w:val="CommentReference"/>
          <w:sz w:val="21"/>
          <w:szCs w:val="21"/>
        </w:rPr>
        <w:commentReference w:id="0"/>
      </w:r>
    </w:p>
    <w:p w14:paraId="558C9AF5" w14:textId="77777777" w:rsidR="008965F9" w:rsidRDefault="00000000">
      <w:pPr>
        <w:spacing w:after="80"/>
      </w:pPr>
      <w:r>
        <w:rPr>
          <w:b/>
          <w:bCs/>
          <w:color w:val="666666"/>
          <w:sz w:val="18"/>
          <w:szCs w:val="18"/>
        </w:rPr>
        <w:t xml:space="preserve">Source: </w:t>
      </w:r>
      <w:r>
        <w:rPr>
          <w:i/>
          <w:iCs/>
          <w:color w:val="666666"/>
          <w:sz w:val="18"/>
          <w:szCs w:val="18"/>
        </w:rPr>
        <w:t>Avidity Diligence Questions (2026-04-24)</w:t>
      </w:r>
    </w:p>
    <w:p w14:paraId="558C9AF6" w14:textId="77777777" w:rsidR="008965F9" w:rsidRDefault="00000000">
      <w:pPr>
        <w:spacing w:before="80" w:after="40"/>
      </w:pPr>
      <w:r>
        <w:rPr>
          <w:b/>
          <w:bCs/>
          <w:i/>
          <w:iCs/>
          <w:color w:val="4A7C59"/>
          <w:sz w:val="19"/>
          <w:szCs w:val="19"/>
        </w:rPr>
        <w:t>Answer:</w:t>
      </w:r>
    </w:p>
    <w:p w14:paraId="558C9AF7" w14:textId="77777777" w:rsidR="008965F9" w:rsidRDefault="00000000">
      <w:pPr>
        <w:spacing w:after="100" w:line="264" w:lineRule="auto"/>
      </w:pPr>
      <w:r>
        <w:rPr>
          <w:color w:val="444444"/>
          <w:sz w:val="20"/>
          <w:szCs w:val="20"/>
        </w:rPr>
        <w:t>ANSWER:</w:t>
      </w:r>
    </w:p>
    <w:p w14:paraId="558C9AF8" w14:textId="77777777" w:rsidR="008965F9" w:rsidRDefault="00000000">
      <w:pPr>
        <w:spacing w:after="100" w:line="264" w:lineRule="auto"/>
      </w:pPr>
      <w:r>
        <w:rPr>
          <w:color w:val="444444"/>
          <w:sz w:val="20"/>
          <w:szCs w:val="20"/>
        </w:rPr>
        <w:t>To mitigate the risk of ILD seen with J&amp;J’s ²²⁵Ac–labeled KLK2 antibody, a peptide‑based KLK2 RLT can be de‑risked preclinically using a focused, mechanism‑driven assay stack. This includes quantitative biodistribution and lung dosimetry to confirm rapid blood clearance, low lung AUC, and transient first‑pass exposure rather than retained pulmonary dose; plasma PK and endothelial binding assays to demonstrate short circulating half‑life and absence of FcγR‑ or immune‑mediated lung interactions; lung‑focused histopathology after single and repeat alpha dosing to exclude delayed pneumonitis or fibrotic remodeling; cytokine profiling and bronchoalveolar lavage analyses to rule out immune‑amplified lung injury; and KLK2 expression/autoradiography studies to exclude target‑driven pulmonary uptake. Together, these assays directly interrogate and eliminate the antibody‑specific failure modes (chronic circulation, Fc biology, cumulative lung dose) that underpinned ILD risk, while leveraging peptide PK and imaging‑based dosimetry to prospectively bound lung exposure. Furthermore, performing Phase 0 imaging dosimetry study will further evaluate if there is any localization to the lung prior to moving into a therapy clinical study.</w:t>
      </w:r>
    </w:p>
    <w:p w14:paraId="558C9AF9" w14:textId="77777777" w:rsidR="008965F9" w:rsidRDefault="008965F9">
      <w:pPr>
        <w:pBdr>
          <w:bottom w:val="single" w:sz="4" w:space="1" w:color="B1C8B0"/>
        </w:pBdr>
        <w:spacing w:before="160" w:after="160"/>
      </w:pPr>
    </w:p>
    <w:p w14:paraId="558C9AFA" w14:textId="77777777" w:rsidR="008965F9" w:rsidRDefault="00000000">
      <w:pPr>
        <w:spacing w:before="280" w:after="120"/>
      </w:pPr>
      <w:r>
        <w:rPr>
          <w:b/>
          <w:bCs/>
          <w:color w:val="002924"/>
        </w:rPr>
        <w:t xml:space="preserve">Q: </w:t>
      </w:r>
      <w:r>
        <w:rPr>
          <w:b/>
          <w:bCs/>
          <w:color w:val="333333"/>
        </w:rPr>
        <w:t>Why might a peptide-based approach may be a better approach? How does this make sense in the context of use with long-lived isotope?</w:t>
      </w:r>
    </w:p>
    <w:p w14:paraId="558C9AFB" w14:textId="77777777" w:rsidR="008965F9" w:rsidRDefault="00000000">
      <w:pPr>
        <w:spacing w:after="80"/>
      </w:pPr>
      <w:r>
        <w:rPr>
          <w:b/>
          <w:bCs/>
          <w:color w:val="666666"/>
          <w:sz w:val="18"/>
          <w:szCs w:val="18"/>
        </w:rPr>
        <w:t xml:space="preserve">Source: </w:t>
      </w:r>
      <w:r>
        <w:rPr>
          <w:i/>
          <w:iCs/>
          <w:color w:val="666666"/>
          <w:sz w:val="18"/>
          <w:szCs w:val="18"/>
        </w:rPr>
        <w:t>Avidity Diligence Questions (2026-04-24)</w:t>
      </w:r>
    </w:p>
    <w:p w14:paraId="558C9AFC" w14:textId="77777777" w:rsidR="008965F9" w:rsidRDefault="00000000">
      <w:pPr>
        <w:spacing w:before="80" w:after="40"/>
      </w:pPr>
      <w:r>
        <w:rPr>
          <w:b/>
          <w:bCs/>
          <w:i/>
          <w:iCs/>
          <w:color w:val="4A7C59"/>
          <w:sz w:val="19"/>
          <w:szCs w:val="19"/>
        </w:rPr>
        <w:t>Answer:</w:t>
      </w:r>
    </w:p>
    <w:p w14:paraId="558C9AFD" w14:textId="77777777" w:rsidR="008965F9" w:rsidRDefault="00000000">
      <w:pPr>
        <w:spacing w:after="100" w:line="264" w:lineRule="auto"/>
      </w:pPr>
      <w:r>
        <w:rPr>
          <w:color w:val="444444"/>
          <w:sz w:val="20"/>
          <w:szCs w:val="20"/>
        </w:rPr>
        <w:t>ANSWER:</w:t>
      </w:r>
    </w:p>
    <w:p w14:paraId="558C9AFE" w14:textId="77777777" w:rsidR="008965F9" w:rsidRDefault="00000000">
      <w:pPr>
        <w:spacing w:after="100" w:line="264" w:lineRule="auto"/>
      </w:pPr>
      <w:r>
        <w:rPr>
          <w:color w:val="444444"/>
          <w:sz w:val="20"/>
          <w:szCs w:val="20"/>
        </w:rPr>
        <w:t>Peptide-based RLT will remove IgG like characteristics that were attributed to the cause of ILD, such as long circulating half-life, Fc biology and cumulative lung dose. As the lung uptake was not attributed to KLK2 expression, the long radionuclide half-life should not be a concern due to the lack of target-specific uptake and therefore lack of disposition of Ac-225 in the lungs of patients when using peptide-based RLT.</w:t>
      </w:r>
    </w:p>
    <w:p w14:paraId="558C9B07" w14:textId="77777777" w:rsidR="008965F9" w:rsidRDefault="008965F9">
      <w:pPr>
        <w:pBdr>
          <w:bottom w:val="single" w:sz="4" w:space="1" w:color="B1C8B0"/>
        </w:pBdr>
        <w:spacing w:before="160" w:after="160"/>
      </w:pPr>
    </w:p>
    <w:p w14:paraId="558C9B08" w14:textId="77777777" w:rsidR="008965F9" w:rsidRDefault="00000000">
      <w:pPr>
        <w:spacing w:before="280" w:after="120"/>
      </w:pPr>
      <w:r>
        <w:rPr>
          <w:b/>
          <w:bCs/>
          <w:color w:val="002924"/>
        </w:rPr>
        <w:t xml:space="preserve">Q: </w:t>
      </w:r>
      <w:r>
        <w:rPr>
          <w:b/>
          <w:bCs/>
          <w:color w:val="333333"/>
        </w:rPr>
        <w:t>What is the team’s view on J&amp;J’s KLK2 RLT? Aside from some of the toxicity issues that could be derived from their antibody-based format, how will Sego’s KLK2 drug be positioned clinically against J&amp;J?</w:t>
      </w:r>
    </w:p>
    <w:p w14:paraId="558C9B09" w14:textId="77777777" w:rsidR="008965F9" w:rsidRDefault="00000000">
      <w:pPr>
        <w:spacing w:after="80"/>
      </w:pPr>
      <w:r>
        <w:rPr>
          <w:b/>
          <w:bCs/>
          <w:color w:val="666666"/>
          <w:sz w:val="18"/>
          <w:szCs w:val="18"/>
        </w:rPr>
        <w:t xml:space="preserve">Source: </w:t>
      </w:r>
      <w:r>
        <w:rPr>
          <w:i/>
          <w:iCs/>
          <w:color w:val="666666"/>
          <w:sz w:val="18"/>
          <w:szCs w:val="18"/>
        </w:rPr>
        <w:t>NVF DD Responses — Final (2026-05-20)</w:t>
      </w:r>
    </w:p>
    <w:p w14:paraId="558C9B0A" w14:textId="77777777" w:rsidR="008965F9" w:rsidRDefault="00000000">
      <w:pPr>
        <w:spacing w:before="80" w:after="40"/>
      </w:pPr>
      <w:r>
        <w:rPr>
          <w:b/>
          <w:bCs/>
          <w:i/>
          <w:iCs/>
          <w:color w:val="4A7C59"/>
          <w:sz w:val="19"/>
          <w:szCs w:val="19"/>
        </w:rPr>
        <w:lastRenderedPageBreak/>
        <w:t>Answer:</w:t>
      </w:r>
    </w:p>
    <w:p w14:paraId="558C9B0B" w14:textId="77777777" w:rsidR="008965F9" w:rsidRDefault="00000000">
      <w:pPr>
        <w:spacing w:after="100" w:line="264" w:lineRule="auto"/>
      </w:pPr>
      <w:r>
        <w:rPr>
          <w:color w:val="444444"/>
          <w:sz w:val="20"/>
          <w:szCs w:val="20"/>
        </w:rPr>
        <w:t>JNJ-6420 validated KLK2 as a clinically tractable RLT target through target engagement and dose dependent response. However, the Phase 1 data (n=89) reported four treatment-related deaths, including two from ILD at cumulative doses ≥600 μCi, with 9% ILD incidence and 63% thrombocytopenia in the ≥150 μCi cohorts (ASCO 2024, JCO 42:5010).</w:t>
      </w:r>
    </w:p>
    <w:p w14:paraId="558C9B0C" w14:textId="77777777" w:rsidR="008965F9" w:rsidRDefault="00000000">
      <w:pPr>
        <w:spacing w:after="100" w:line="264" w:lineRule="auto"/>
      </w:pPr>
      <w:r>
        <w:rPr>
          <w:color w:val="444444"/>
          <w:sz w:val="20"/>
          <w:szCs w:val="20"/>
        </w:rPr>
        <w:t>Antibodies cause toxicity with RLT due to the (i) prolonged blood residence (days to weeks) drives sustained marrow irradiation and cumulative lung dose, (ii) Fc-gamma receptor engagement promotes nonspecific hematologic toxicity independent of KLK2 expression, and (iii) saturating mass doses amplify off-target tissue exposure.</w:t>
      </w:r>
    </w:p>
    <w:p w14:paraId="558C9B0D" w14:textId="77777777" w:rsidR="008965F9" w:rsidRDefault="00000000">
      <w:pPr>
        <w:spacing w:after="100" w:line="264" w:lineRule="auto"/>
      </w:pPr>
      <w:r>
        <w:rPr>
          <w:color w:val="444444"/>
          <w:sz w:val="20"/>
          <w:szCs w:val="20"/>
        </w:rPr>
        <w:t>More broadly, we believe the combination of antibody PK and alpha-emitting payloads like Ac-225 presents a fundamental pharmacologic mismatch, prolonged circulation with high-LET isotope generates unavoidable cumulative normal-tissue radiation that will be difficult to manage through dose modification alone, making a viable therapeutic index unlikely.</w:t>
      </w:r>
    </w:p>
    <w:p w14:paraId="558C9B0E" w14:textId="77777777" w:rsidR="008965F9" w:rsidRDefault="00000000">
      <w:pPr>
        <w:spacing w:after="100" w:line="264" w:lineRule="auto"/>
      </w:pPr>
      <w:r>
        <w:rPr>
          <w:color w:val="444444"/>
          <w:sz w:val="20"/>
          <w:szCs w:val="20"/>
        </w:rPr>
        <w:t>Sego’s small molecules and peptides are designed to eliminate all three liabilities. Short circulating half-life (tens of minutes) reduces blood-pool and lung radiation exposure. No Fc domain removes the marrow sink. Non-saturating doses restrict binding to high-expression tumor. The Phase 0 study will confirm lung and marrow dosimetry before any therapeutic activity is administered.</w:t>
      </w:r>
    </w:p>
    <w:p w14:paraId="558C9B0F" w14:textId="77777777" w:rsidR="008965F9" w:rsidRDefault="00000000">
      <w:pPr>
        <w:spacing w:after="100" w:line="264" w:lineRule="auto"/>
      </w:pPr>
      <w:r>
        <w:rPr>
          <w:color w:val="444444"/>
          <w:sz w:val="20"/>
          <w:szCs w:val="20"/>
        </w:rPr>
        <w:t>Sego will position KLK2-RLT as a backbone agent in earlier lines of prostate cancer, not the late-line, dose-limited setting that defines J&amp;J’s current development path. A wider therapeutic index supports higher cumulative tumor doses, and critically, enables combination strategies such as pairing with ARPIs where additive of synergistic efficacy would be expected but only feasible with a safety profile that tolerates chronic co-administration.</w:t>
      </w:r>
    </w:p>
    <w:p w14:paraId="558C9B10" w14:textId="77777777" w:rsidR="008965F9" w:rsidRDefault="00000000">
      <w:r>
        <w:br w:type="page"/>
      </w:r>
    </w:p>
    <w:p w14:paraId="558C9B11" w14:textId="77777777" w:rsidR="008965F9" w:rsidRDefault="00000000">
      <w:pPr>
        <w:pStyle w:val="Heading1"/>
        <w:spacing w:before="100" w:after="200"/>
      </w:pPr>
      <w:r>
        <w:lastRenderedPageBreak/>
        <w:t>CEACAM5</w:t>
      </w:r>
    </w:p>
    <w:p w14:paraId="558C9B1D" w14:textId="77777777" w:rsidR="008965F9" w:rsidRDefault="008965F9">
      <w:pPr>
        <w:pBdr>
          <w:bottom w:val="single" w:sz="4" w:space="1" w:color="B1C8B0"/>
        </w:pBdr>
        <w:spacing w:before="160" w:after="160"/>
      </w:pPr>
    </w:p>
    <w:p w14:paraId="558C9B1E" w14:textId="77777777" w:rsidR="008965F9" w:rsidRDefault="00000000">
      <w:pPr>
        <w:spacing w:before="280" w:after="120"/>
      </w:pPr>
      <w:r>
        <w:rPr>
          <w:b/>
          <w:bCs/>
          <w:color w:val="002924"/>
        </w:rPr>
        <w:t xml:space="preserve">Q: </w:t>
      </w:r>
      <w:r>
        <w:rPr>
          <w:b/>
          <w:bCs/>
          <w:color w:val="333333"/>
        </w:rPr>
        <w:t>For each of your targets, can you outline: 1) Why this is more suited to the RLT modality than ADC? 2) How you will position against ADCs against the same target (if applicable) and 3) What you view as the value inflection point? E.g. Ph0, 1, 2, 3+</w:t>
      </w:r>
    </w:p>
    <w:p w14:paraId="558C9B1F" w14:textId="77777777" w:rsidR="008965F9" w:rsidRDefault="00000000">
      <w:pPr>
        <w:spacing w:after="80"/>
      </w:pPr>
      <w:r>
        <w:rPr>
          <w:b/>
          <w:bCs/>
          <w:color w:val="666666"/>
          <w:sz w:val="18"/>
          <w:szCs w:val="18"/>
        </w:rPr>
        <w:t xml:space="preserve">Source: </w:t>
      </w:r>
      <w:r>
        <w:rPr>
          <w:i/>
          <w:iCs/>
          <w:color w:val="666666"/>
          <w:sz w:val="18"/>
          <w:szCs w:val="18"/>
        </w:rPr>
        <w:t>Polaris DD Questions (2026-05-05)</w:t>
      </w:r>
    </w:p>
    <w:p w14:paraId="558C9B20" w14:textId="77777777" w:rsidR="008965F9" w:rsidRDefault="00000000">
      <w:pPr>
        <w:spacing w:after="120"/>
      </w:pPr>
      <w:r>
        <w:rPr>
          <w:b/>
          <w:bCs/>
          <w:color w:val="4A7C59"/>
          <w:sz w:val="18"/>
          <w:szCs w:val="18"/>
        </w:rPr>
        <w:t xml:space="preserve">Targets: </w:t>
      </w:r>
      <w:r>
        <w:rPr>
          <w:color w:val="4A7C59"/>
          <w:sz w:val="18"/>
          <w:szCs w:val="18"/>
        </w:rPr>
        <w:t>CEACAM5, CLDN1, MUC1-C</w:t>
      </w:r>
    </w:p>
    <w:p w14:paraId="558C9B21" w14:textId="77777777" w:rsidR="008965F9" w:rsidRDefault="00000000">
      <w:pPr>
        <w:spacing w:before="80" w:after="40"/>
      </w:pPr>
      <w:r>
        <w:rPr>
          <w:b/>
          <w:bCs/>
          <w:i/>
          <w:iCs/>
          <w:color w:val="4A7C59"/>
          <w:sz w:val="19"/>
          <w:szCs w:val="19"/>
        </w:rPr>
        <w:t>Answer:</w:t>
      </w:r>
    </w:p>
    <w:p w14:paraId="558C9B22" w14:textId="77777777" w:rsidR="008965F9" w:rsidRDefault="00000000">
      <w:pPr>
        <w:spacing w:after="100" w:line="264" w:lineRule="auto"/>
      </w:pPr>
      <w:r>
        <w:rPr>
          <w:color w:val="444444"/>
          <w:sz w:val="20"/>
          <w:szCs w:val="20"/>
        </w:rPr>
        <w:t>RLT outperforms ADCs on mechanism, toxicity predictability, and resistance profile for Sego's target set, with earlier value inflection (Ph 0) vs. ADCs against the same targets.</w:t>
      </w:r>
    </w:p>
    <w:p w14:paraId="558C9B23" w14:textId="77777777" w:rsidR="008965F9" w:rsidRDefault="00000000">
      <w:pPr>
        <w:spacing w:after="100" w:line="264" w:lineRule="auto"/>
      </w:pPr>
      <w:r>
        <w:rPr>
          <w:color w:val="444444"/>
          <w:sz w:val="20"/>
          <w:szCs w:val="20"/>
        </w:rPr>
        <w:t>Suitability to each modality: ADCs depend on receptor-mediated internalization, intracellular trafficking, and enzymatic payload release. Each step is a failure mode. Efficacy and toxicity are sensitive to linker stability, payload class, and tumor cell biology. IgG-based ADCs carry additional scaffold-driven risk: Fcγ receptor engagement promotes non-tumor uptake, immune activation, and prolonged tissue exposure. Saturating mass doses in combination with prolonged tissue exposure limit the ability to reduce off-tumor exposure to target expressing and non-expressing tissues. This has historically produced narrow or unpredictable therapeutic windows and off-target toxicities (ocular, pulmonary, GI). Resistance mechanisms including drug efflux and impaired internalization limit durability.</w:t>
      </w:r>
    </w:p>
    <w:p w14:paraId="558C9B24" w14:textId="77777777" w:rsidR="008965F9" w:rsidRDefault="00000000">
      <w:pPr>
        <w:spacing w:after="100" w:line="264" w:lineRule="auto"/>
      </w:pPr>
      <w:r>
        <w:rPr>
          <w:color w:val="444444"/>
          <w:sz w:val="20"/>
          <w:szCs w:val="20"/>
        </w:rPr>
        <w:t>RLT delivers cytotoxicity through localized radiation emission, independent of cell cycle status and intracellular payload processing. Alpha particles from ²²⁵Ac cause irreparable DNA double strand breaks. ¹⁶¹Tb emission profile contains beta-minus particles that cause single and double strand breaks in addition to Auger and conversion electrons that add high-LET damage at short distances. Crossfire from both isotopes addresses tumor heterogeneity without requiring receptor expression on every cell. Sego's radioligands are administered at non-saturating mass doses with rapid renal clearance, preserving the tumor-to-normal tissue dose ratio that defines the therapeutic window. The same logic holds across all six programs.</w:t>
      </w:r>
    </w:p>
    <w:p w14:paraId="558C9B25" w14:textId="77777777" w:rsidR="008965F9" w:rsidRDefault="00000000">
      <w:pPr>
        <w:spacing w:after="100" w:line="264" w:lineRule="auto"/>
      </w:pPr>
      <w:r>
        <w:rPr>
          <w:color w:val="444444"/>
          <w:sz w:val="20"/>
          <w:szCs w:val="20"/>
        </w:rPr>
        <w:t>Positioning against ADCs on the same antigen: Where ADC programs exist on Sego's targets (CEACAM5, MUC1-C, CLDN1), RLT offers an orthogonal MOA and distinct toxicity profile, enabling combination sequencing rather than purely competitive positioning. RLT can be deployed after ADC progression or co-developed as a treatment backbone. Clinical efficacy of CEACAM5 ADCs has potentially been limited due to the lack of internalization and intracellular payload release, while historical MUC1 ADCs have bound aberrantly glycosylated MUC1-N which is shed and can reduce efficacy.</w:t>
      </w:r>
    </w:p>
    <w:p w14:paraId="558C9B26" w14:textId="77777777" w:rsidR="008965F9" w:rsidRDefault="00000000">
      <w:pPr>
        <w:spacing w:after="100" w:line="264" w:lineRule="auto"/>
      </w:pPr>
      <w:r>
        <w:rPr>
          <w:color w:val="444444"/>
          <w:sz w:val="20"/>
          <w:szCs w:val="20"/>
        </w:rPr>
        <w:t>Value inflection point: Phase 0 imaging is the primary value event across the pipeline. Human dosimetry confirming tumor:kidney &gt;3 and tumor:marrow &gt;20, with evidence of tumor uptake and favorable organ-at-risk exposure, transforms a preclinical asset into a development candidate with a quantified dosimetry and therapeutic index in the patient population. This data package is directly decision-useful for BD partners, investors, and regulatory strategy. Phase 1 proof-of-efficacy signal is the second inflection; pivotal design and partnership discussions follow.</w:t>
      </w:r>
    </w:p>
    <w:p w14:paraId="558C9B3C" w14:textId="77777777" w:rsidR="008965F9" w:rsidRDefault="008965F9">
      <w:pPr>
        <w:pBdr>
          <w:bottom w:val="single" w:sz="4" w:space="1" w:color="B1C8B0"/>
        </w:pBdr>
        <w:spacing w:before="160" w:after="160"/>
      </w:pPr>
    </w:p>
    <w:p w14:paraId="558C9B3D" w14:textId="77777777" w:rsidR="008965F9" w:rsidRDefault="00000000">
      <w:pPr>
        <w:spacing w:before="280" w:after="120"/>
      </w:pPr>
      <w:r>
        <w:rPr>
          <w:b/>
          <w:bCs/>
          <w:color w:val="002924"/>
        </w:rPr>
        <w:t xml:space="preserve">Q: </w:t>
      </w:r>
      <w:r>
        <w:rPr>
          <w:b/>
          <w:bCs/>
          <w:color w:val="333333"/>
        </w:rPr>
        <w:t>Both MUC1-C and CEACAM are known to shed into circulation / act as a potential sink when circulating in serum. For RLT, how might high serum levels interfere with efficacy and effect safety?</w:t>
      </w:r>
    </w:p>
    <w:p w14:paraId="558C9B3E" w14:textId="77777777" w:rsidR="008965F9" w:rsidRDefault="00000000">
      <w:pPr>
        <w:spacing w:after="80"/>
      </w:pPr>
      <w:r>
        <w:rPr>
          <w:b/>
          <w:bCs/>
          <w:color w:val="666666"/>
          <w:sz w:val="18"/>
          <w:szCs w:val="18"/>
        </w:rPr>
        <w:t xml:space="preserve">Source: </w:t>
      </w:r>
      <w:r>
        <w:rPr>
          <w:i/>
          <w:iCs/>
          <w:color w:val="666666"/>
          <w:sz w:val="18"/>
          <w:szCs w:val="18"/>
        </w:rPr>
        <w:t>Avidity Diligence Questions (2026-04-24)</w:t>
      </w:r>
    </w:p>
    <w:p w14:paraId="558C9B3F" w14:textId="77777777" w:rsidR="008965F9" w:rsidRDefault="00000000">
      <w:pPr>
        <w:spacing w:after="120"/>
      </w:pPr>
      <w:r>
        <w:rPr>
          <w:b/>
          <w:bCs/>
          <w:color w:val="4A7C59"/>
          <w:sz w:val="18"/>
          <w:szCs w:val="18"/>
        </w:rPr>
        <w:t xml:space="preserve">Targets: </w:t>
      </w:r>
      <w:r>
        <w:rPr>
          <w:color w:val="4A7C59"/>
          <w:sz w:val="18"/>
          <w:szCs w:val="18"/>
        </w:rPr>
        <w:t>CEACAM5, MUC1-C</w:t>
      </w:r>
    </w:p>
    <w:p w14:paraId="558C9B40" w14:textId="77777777" w:rsidR="008965F9" w:rsidRDefault="00000000">
      <w:pPr>
        <w:spacing w:before="80" w:after="40"/>
      </w:pPr>
      <w:r>
        <w:rPr>
          <w:b/>
          <w:bCs/>
          <w:i/>
          <w:iCs/>
          <w:color w:val="4A7C59"/>
          <w:sz w:val="19"/>
          <w:szCs w:val="19"/>
        </w:rPr>
        <w:lastRenderedPageBreak/>
        <w:t>Answer:</w:t>
      </w:r>
    </w:p>
    <w:p w14:paraId="558C9B41" w14:textId="77777777" w:rsidR="008965F9" w:rsidRDefault="00000000">
      <w:pPr>
        <w:spacing w:after="100" w:line="264" w:lineRule="auto"/>
      </w:pPr>
      <w:r>
        <w:rPr>
          <w:color w:val="444444"/>
          <w:sz w:val="20"/>
          <w:szCs w:val="20"/>
        </w:rPr>
        <w:t>ANSWER:</w:t>
      </w:r>
    </w:p>
    <w:p w14:paraId="558C9B42" w14:textId="77777777" w:rsidR="008965F9" w:rsidRDefault="00000000">
      <w:pPr>
        <w:spacing w:after="100" w:line="264" w:lineRule="auto"/>
      </w:pPr>
      <w:r>
        <w:rPr>
          <w:color w:val="444444"/>
          <w:sz w:val="20"/>
          <w:szCs w:val="20"/>
        </w:rPr>
        <w:t>Serum antigen can interfere with radioligand therapy by acting as a pharmacologic sink that binds the radioligand in blood, reducing effective tumor delivery and potentially redirecting radioactivity to clearance organs such as liver, thereby narrowing the therapeutic index. This risk can be mitigated through deliberate target and epitope selection favoring membrane‑restricted antigens, affinity/avidity tuning to reduce soluble, monovalent antigen capture and favor membrane anchored antigen, and dosing strategies informed by diagnostic imaging. Importantly, imaging‑based biodistribution and quantitative dosimetry enable early, empirical assessment of serum antigen effects, allowing efficacy and safety risks to be identified and managed proactively during development.</w:t>
      </w:r>
    </w:p>
    <w:p w14:paraId="558C9B43" w14:textId="77777777" w:rsidR="008965F9" w:rsidRDefault="00000000">
      <w:pPr>
        <w:spacing w:after="100" w:line="264" w:lineRule="auto"/>
      </w:pPr>
      <w:r>
        <w:rPr>
          <w:color w:val="444444"/>
          <w:sz w:val="20"/>
          <w:szCs w:val="20"/>
        </w:rPr>
        <w:t>MUC1-C has been found in circulation primarily on circulating tumor cells in cancer patients and not as freely soluble protein. However, the MUC1-N subunit is shed and soluble in serum that can be measured as CA15-3/CA27.29. We will target the cell bound MUC1-C subunit.</w:t>
      </w:r>
    </w:p>
    <w:p w14:paraId="558C9B44" w14:textId="77777777" w:rsidR="008965F9" w:rsidRDefault="00000000">
      <w:pPr>
        <w:spacing w:after="100" w:line="264" w:lineRule="auto"/>
      </w:pPr>
      <w:r>
        <w:rPr>
          <w:color w:val="444444"/>
          <w:sz w:val="20"/>
          <w:szCs w:val="20"/>
        </w:rPr>
        <w:t>Full‑length CEACAM5 is shed into circulation and is present in serum at low levels in healthy individuals, typically &lt;3 ng/mL (≈15 pM), while levels &gt;10 ng/mL are commonly observed in advanced cancer patients. Circulating (soluble) CEACAM5 has a biological half‑life of approximately 4–5 days and is cleared predominantly via the liver. These properties raise potential concerns for very high‑affinity (sub‑nM) peptides administered at low mass doses, where serum CEACAM5 can act as a binding sink and alter biodistribution in cancer patients. Mitigation strategies are described above. From a mass‑balance perspective, a 100 µg dose of a 2 kDa peptide RLT corresponds to ~50 nmol, which is orders of magnitude higher than the total circulating soluble CEACAM5 pool (on the order of ~50 pmol), providing substantial buffering capacity against serum antigen binding under most dosing conditions.</w:t>
      </w:r>
    </w:p>
    <w:p w14:paraId="558C9B45" w14:textId="77777777" w:rsidR="008965F9" w:rsidRDefault="008965F9">
      <w:pPr>
        <w:pBdr>
          <w:bottom w:val="single" w:sz="4" w:space="1" w:color="B1C8B0"/>
        </w:pBdr>
        <w:spacing w:before="160" w:after="160"/>
      </w:pPr>
    </w:p>
    <w:p w14:paraId="558C9B4E" w14:textId="77777777" w:rsidR="008965F9" w:rsidRDefault="00000000">
      <w:pPr>
        <w:spacing w:before="280" w:after="120"/>
      </w:pPr>
      <w:r>
        <w:rPr>
          <w:b/>
          <w:bCs/>
          <w:color w:val="002924"/>
        </w:rPr>
        <w:t xml:space="preserve">Q: </w:t>
      </w:r>
      <w:r>
        <w:rPr>
          <w:b/>
          <w:bCs/>
          <w:color w:val="333333"/>
        </w:rPr>
        <w:t>Based on past clinical experience with ADCs, T-cell engagers, and CAR-T therapies, what gives you confidence that CEACAM-5 remains an attractive target in CRC?</w:t>
      </w:r>
    </w:p>
    <w:p w14:paraId="558C9B4F" w14:textId="77777777" w:rsidR="008965F9" w:rsidRDefault="00000000">
      <w:pPr>
        <w:spacing w:after="80"/>
      </w:pPr>
      <w:r>
        <w:rPr>
          <w:b/>
          <w:bCs/>
          <w:color w:val="666666"/>
          <w:sz w:val="18"/>
          <w:szCs w:val="18"/>
        </w:rPr>
        <w:t xml:space="preserve">Source: </w:t>
      </w:r>
      <w:r>
        <w:rPr>
          <w:i/>
          <w:iCs/>
          <w:color w:val="666666"/>
          <w:sz w:val="18"/>
          <w:szCs w:val="18"/>
        </w:rPr>
        <w:t>Running List of Diligence Questions</w:t>
      </w:r>
    </w:p>
    <w:p w14:paraId="558C9B50" w14:textId="77777777" w:rsidR="008965F9" w:rsidRDefault="00000000">
      <w:pPr>
        <w:spacing w:before="80" w:after="40"/>
      </w:pPr>
      <w:r>
        <w:rPr>
          <w:b/>
          <w:bCs/>
          <w:i/>
          <w:iCs/>
          <w:color w:val="4A7C59"/>
          <w:sz w:val="19"/>
          <w:szCs w:val="19"/>
        </w:rPr>
        <w:t>Answer:</w:t>
      </w:r>
    </w:p>
    <w:p w14:paraId="558C9B51" w14:textId="77777777" w:rsidR="008965F9" w:rsidRDefault="00000000">
      <w:pPr>
        <w:spacing w:after="100" w:line="264" w:lineRule="auto"/>
      </w:pPr>
      <w:r>
        <w:rPr>
          <w:color w:val="444444"/>
          <w:sz w:val="20"/>
          <w:szCs w:val="20"/>
        </w:rPr>
        <w:t>Extensive human imaging experience supports target accessibility and de‑risks translation. Historical programs were limited primarily by modality constraints, which will not apply to a CEACAM5 targeted peptide RLT. ADCs suffered from slow internalization and payload class adverse events (e.g. ocular tox) that resulted in a narrow therapeutic window (ESMO 2022). CAR-T studies reported various grades of immune‑mediated toxicities, with one specific trial reporting on-target off-tumor severe colitis after intraperitoneal administration (Med Onc 2025). T-cell engagers reported GI issues as on-target, off-tumor adverse events that occurred early after dosing and at higher doses (Nat Comm 2023). CEACAM5 remains very highly and homogeneously expressed in CRC, with tumor‑specific accessibility due to loss of apical polarity and overexpression in cancer cells. RLT is not dependent on the appropriate tumor-immune microenvironment or rapid internalization and therefore better aligns with CEACAM5 biology.</w:t>
      </w:r>
    </w:p>
    <w:p w14:paraId="558C9B52" w14:textId="77777777" w:rsidR="008965F9" w:rsidRDefault="008965F9">
      <w:pPr>
        <w:pBdr>
          <w:bottom w:val="single" w:sz="4" w:space="1" w:color="B1C8B0"/>
        </w:pBdr>
        <w:spacing w:before="160" w:after="160"/>
      </w:pPr>
    </w:p>
    <w:p w14:paraId="558C9B53" w14:textId="77777777" w:rsidR="008965F9" w:rsidRDefault="00000000">
      <w:pPr>
        <w:spacing w:before="280" w:after="120"/>
      </w:pPr>
      <w:r>
        <w:rPr>
          <w:b/>
          <w:bCs/>
          <w:color w:val="002924"/>
        </w:rPr>
        <w:t xml:space="preserve">Q: </w:t>
      </w:r>
      <w:r>
        <w:rPr>
          <w:b/>
          <w:bCs/>
          <w:color w:val="333333"/>
        </w:rPr>
        <w:t>Can you provide additional color on the clinical development plan of M9140 from Merck KGaA? What strategic considerations led to the decision to partner in earlier lines of therapy?</w:t>
      </w:r>
    </w:p>
    <w:p w14:paraId="558C9B54" w14:textId="77777777" w:rsidR="008965F9" w:rsidRDefault="00000000">
      <w:pPr>
        <w:spacing w:after="80"/>
      </w:pPr>
      <w:r>
        <w:rPr>
          <w:b/>
          <w:bCs/>
          <w:color w:val="666666"/>
          <w:sz w:val="18"/>
          <w:szCs w:val="18"/>
        </w:rPr>
        <w:t xml:space="preserve">Source: </w:t>
      </w:r>
      <w:r>
        <w:rPr>
          <w:i/>
          <w:iCs/>
          <w:color w:val="666666"/>
          <w:sz w:val="18"/>
          <w:szCs w:val="18"/>
        </w:rPr>
        <w:t>Running List of Diligence Questions</w:t>
      </w:r>
    </w:p>
    <w:p w14:paraId="558C9B55" w14:textId="77777777" w:rsidR="008965F9" w:rsidRDefault="00000000">
      <w:pPr>
        <w:spacing w:before="80" w:after="40"/>
      </w:pPr>
      <w:r>
        <w:rPr>
          <w:b/>
          <w:bCs/>
          <w:i/>
          <w:iCs/>
          <w:color w:val="4A7C59"/>
          <w:sz w:val="19"/>
          <w:szCs w:val="19"/>
        </w:rPr>
        <w:t>Answer:</w:t>
      </w:r>
    </w:p>
    <w:p w14:paraId="558C9B56" w14:textId="77777777" w:rsidR="008965F9" w:rsidRDefault="00000000">
      <w:pPr>
        <w:spacing w:after="100" w:line="264" w:lineRule="auto"/>
      </w:pPr>
      <w:r>
        <w:rPr>
          <w:color w:val="444444"/>
          <w:sz w:val="20"/>
          <w:szCs w:val="20"/>
        </w:rPr>
        <w:t>Note: we assume you mean positioning in earlier lines of therapy here, vs. BD-type partnering</w:t>
      </w:r>
    </w:p>
    <w:p w14:paraId="558C9B57" w14:textId="77777777" w:rsidR="008965F9" w:rsidRDefault="00000000">
      <w:pPr>
        <w:spacing w:after="100" w:line="264" w:lineRule="auto"/>
      </w:pPr>
      <w:r>
        <w:rPr>
          <w:color w:val="444444"/>
          <w:sz w:val="20"/>
          <w:szCs w:val="20"/>
        </w:rPr>
        <w:lastRenderedPageBreak/>
        <w:t>Development of M9140 underscores confidence in the target and illustrates the operational complexity of advanced biologics. M9140 (Precemtabart tocentecan) is currently positioned as a potential third-line treatment (for heavily pretreated patients with irinotecan-refractory mCRC). Its Phase I ORR of 31% compares favorably to current 3L+ SOC monotherapies, which typically yield ORRs of 1-2%. Based on positive Phase I results (PROCEADE-CRC01), Merck plans to advance the drug directly into Phase III (initiate in the first half of 2026). Merck also launched a basket trial (Phase Ib/II, 2025) to evaluate M9140 monotherapy in other CEACAM5-high tumors (gastric, NSCLC, pancreatic cancers).</w:t>
      </w:r>
    </w:p>
    <w:p w14:paraId="558C9B58" w14:textId="77777777" w:rsidR="008965F9" w:rsidRDefault="00000000">
      <w:pPr>
        <w:spacing w:after="100" w:line="264" w:lineRule="auto"/>
      </w:pPr>
      <w:r>
        <w:rPr>
          <w:color w:val="444444"/>
          <w:sz w:val="20"/>
          <w:szCs w:val="20"/>
        </w:rPr>
        <w:t>Merck’s strategy to move into earlier lines is based on several key factors: 1) the superior safety profile, due to a b-glucuronide cleavable, hydrophilic linker that is stable in circulation and cleaved in the lysosome (intracellular) and the tumor interstitium (extracellular), with no IDL or ocular toxicities to date, and primarily hematologic toxicities that are manageable and reversible, 2) the potent payload (topoisomerase 1 inhibitor exatecan) and high drug-to-mAb ratio might overcome irinotecan resistance. This makes M9140 a viable candidate for long-term combination therapies in earlier settings where patients are less frail.</w:t>
      </w:r>
    </w:p>
    <w:p w14:paraId="558C9B59" w14:textId="77777777" w:rsidR="008965F9" w:rsidRDefault="00000000">
      <w:pPr>
        <w:spacing w:after="100" w:line="264" w:lineRule="auto"/>
      </w:pPr>
      <w:r>
        <w:rPr>
          <w:color w:val="444444"/>
          <w:sz w:val="20"/>
          <w:szCs w:val="20"/>
        </w:rPr>
        <w:t>That rationale for earlier positioning would also apply to RLT, which will be designed to deliver minimal on-target, off-tumor toxicity due to its optimized PK. Anti-CEACAM5 RLT exhibits anti-tumor activity upon internalization and both crossfire and bystander effects when bound to the cell surface (choice of radionuclide). RLT would provide an alternative treatment option to avoid or overcome irinotecan resistance (another TOP1 inhibitor). Early‑line positioning aims to maximize benefit in lower‑burden disease. This reinforces our view that modality choice and disease setting materially affect CEACAM5 outcomes and that simpler, scalable peptide‑RLT approaches can offer executional advantages. We see RLT as a modality with high combinability due to its orthogonal mechanism of action.</w:t>
      </w:r>
    </w:p>
    <w:p w14:paraId="558C9B5A" w14:textId="77777777" w:rsidR="008965F9" w:rsidRDefault="008965F9">
      <w:pPr>
        <w:pBdr>
          <w:bottom w:val="single" w:sz="4" w:space="1" w:color="B1C8B0"/>
        </w:pBdr>
        <w:spacing w:before="160" w:after="160"/>
      </w:pPr>
    </w:p>
    <w:p w14:paraId="558C9B5B" w14:textId="77777777" w:rsidR="008965F9" w:rsidRDefault="00000000">
      <w:pPr>
        <w:spacing w:before="280" w:after="120"/>
      </w:pPr>
      <w:r>
        <w:rPr>
          <w:b/>
          <w:bCs/>
          <w:color w:val="002924"/>
        </w:rPr>
        <w:t xml:space="preserve">Q: </w:t>
      </w:r>
      <w:r>
        <w:rPr>
          <w:b/>
          <w:bCs/>
          <w:color w:val="333333"/>
        </w:rPr>
        <w:t>From a safety perspective, while ADC toxicity profiles are generally manageable, prior T cell therapy experiences have shown toxicities including colitis and respiratory toxicity that may be target-related. Can you share your thoughts on the potential on-target toxicity of CEACAM-5 and your approach to mitigating these risks?</w:t>
      </w:r>
    </w:p>
    <w:p w14:paraId="558C9B5C" w14:textId="77777777" w:rsidR="008965F9" w:rsidRDefault="00000000">
      <w:pPr>
        <w:spacing w:after="80"/>
      </w:pPr>
      <w:r>
        <w:rPr>
          <w:b/>
          <w:bCs/>
          <w:color w:val="666666"/>
          <w:sz w:val="18"/>
          <w:szCs w:val="18"/>
        </w:rPr>
        <w:t xml:space="preserve">Source: </w:t>
      </w:r>
      <w:r>
        <w:rPr>
          <w:i/>
          <w:iCs/>
          <w:color w:val="666666"/>
          <w:sz w:val="18"/>
          <w:szCs w:val="18"/>
        </w:rPr>
        <w:t>Running List of Diligence Questions</w:t>
      </w:r>
    </w:p>
    <w:p w14:paraId="558C9B5D" w14:textId="77777777" w:rsidR="008965F9" w:rsidRDefault="00000000">
      <w:pPr>
        <w:spacing w:before="80" w:after="40"/>
      </w:pPr>
      <w:r>
        <w:rPr>
          <w:b/>
          <w:bCs/>
          <w:i/>
          <w:iCs/>
          <w:color w:val="4A7C59"/>
          <w:sz w:val="19"/>
          <w:szCs w:val="19"/>
        </w:rPr>
        <w:t>Answer:</w:t>
      </w:r>
    </w:p>
    <w:p w14:paraId="558C9B5E" w14:textId="77777777" w:rsidR="008965F9" w:rsidRDefault="00000000">
      <w:pPr>
        <w:spacing w:after="100" w:line="264" w:lineRule="auto"/>
      </w:pPr>
      <w:r>
        <w:rPr>
          <w:color w:val="444444"/>
          <w:sz w:val="20"/>
          <w:szCs w:val="20"/>
        </w:rPr>
        <w:t>Toxicities observed with other CEACAM5-targeting therapies are thought to be modality-driven, rather than target driven: immune activation in T-cell therapies (in the lung) and payload metabolism in ADCs. RLT as a modality has fewer associated toxicities; instead, many RLT observed toxicities originate from on-target, off-tumor binding.</w:t>
      </w:r>
    </w:p>
    <w:p w14:paraId="558C9B5F" w14:textId="77777777" w:rsidR="008965F9" w:rsidRDefault="00000000">
      <w:pPr>
        <w:spacing w:after="100" w:line="264" w:lineRule="auto"/>
      </w:pPr>
      <w:r>
        <w:rPr>
          <w:color w:val="444444"/>
          <w:sz w:val="20"/>
          <w:szCs w:val="20"/>
        </w:rPr>
        <w:t>Based on clinical studies with other modalities, we do not expect significant on-target, off-tumor toxicities from CEACAM5 expression in healthy epithelial tissues. CEACAM5 expression on the apical surface of the GI epithelium is less accessible to RLT than CEACAM5 in the tumor, and rapid clearance from the blood circulation further improves the therapeutic index. Clinical imaging studies using antibodies or smaller nanobodies confirmed minimal uptake in the normal colon, attributable to preserved apical localization. Regardless, we will closely monitor uptake in the gastrointestinal tract and lung using FIH imaging studies. The advantage of using the same peptide for imaging-based dosimetry is central to our safety strategy and will guide patient selection and dose escalation.</w:t>
      </w:r>
    </w:p>
    <w:p w14:paraId="558C9B60" w14:textId="77777777" w:rsidR="008965F9" w:rsidRDefault="008965F9">
      <w:pPr>
        <w:pBdr>
          <w:bottom w:val="single" w:sz="4" w:space="1" w:color="B1C8B0"/>
        </w:pBdr>
        <w:spacing w:before="160" w:after="160"/>
      </w:pPr>
    </w:p>
    <w:p w14:paraId="558C9B61" w14:textId="77777777" w:rsidR="008965F9" w:rsidRDefault="00000000">
      <w:pPr>
        <w:spacing w:before="280" w:after="120"/>
      </w:pPr>
      <w:r>
        <w:rPr>
          <w:b/>
          <w:bCs/>
          <w:color w:val="002924"/>
        </w:rPr>
        <w:t xml:space="preserve">Q: </w:t>
      </w:r>
      <w:r>
        <w:rPr>
          <w:b/>
          <w:bCs/>
          <w:color w:val="333333"/>
        </w:rPr>
        <w:t>Can you compare the targeted domain of the anti-CEA M5A used in the PET bioimaging study you showed in the slide with the epitope targeted by the NIH CEACAM-5 TCR-T? Can you elaborate on the biological rationale of the M5A antibody from bioimaging study does not recognize normal colon mucosa?</w:t>
      </w:r>
    </w:p>
    <w:p w14:paraId="558C9B62" w14:textId="77777777" w:rsidR="008965F9" w:rsidRDefault="00000000">
      <w:pPr>
        <w:spacing w:after="80"/>
      </w:pPr>
      <w:r>
        <w:rPr>
          <w:b/>
          <w:bCs/>
          <w:color w:val="666666"/>
          <w:sz w:val="18"/>
          <w:szCs w:val="18"/>
        </w:rPr>
        <w:lastRenderedPageBreak/>
        <w:t xml:space="preserve">Source: </w:t>
      </w:r>
      <w:r>
        <w:rPr>
          <w:i/>
          <w:iCs/>
          <w:color w:val="666666"/>
          <w:sz w:val="18"/>
          <w:szCs w:val="18"/>
        </w:rPr>
        <w:t>Running List of Diligence Questions</w:t>
      </w:r>
    </w:p>
    <w:p w14:paraId="558C9B63" w14:textId="77777777" w:rsidR="008965F9" w:rsidRDefault="00000000">
      <w:pPr>
        <w:spacing w:before="80" w:after="40"/>
      </w:pPr>
      <w:r>
        <w:rPr>
          <w:b/>
          <w:bCs/>
          <w:i/>
          <w:iCs/>
          <w:color w:val="4A7C59"/>
          <w:sz w:val="19"/>
          <w:szCs w:val="19"/>
        </w:rPr>
        <w:t>Answer:</w:t>
      </w:r>
    </w:p>
    <w:p w14:paraId="558C9B64" w14:textId="77777777" w:rsidR="008965F9" w:rsidRDefault="00000000">
      <w:pPr>
        <w:spacing w:after="100" w:line="264" w:lineRule="auto"/>
      </w:pPr>
      <w:r>
        <w:rPr>
          <w:color w:val="444444"/>
          <w:sz w:val="20"/>
          <w:szCs w:val="20"/>
        </w:rPr>
        <w:t>The M5A antibody binds within the membrane-proximal IgC-like domains A3-B3 of CEACAM5, which is accessible on tumor cells but not in the normal healthy colon (expression restricted to the apical membrane). The clinical imaging data with ⁶⁴Cu-M5A support the concept that CEACAM5 can be selectively targeted when polarity is lost in tumors (Wong et al, 2023).</w:t>
      </w:r>
    </w:p>
    <w:p w14:paraId="558C9B65" w14:textId="77777777" w:rsidR="008965F9" w:rsidRDefault="00000000">
      <w:pPr>
        <w:spacing w:after="100" w:line="264" w:lineRule="auto"/>
      </w:pPr>
      <w:r>
        <w:rPr>
          <w:color w:val="444444"/>
          <w:sz w:val="20"/>
          <w:szCs w:val="20"/>
        </w:rPr>
        <w:t>In contrast, TCR-based approaches recognize intracellularly processed CEACAM5 peptides presented by HLA on the cell surface. This processing and presentation of CEACAM5 peptides on HLA occurs on both healthy cells and tumor cells. HLA expression in colonic epithelium is not polarized to the luminal side like CEACAM5 and might contribute to the toxicity of NIH TCR-T. The specific peptide for the NIH CEACAM-5 TCR-T program is IMIGVLVGV (residues 691-699 of CEACAM5) expressed on HLA-A*02:01. These residues are located within the A3-B3 domain of intact CEACAM5. Unlike small molecules or peptides with rapid clearance, adoptive T-cell therapies demonstrate prolonged, unpredictable systemic persistence (weeks to months), allowing continued migration into and engagement with normal tissue compartments such as the intestinal mucosa, where basal CEACAM5 expression may trigger on-target, off-tumor toxicity. High-affinity TCRs used in CEACAM5 TCR-T trials have shown on-target, off-tumor toxicity, including severe inflammatory colitis (Parkhurst et al., 2011).</w:t>
      </w:r>
    </w:p>
    <w:p w14:paraId="558C9B66" w14:textId="77777777" w:rsidR="008965F9" w:rsidRDefault="008965F9">
      <w:pPr>
        <w:pBdr>
          <w:bottom w:val="single" w:sz="4" w:space="1" w:color="B1C8B0"/>
        </w:pBdr>
        <w:spacing w:before="160" w:after="160"/>
      </w:pPr>
    </w:p>
    <w:p w14:paraId="558C9B67" w14:textId="77777777" w:rsidR="008965F9" w:rsidRDefault="00000000">
      <w:pPr>
        <w:spacing w:before="280" w:after="120"/>
      </w:pPr>
      <w:r>
        <w:rPr>
          <w:b/>
          <w:bCs/>
          <w:color w:val="002924"/>
        </w:rPr>
        <w:t xml:space="preserve">Q: </w:t>
      </w:r>
      <w:r>
        <w:rPr>
          <w:b/>
          <w:bCs/>
          <w:color w:val="333333"/>
        </w:rPr>
        <w:t>For the targets for which ADC competitors exist (ie. CEACAM5, GCC, MUC1), how will a RLT modality for that target be differentiated? What TPP will Sego aim for, especially the safety profile?</w:t>
      </w:r>
    </w:p>
    <w:p w14:paraId="558C9B68" w14:textId="77777777" w:rsidR="008965F9" w:rsidRDefault="00000000">
      <w:pPr>
        <w:spacing w:after="80"/>
      </w:pPr>
      <w:r>
        <w:rPr>
          <w:b/>
          <w:bCs/>
          <w:color w:val="666666"/>
          <w:sz w:val="18"/>
          <w:szCs w:val="18"/>
        </w:rPr>
        <w:t xml:space="preserve">Source: </w:t>
      </w:r>
      <w:r>
        <w:rPr>
          <w:i/>
          <w:iCs/>
          <w:color w:val="666666"/>
          <w:sz w:val="18"/>
          <w:szCs w:val="18"/>
        </w:rPr>
        <w:t>NVF DD Responses — Final (2026-05-20)</w:t>
      </w:r>
    </w:p>
    <w:p w14:paraId="558C9B69" w14:textId="77777777" w:rsidR="008965F9" w:rsidRDefault="00000000">
      <w:pPr>
        <w:spacing w:after="120"/>
      </w:pPr>
      <w:r>
        <w:rPr>
          <w:b/>
          <w:bCs/>
          <w:color w:val="4A7C59"/>
          <w:sz w:val="18"/>
          <w:szCs w:val="18"/>
        </w:rPr>
        <w:t xml:space="preserve">Targets: </w:t>
      </w:r>
      <w:r>
        <w:rPr>
          <w:color w:val="4A7C59"/>
          <w:sz w:val="18"/>
          <w:szCs w:val="18"/>
        </w:rPr>
        <w:t>CEACAM5, MUC1-C</w:t>
      </w:r>
    </w:p>
    <w:p w14:paraId="558C9B6A" w14:textId="77777777" w:rsidR="008965F9" w:rsidRDefault="00000000">
      <w:pPr>
        <w:spacing w:before="80" w:after="40"/>
      </w:pPr>
      <w:r>
        <w:rPr>
          <w:b/>
          <w:bCs/>
          <w:i/>
          <w:iCs/>
          <w:color w:val="4A7C59"/>
          <w:sz w:val="19"/>
          <w:szCs w:val="19"/>
        </w:rPr>
        <w:t>Answer:</w:t>
      </w:r>
    </w:p>
    <w:p w14:paraId="558C9B6B" w14:textId="77777777" w:rsidR="008965F9" w:rsidRDefault="00000000">
      <w:pPr>
        <w:spacing w:after="100" w:line="264" w:lineRule="auto"/>
      </w:pPr>
      <w:r>
        <w:rPr>
          <w:color w:val="444444"/>
          <w:sz w:val="20"/>
          <w:szCs w:val="20"/>
        </w:rPr>
        <w:t>With RLT we can accurately predict and quantify toxicity before therapeutic dosing using Phase 0 data, whereas ADC toxicity is payload- and linker-dependent, often unpredictable, and only fully characterized after each individual Phase 1 study.</w:t>
      </w:r>
    </w:p>
    <w:p w14:paraId="558C9B6C" w14:textId="77777777" w:rsidR="008965F9" w:rsidRDefault="00000000">
      <w:pPr>
        <w:spacing w:after="100" w:line="264" w:lineRule="auto"/>
      </w:pPr>
      <w:r>
        <w:rPr>
          <w:color w:val="444444"/>
          <w:sz w:val="20"/>
          <w:szCs w:val="20"/>
        </w:rPr>
        <w:t>ADC development on these targets has repeatedly demonstrated that viable targets can fail due to platform-intrinsic liabilities rather than target biology.</w:t>
      </w:r>
    </w:p>
    <w:p w14:paraId="558C9B6D" w14:textId="77777777" w:rsidR="008965F9" w:rsidRDefault="00000000">
      <w:pPr>
        <w:spacing w:after="100" w:line="264" w:lineRule="auto"/>
      </w:pPr>
      <w:r>
        <w:rPr>
          <w:color w:val="444444"/>
          <w:sz w:val="20"/>
          <w:szCs w:val="20"/>
        </w:rPr>
        <w:t>(i) CEACAM5 ADCs (tusamitamab ravtansine) produced ocular toxicity and     limited efficacy attributed to slow internalization (Gazzah, Ann     Oncol, 2022).</w:t>
      </w:r>
    </w:p>
    <w:p w14:paraId="558C9B6E" w14:textId="77777777" w:rsidR="008965F9" w:rsidRDefault="00000000">
      <w:pPr>
        <w:spacing w:after="100" w:line="264" w:lineRule="auto"/>
      </w:pPr>
      <w:r>
        <w:rPr>
          <w:color w:val="444444"/>
          <w:sz w:val="20"/>
          <w:szCs w:val="20"/>
        </w:rPr>
        <w:t>(ii) TAK-164 (GCC ADC) was terminated for hepatotoxicity driven by      hepatic metabolism of its maytansinoid payload via non-cleavable      linker (Kim, Cancer Chemother Pharmacol, 2023).</w:t>
      </w:r>
    </w:p>
    <w:p w14:paraId="558C9B6F" w14:textId="77777777" w:rsidR="008965F9" w:rsidRDefault="00000000">
      <w:pPr>
        <w:spacing w:after="100" w:line="264" w:lineRule="auto"/>
      </w:pPr>
      <w:r>
        <w:rPr>
          <w:color w:val="444444"/>
          <w:sz w:val="20"/>
          <w:szCs w:val="20"/>
        </w:rPr>
        <w:t>(iii) MUC1 ADCs have encountered limiting payload-driven toxicities,       with next-generation programs still in early development.</w:t>
      </w:r>
    </w:p>
    <w:p w14:paraId="558C9B70" w14:textId="77777777" w:rsidR="008965F9" w:rsidRDefault="00000000">
      <w:pPr>
        <w:spacing w:after="100" w:line="264" w:lineRule="auto"/>
      </w:pPr>
      <w:r>
        <w:rPr>
          <w:color w:val="444444"/>
          <w:sz w:val="20"/>
          <w:szCs w:val="20"/>
        </w:rPr>
        <w:t>In each case, the target was validated but the ADC platform introduced toxicities that were not predictable from target biology alone.</w:t>
      </w:r>
    </w:p>
    <w:p w14:paraId="558C9B71" w14:textId="77777777" w:rsidR="008965F9" w:rsidRDefault="00000000">
      <w:pPr>
        <w:spacing w:after="100" w:line="264" w:lineRule="auto"/>
      </w:pPr>
      <w:r>
        <w:rPr>
          <w:color w:val="444444"/>
          <w:sz w:val="20"/>
          <w:szCs w:val="20"/>
        </w:rPr>
        <w:t>This is a structural feature of the ADC modality, not an aberration. Each linker-payload combination carries a known ceiling of administered payload beyond which characteristic toxicities emerge: SN-38-based ADCs (e.g., sacituzumab govitecan) produce dose-limiting GI toxicity driven by linker hydrolysis and free payload release in the gut; MMAE-conjugated ADCs carry established risk of peripheral neuropathy and ocular toxicity. These payload-class liabilities set an effective cap on dosing intensity regardless of target engagement. Beyond these known constraints, ADCs also carry risk of unpredictable class toxicities, most notably ILD, that emerge independent of target biology, payload identity, or linker chemistry and cannot be anticipated from preclinical models.</w:t>
      </w:r>
    </w:p>
    <w:p w14:paraId="558C9B72" w14:textId="77777777" w:rsidR="008965F9" w:rsidRDefault="00000000">
      <w:pPr>
        <w:spacing w:after="100" w:line="264" w:lineRule="auto"/>
      </w:pPr>
      <w:r>
        <w:rPr>
          <w:color w:val="444444"/>
          <w:sz w:val="20"/>
          <w:szCs w:val="20"/>
        </w:rPr>
        <w:lastRenderedPageBreak/>
        <w:t>RLT inverts this paradigm. Organ-at-risk exposure is governed by ligand PK and target expression distribution, both measurable via Phase 0 imaging dosimetry before any therapeutic activity is administered. Critically, RLT's mechanism of cell kill is crossfire and direct ionization from radionuclide decay. This does not depend on internalization or lysosomal trafficking, meaning targets like CEACAM5 with slow internalization kinetics that limited ADC payload delivery remain fully exploitable by RLT. Sego's target product profile for these programs reflects this structural advantage. Expected dose-limiting organs are restricted to kidney (clearance-driven) and marrow (blood-pool exposure), both quantifiable in advance via dosimetry and addressable through medicinal chemistry optimization of clearance kinetics. Notably absent from the expected toxicity profile are the hepatic, ocular, pulmonary, and GI signals that have derailed ADC programs on these same targets.</w:t>
      </w:r>
    </w:p>
    <w:p w14:paraId="558C9B73" w14:textId="77777777" w:rsidR="008965F9" w:rsidRDefault="008965F9">
      <w:pPr>
        <w:pBdr>
          <w:bottom w:val="single" w:sz="4" w:space="1" w:color="B1C8B0"/>
        </w:pBdr>
        <w:spacing w:before="160" w:after="160"/>
      </w:pPr>
    </w:p>
    <w:p w14:paraId="558C9B74" w14:textId="77777777" w:rsidR="008965F9" w:rsidRDefault="00000000">
      <w:pPr>
        <w:spacing w:before="280" w:after="120"/>
      </w:pPr>
      <w:r>
        <w:rPr>
          <w:b/>
          <w:bCs/>
          <w:color w:val="002924"/>
        </w:rPr>
        <w:t xml:space="preserve">Q: </w:t>
      </w:r>
      <w:r>
        <w:rPr>
          <w:b/>
          <w:bCs/>
          <w:color w:val="333333"/>
        </w:rPr>
        <w:t>What is the accessibility of CEACAM5 and CLDN1 in normal tissues vs. the tumors in the relevant in vivo models? Do we expect any dose-limiting organs based on the normal expression profile?</w:t>
      </w:r>
    </w:p>
    <w:p w14:paraId="558C9B75" w14:textId="77777777" w:rsidR="008965F9" w:rsidRDefault="00000000">
      <w:pPr>
        <w:spacing w:after="80"/>
      </w:pPr>
      <w:r>
        <w:rPr>
          <w:b/>
          <w:bCs/>
          <w:color w:val="666666"/>
          <w:sz w:val="18"/>
          <w:szCs w:val="18"/>
        </w:rPr>
        <w:t xml:space="preserve">Source: </w:t>
      </w:r>
      <w:r>
        <w:rPr>
          <w:i/>
          <w:iCs/>
          <w:color w:val="666666"/>
          <w:sz w:val="18"/>
          <w:szCs w:val="18"/>
        </w:rPr>
        <w:t>NVF DD Responses — Final (2026-05-20)</w:t>
      </w:r>
    </w:p>
    <w:p w14:paraId="558C9B76" w14:textId="77777777" w:rsidR="008965F9" w:rsidRDefault="00000000">
      <w:pPr>
        <w:spacing w:after="120"/>
      </w:pPr>
      <w:r>
        <w:rPr>
          <w:b/>
          <w:bCs/>
          <w:color w:val="4A7C59"/>
          <w:sz w:val="18"/>
          <w:szCs w:val="18"/>
        </w:rPr>
        <w:t xml:space="preserve">Targets: </w:t>
      </w:r>
      <w:r>
        <w:rPr>
          <w:color w:val="4A7C59"/>
          <w:sz w:val="18"/>
          <w:szCs w:val="18"/>
        </w:rPr>
        <w:t>CEACAM5, CLDN1</w:t>
      </w:r>
    </w:p>
    <w:p w14:paraId="558C9B77" w14:textId="77777777" w:rsidR="008965F9" w:rsidRDefault="00000000">
      <w:pPr>
        <w:spacing w:before="80" w:after="40"/>
      </w:pPr>
      <w:r>
        <w:rPr>
          <w:b/>
          <w:bCs/>
          <w:i/>
          <w:iCs/>
          <w:color w:val="4A7C59"/>
          <w:sz w:val="19"/>
          <w:szCs w:val="19"/>
        </w:rPr>
        <w:t>Answer:</w:t>
      </w:r>
    </w:p>
    <w:p w14:paraId="558C9B78" w14:textId="77777777" w:rsidR="008965F9" w:rsidRDefault="00000000">
      <w:pPr>
        <w:spacing w:after="100" w:line="264" w:lineRule="auto"/>
      </w:pPr>
      <w:r>
        <w:rPr>
          <w:color w:val="444444"/>
          <w:sz w:val="20"/>
          <w:szCs w:val="20"/>
        </w:rPr>
        <w:t>CEACAM5 and CLDN1 are both expressed in normal epithelial tissues, but tumor-specific accessibility, not absolute expression, determines the relevant dose to normal organs. CEACAM5 in healthy GI epithelium is confined to the apical (luminal) surface, shielded from systemic circulation by epithelial polarity. Clinical imaging with 64Cu-M5A (an anti-CEACAM5 antibody binding the N-terminal IgV-like domain) confirmed minimal uptake in normal colon, supporting the accessibility hypothesis in humans Wong et al., Cancer Biother Radiopharm 2023. In tumors, loss of apical polarity and CEACAM5 overexpression expose the antigen to circulating ligands.</w:t>
      </w:r>
    </w:p>
    <w:p w14:paraId="558C9B79" w14:textId="77777777" w:rsidR="008965F9" w:rsidRDefault="00000000">
      <w:pPr>
        <w:spacing w:after="100" w:line="264" w:lineRule="auto"/>
      </w:pPr>
      <w:r>
        <w:rPr>
          <w:color w:val="444444"/>
          <w:sz w:val="20"/>
          <w:szCs w:val="20"/>
        </w:rPr>
        <w:t>CLDN1 in healthy tissues is junctional, embedded in tight junction complexes and inaccessible to circulating agents. In tumors, CLDN1 becomes non-junctional and accessible due to loss of polarization and disrupted epithelial architecture Roehelen J Hepatol 2023. The expected dose-limiting organ for both targets is kidney, driven by physiological peptide clearance rather than on-target binding. Sego’s first five targets have no known red marrow expression.</w:t>
      </w:r>
    </w:p>
    <w:p w14:paraId="558C9B7A" w14:textId="77777777" w:rsidR="008965F9" w:rsidRDefault="00000000">
      <w:r>
        <w:br w:type="page"/>
      </w:r>
    </w:p>
    <w:p w14:paraId="558C9B7B" w14:textId="77777777" w:rsidR="008965F9" w:rsidRDefault="00000000">
      <w:pPr>
        <w:pStyle w:val="Heading1"/>
        <w:spacing w:before="100" w:after="200"/>
      </w:pPr>
      <w:r>
        <w:lastRenderedPageBreak/>
        <w:t>CLDN1</w:t>
      </w:r>
    </w:p>
    <w:p w14:paraId="558C9B87" w14:textId="77777777" w:rsidR="008965F9" w:rsidRDefault="008965F9">
      <w:pPr>
        <w:pBdr>
          <w:bottom w:val="single" w:sz="4" w:space="1" w:color="B1C8B0"/>
        </w:pBdr>
        <w:spacing w:before="160" w:after="160"/>
      </w:pPr>
    </w:p>
    <w:p w14:paraId="558C9B88" w14:textId="77777777" w:rsidR="008965F9" w:rsidRDefault="00000000">
      <w:pPr>
        <w:spacing w:before="280" w:after="120"/>
      </w:pPr>
      <w:r>
        <w:rPr>
          <w:b/>
          <w:bCs/>
          <w:color w:val="002924"/>
        </w:rPr>
        <w:t xml:space="preserve">Q: </w:t>
      </w:r>
      <w:r>
        <w:rPr>
          <w:b/>
          <w:bCs/>
          <w:color w:val="333333"/>
        </w:rPr>
        <w:t>For each of your targets, can you outline: 1) Why this is more suited to the RLT modality than ADC? 2) How you will position against ADCs against the same target (if applicable) and 3) What you view as the value inflection point? E.g. Ph0, 1, 2, 3+</w:t>
      </w:r>
    </w:p>
    <w:p w14:paraId="558C9B89" w14:textId="77777777" w:rsidR="008965F9" w:rsidRDefault="00000000">
      <w:pPr>
        <w:spacing w:after="80"/>
      </w:pPr>
      <w:r>
        <w:rPr>
          <w:b/>
          <w:bCs/>
          <w:color w:val="666666"/>
          <w:sz w:val="18"/>
          <w:szCs w:val="18"/>
        </w:rPr>
        <w:t xml:space="preserve">Source: </w:t>
      </w:r>
      <w:r>
        <w:rPr>
          <w:i/>
          <w:iCs/>
          <w:color w:val="666666"/>
          <w:sz w:val="18"/>
          <w:szCs w:val="18"/>
        </w:rPr>
        <w:t>Polaris DD Questions (2026-05-05)</w:t>
      </w:r>
    </w:p>
    <w:p w14:paraId="558C9B8A" w14:textId="77777777" w:rsidR="008965F9" w:rsidRDefault="00000000">
      <w:pPr>
        <w:spacing w:after="120"/>
      </w:pPr>
      <w:r>
        <w:rPr>
          <w:b/>
          <w:bCs/>
          <w:color w:val="4A7C59"/>
          <w:sz w:val="18"/>
          <w:szCs w:val="18"/>
        </w:rPr>
        <w:t xml:space="preserve">Targets: </w:t>
      </w:r>
      <w:r>
        <w:rPr>
          <w:color w:val="4A7C59"/>
          <w:sz w:val="18"/>
          <w:szCs w:val="18"/>
        </w:rPr>
        <w:t>CEACAM5, CLDN1, MUC1-C</w:t>
      </w:r>
    </w:p>
    <w:p w14:paraId="558C9B8B" w14:textId="77777777" w:rsidR="008965F9" w:rsidRDefault="00000000">
      <w:pPr>
        <w:spacing w:before="80" w:after="40"/>
      </w:pPr>
      <w:r>
        <w:rPr>
          <w:b/>
          <w:bCs/>
          <w:i/>
          <w:iCs/>
          <w:color w:val="4A7C59"/>
          <w:sz w:val="19"/>
          <w:szCs w:val="19"/>
        </w:rPr>
        <w:t>Answer:</w:t>
      </w:r>
    </w:p>
    <w:p w14:paraId="558C9B8C" w14:textId="77777777" w:rsidR="008965F9" w:rsidRDefault="00000000">
      <w:pPr>
        <w:spacing w:after="100" w:line="264" w:lineRule="auto"/>
      </w:pPr>
      <w:r>
        <w:rPr>
          <w:color w:val="444444"/>
          <w:sz w:val="20"/>
          <w:szCs w:val="20"/>
        </w:rPr>
        <w:t>RLT outperforms ADCs on mechanism, toxicity predictability, and resistance profile for Sego's target set, with earlier value inflection (Ph 0) vs. ADCs against the same targets.</w:t>
      </w:r>
    </w:p>
    <w:p w14:paraId="558C9B8D" w14:textId="77777777" w:rsidR="008965F9" w:rsidRDefault="00000000">
      <w:pPr>
        <w:spacing w:after="100" w:line="264" w:lineRule="auto"/>
      </w:pPr>
      <w:r>
        <w:rPr>
          <w:color w:val="444444"/>
          <w:sz w:val="20"/>
          <w:szCs w:val="20"/>
        </w:rPr>
        <w:t>Suitability to each modality: ADCs depend on receptor-mediated internalization, intracellular trafficking, and enzymatic payload release. Each step is a failure mode. Efficacy and toxicity are sensitive to linker stability, payload class, and tumor cell biology. IgG-based ADCs carry additional scaffold-driven risk: Fcγ receptor engagement promotes non-tumor uptake, immune activation, and prolonged tissue exposure. Saturating mass doses in combination with prolonged tissue exposure limit the ability to reduce off-tumor exposure to target expressing and non-expressing tissues. This has historically produced narrow or unpredictable therapeutic windows and off-target toxicities (ocular, pulmonary, GI). Resistance mechanisms including drug efflux and impaired internalization limit durability.</w:t>
      </w:r>
    </w:p>
    <w:p w14:paraId="558C9B8E" w14:textId="77777777" w:rsidR="008965F9" w:rsidRDefault="00000000">
      <w:pPr>
        <w:spacing w:after="100" w:line="264" w:lineRule="auto"/>
      </w:pPr>
      <w:r>
        <w:rPr>
          <w:color w:val="444444"/>
          <w:sz w:val="20"/>
          <w:szCs w:val="20"/>
        </w:rPr>
        <w:t>RLT delivers cytotoxicity through localized radiation emission, independent of cell cycle status and intracellular payload processing. Alpha particles from ²²⁵Ac cause irreparable DNA double strand breaks. ¹⁶¹Tb emission profile contains beta-minus particles that cause single and double strand breaks in addition to Auger and conversion electrons that add high-LET damage at short distances. Crossfire from both isotopes addresses tumor heterogeneity without requiring receptor expression on every cell. Sego's radioligands are administered at non-saturating mass doses with rapid renal clearance, preserving the tumor-to-normal tissue dose ratio that defines the therapeutic window. The same logic holds across all six programs.</w:t>
      </w:r>
    </w:p>
    <w:p w14:paraId="558C9B8F" w14:textId="77777777" w:rsidR="008965F9" w:rsidRDefault="00000000">
      <w:pPr>
        <w:spacing w:after="100" w:line="264" w:lineRule="auto"/>
      </w:pPr>
      <w:r>
        <w:rPr>
          <w:color w:val="444444"/>
          <w:sz w:val="20"/>
          <w:szCs w:val="20"/>
        </w:rPr>
        <w:t>Positioning against ADCs on the same antigen: Where ADC programs exist on Sego's targets (CEACAM5, MUC1-C, CLDN1), RLT offers an orthogonal MOA and distinct toxicity profile, enabling combination sequencing rather than purely competitive positioning. RLT can be deployed after ADC progression or co-developed as a treatment backbone. Clinical efficacy of CEACAM5 ADCs has potentially been limited due to the lack of internalization and intracellular payload release, while historical MUC1 ADCs have bound aberrantly glycosylated MUC1-N which is shed and can reduce efficacy.</w:t>
      </w:r>
    </w:p>
    <w:p w14:paraId="558C9B90" w14:textId="77777777" w:rsidR="008965F9" w:rsidRDefault="00000000">
      <w:pPr>
        <w:spacing w:after="100" w:line="264" w:lineRule="auto"/>
      </w:pPr>
      <w:r>
        <w:rPr>
          <w:color w:val="444444"/>
          <w:sz w:val="20"/>
          <w:szCs w:val="20"/>
        </w:rPr>
        <w:t>Value inflection point: Phase 0 imaging is the primary value event across the pipeline. Human dosimetry confirming tumor:kidney &gt;3 and tumor:marrow &gt;20, with evidence of tumor uptake and favorable organ-at-risk exposure, transforms a preclinical asset into a development candidate with a quantified dosimetry and therapeutic index in the patient population. This data package is directly decision-useful for BD partners, investors, and regulatory strategy. Phase 1 proof-of-efficacy signal is the second inflection; pivotal design and partnership discussions follow.</w:t>
      </w:r>
    </w:p>
    <w:p w14:paraId="558C9BBD" w14:textId="77777777" w:rsidR="008965F9" w:rsidRDefault="008965F9">
      <w:pPr>
        <w:pBdr>
          <w:bottom w:val="single" w:sz="4" w:space="1" w:color="B1C8B0"/>
        </w:pBdr>
        <w:spacing w:before="160" w:after="160"/>
      </w:pPr>
    </w:p>
    <w:p w14:paraId="558C9BBE" w14:textId="77777777" w:rsidR="008965F9" w:rsidRDefault="00000000">
      <w:pPr>
        <w:spacing w:before="280" w:after="120"/>
      </w:pPr>
      <w:r>
        <w:rPr>
          <w:b/>
          <w:bCs/>
          <w:color w:val="002924"/>
        </w:rPr>
        <w:t xml:space="preserve">Q: </w:t>
      </w:r>
      <w:r>
        <w:rPr>
          <w:b/>
          <w:bCs/>
          <w:color w:val="333333"/>
        </w:rPr>
        <w:t>Is this the same epitope as that targeted by the Alentis Therapeutics mAb?</w:t>
      </w:r>
    </w:p>
    <w:p w14:paraId="558C9BBF" w14:textId="77777777" w:rsidR="008965F9" w:rsidRDefault="00000000">
      <w:pPr>
        <w:spacing w:after="80"/>
      </w:pPr>
      <w:r>
        <w:rPr>
          <w:b/>
          <w:bCs/>
          <w:color w:val="666666"/>
          <w:sz w:val="18"/>
          <w:szCs w:val="18"/>
        </w:rPr>
        <w:t xml:space="preserve">Source: </w:t>
      </w:r>
      <w:r>
        <w:rPr>
          <w:i/>
          <w:iCs/>
          <w:color w:val="666666"/>
          <w:sz w:val="18"/>
          <w:szCs w:val="18"/>
        </w:rPr>
        <w:t>Running List of Diligence Questions</w:t>
      </w:r>
    </w:p>
    <w:p w14:paraId="558C9BC0" w14:textId="77777777" w:rsidR="008965F9" w:rsidRDefault="00000000">
      <w:pPr>
        <w:spacing w:before="80" w:after="40"/>
      </w:pPr>
      <w:r>
        <w:rPr>
          <w:b/>
          <w:bCs/>
          <w:i/>
          <w:iCs/>
          <w:color w:val="4A7C59"/>
          <w:sz w:val="19"/>
          <w:szCs w:val="19"/>
        </w:rPr>
        <w:t>Answer:</w:t>
      </w:r>
    </w:p>
    <w:p w14:paraId="558C9BC1" w14:textId="77777777" w:rsidR="008965F9" w:rsidRDefault="00000000">
      <w:pPr>
        <w:spacing w:after="100" w:line="264" w:lineRule="auto"/>
      </w:pPr>
      <w:r>
        <w:rPr>
          <w:color w:val="444444"/>
          <w:sz w:val="20"/>
          <w:szCs w:val="20"/>
        </w:rPr>
        <w:t xml:space="preserve">Our preference would be only to move forward CLDN1 binders that do not bind the same epitope as the mAb from Alentis Therapeutics. However, as a bench marking exercise, we perform head-to-head </w:t>
      </w:r>
      <w:r>
        <w:rPr>
          <w:color w:val="444444"/>
          <w:sz w:val="20"/>
          <w:szCs w:val="20"/>
        </w:rPr>
        <w:lastRenderedPageBreak/>
        <w:t>comparison with a binder that binds to the same epitope as Alentis mAb. The dosimetry of the RLT binders will then be compared head-to-head in mouse xenograft models, and the peptides with favorable tumor absorbed dose (uptake that is retained in the tumor) to organ at risk dose (uptake that has minimal retention in the organ at risk) will be selected.</w:t>
      </w:r>
    </w:p>
    <w:p w14:paraId="558C9BC2" w14:textId="77777777" w:rsidR="008965F9" w:rsidRDefault="008965F9">
      <w:pPr>
        <w:pBdr>
          <w:bottom w:val="single" w:sz="4" w:space="1" w:color="B1C8B0"/>
        </w:pBdr>
        <w:spacing w:before="160" w:after="160"/>
      </w:pPr>
    </w:p>
    <w:p w14:paraId="558C9BC3" w14:textId="77777777" w:rsidR="008965F9" w:rsidRDefault="00000000">
      <w:pPr>
        <w:spacing w:before="280" w:after="120"/>
      </w:pPr>
      <w:r>
        <w:rPr>
          <w:b/>
          <w:bCs/>
          <w:color w:val="002924"/>
        </w:rPr>
        <w:t xml:space="preserve">Q: </w:t>
      </w:r>
      <w:r>
        <w:rPr>
          <w:b/>
          <w:bCs/>
          <w:color w:val="333333"/>
        </w:rPr>
        <w:t>Compared with the Alentis anti-CLDN1 mAb approach, what are the pros and cons of a cyclic peptide targeting the CLDN1 ECL regions? Can you comment on the following two aspects (1) Specificity of CLDN1 expression in normal tissues vs tumor cells (2) Compared with mAbs, the pros and cons of a cyclic peptide vs antibody in the context of radioisotope-targeted therapy targeting CLDN1.</w:t>
      </w:r>
    </w:p>
    <w:p w14:paraId="558C9BC4" w14:textId="77777777" w:rsidR="008965F9" w:rsidRDefault="00000000">
      <w:pPr>
        <w:spacing w:after="80"/>
      </w:pPr>
      <w:r>
        <w:rPr>
          <w:b/>
          <w:bCs/>
          <w:color w:val="666666"/>
          <w:sz w:val="18"/>
          <w:szCs w:val="18"/>
        </w:rPr>
        <w:t xml:space="preserve">Source: </w:t>
      </w:r>
      <w:r>
        <w:rPr>
          <w:i/>
          <w:iCs/>
          <w:color w:val="666666"/>
          <w:sz w:val="18"/>
          <w:szCs w:val="18"/>
        </w:rPr>
        <w:t>Running List of Diligence Questions</w:t>
      </w:r>
    </w:p>
    <w:p w14:paraId="558C9BC5" w14:textId="77777777" w:rsidR="008965F9" w:rsidRDefault="00000000">
      <w:pPr>
        <w:spacing w:before="80" w:after="40"/>
      </w:pPr>
      <w:r>
        <w:rPr>
          <w:b/>
          <w:bCs/>
          <w:i/>
          <w:iCs/>
          <w:color w:val="4A7C59"/>
          <w:sz w:val="19"/>
          <w:szCs w:val="19"/>
        </w:rPr>
        <w:t>Answer:</w:t>
      </w:r>
    </w:p>
    <w:p w14:paraId="558C9BC6" w14:textId="77777777" w:rsidR="008965F9" w:rsidRDefault="00000000">
      <w:pPr>
        <w:spacing w:after="100" w:line="264" w:lineRule="auto"/>
      </w:pPr>
      <w:r>
        <w:rPr>
          <w:color w:val="444444"/>
          <w:sz w:val="20"/>
          <w:szCs w:val="20"/>
        </w:rPr>
        <w:t>We believe peptides are the right modality for RLT, providing the best balance of high target affinity, tumor uptake, rapid clearance and delivery at non-saturating mass doses (as compared with antibodies).</w:t>
      </w:r>
    </w:p>
    <w:p w14:paraId="558C9BC7" w14:textId="77777777" w:rsidR="008965F9" w:rsidRDefault="00000000">
      <w:pPr>
        <w:spacing w:after="100" w:line="264" w:lineRule="auto"/>
      </w:pPr>
      <w:r>
        <w:rPr>
          <w:color w:val="444444"/>
          <w:sz w:val="20"/>
          <w:szCs w:val="20"/>
        </w:rPr>
        <w:t>Antibodies provide high affinity, specificity, and bivalency, but the prolonged exposure associated with antibodies can result in sustained antibody-mediated payload delivery to normal tissues, which is suboptimal for radionuclide delivery. Additionally, the ADC’s antibody can interact with Fc-gamma receptors, leading to hematologic toxicity, which is the most frequent off-target dose-limiting toxicity, irrespective of the expression profile of the target.</w:t>
      </w:r>
    </w:p>
    <w:p w14:paraId="558C9BC8" w14:textId="77777777" w:rsidR="008965F9" w:rsidRDefault="00000000">
      <w:pPr>
        <w:spacing w:after="100" w:line="264" w:lineRule="auto"/>
      </w:pPr>
      <w:r>
        <w:rPr>
          <w:color w:val="444444"/>
          <w:sz w:val="20"/>
          <w:szCs w:val="20"/>
        </w:rPr>
        <w:t>In contrast, cyclic peptides offer similar affinity and specificity as antibodies, faster tumor penetration, lower nonspecific exposure, no Fc-gamma interaction, shorter circulation half‑life, and non‑saturating dosing—all advantageous for improving tumor‑to‑normal dose ratios. The rapid blood clearance and sub-saturating doses of a peptide RLT can minimize cumulative off-tumor exposure, which is a problem for antibodies dosed at saturating conditions and with long blood exposure (T_(1/2) of days to weeks), combined with natural CLDN1 recycling/turnover (transient exposure of CLDN1 in healthy tissues). For RLT, these PK properties generally translate to a higher therapeutic index while maintaining sufficient target engagement.</w:t>
      </w:r>
    </w:p>
    <w:p w14:paraId="558C9BC9" w14:textId="77777777" w:rsidR="008965F9" w:rsidRDefault="008965F9">
      <w:pPr>
        <w:pBdr>
          <w:bottom w:val="single" w:sz="4" w:space="1" w:color="B1C8B0"/>
        </w:pBdr>
        <w:spacing w:before="160" w:after="160"/>
      </w:pPr>
    </w:p>
    <w:p w14:paraId="558C9BCA" w14:textId="77777777" w:rsidR="008965F9" w:rsidRDefault="00000000">
      <w:pPr>
        <w:spacing w:before="280" w:after="120"/>
      </w:pPr>
      <w:r>
        <w:rPr>
          <w:b/>
          <w:bCs/>
          <w:color w:val="002924"/>
        </w:rPr>
        <w:t xml:space="preserve">Q: </w:t>
      </w:r>
      <w:r>
        <w:rPr>
          <w:b/>
          <w:bCs/>
          <w:color w:val="333333"/>
        </w:rPr>
        <w:t>In healthy tissues with high CLDN1 expression, how do you think about target-related risk?</w:t>
      </w:r>
    </w:p>
    <w:p w14:paraId="558C9BCB" w14:textId="77777777" w:rsidR="008965F9" w:rsidRDefault="00000000">
      <w:pPr>
        <w:spacing w:after="80"/>
      </w:pPr>
      <w:r>
        <w:rPr>
          <w:b/>
          <w:bCs/>
          <w:color w:val="666666"/>
          <w:sz w:val="18"/>
          <w:szCs w:val="18"/>
        </w:rPr>
        <w:t xml:space="preserve">Source: </w:t>
      </w:r>
      <w:r>
        <w:rPr>
          <w:i/>
          <w:iCs/>
          <w:color w:val="666666"/>
          <w:sz w:val="18"/>
          <w:szCs w:val="18"/>
        </w:rPr>
        <w:t>Running List of Diligence Questions</w:t>
      </w:r>
    </w:p>
    <w:p w14:paraId="558C9BCC" w14:textId="77777777" w:rsidR="008965F9" w:rsidRDefault="00000000">
      <w:pPr>
        <w:spacing w:before="80" w:after="40"/>
      </w:pPr>
      <w:r>
        <w:rPr>
          <w:b/>
          <w:bCs/>
          <w:i/>
          <w:iCs/>
          <w:color w:val="4A7C59"/>
          <w:sz w:val="19"/>
          <w:szCs w:val="19"/>
        </w:rPr>
        <w:t>Answer:</w:t>
      </w:r>
    </w:p>
    <w:p w14:paraId="558C9BCD" w14:textId="77777777" w:rsidR="008965F9" w:rsidRDefault="00000000">
      <w:pPr>
        <w:spacing w:after="100" w:line="264" w:lineRule="auto"/>
      </w:pPr>
      <w:r>
        <w:rPr>
          <w:color w:val="444444"/>
          <w:sz w:val="20"/>
          <w:szCs w:val="20"/>
        </w:rPr>
        <w:t>We evaluate risk based on target accessibility rather than absolute expression. In healthy tissues with high CLDN1 levels, CLDN1 is predominantly junctional and shielded from circulating ligands. Peptide RLT kinetics are strongly a first-pass, and can be thought of as “snapshot” in time for exposure, with rapid clearance and typically non-saturating mass dose, while ADCs are a long-circulating “video” that repeatedly samples antigen for days, often above saturation, increasing the probability of sustained normal-tissue payload delivery. In addition, high tumor CLDN1 expression acts as a beneficial tumor sink for circulating drug, and rapid clearance of cyclic peptides further reduces sustained exposure in normal tissues. RLT has the added advantage that we can use the same peptide for image-based patient selection and early dosimetry, providing an additional safeguard to identify any unexpected uptake prior to therapeutic dosing.</w:t>
      </w:r>
    </w:p>
    <w:p w14:paraId="558C9BCE" w14:textId="77777777" w:rsidR="008965F9" w:rsidRDefault="008965F9">
      <w:pPr>
        <w:pBdr>
          <w:bottom w:val="single" w:sz="4" w:space="1" w:color="B1C8B0"/>
        </w:pBdr>
        <w:spacing w:before="160" w:after="160"/>
      </w:pPr>
    </w:p>
    <w:p w14:paraId="558C9BCF" w14:textId="77777777" w:rsidR="008965F9" w:rsidRDefault="00000000">
      <w:pPr>
        <w:spacing w:before="280" w:after="120"/>
      </w:pPr>
      <w:r>
        <w:rPr>
          <w:b/>
          <w:bCs/>
          <w:color w:val="002924"/>
        </w:rPr>
        <w:lastRenderedPageBreak/>
        <w:t xml:space="preserve">Q: </w:t>
      </w:r>
      <w:r>
        <w:rPr>
          <w:b/>
          <w:bCs/>
          <w:color w:val="333333"/>
        </w:rPr>
        <w:t>Can you compare CLDN1-targeted ADC vs RLT approaches in squamous lung cancer, HNSCC, HCC, and CRC? Can you provide clinical evidence of radiosensitivity in these indications?</w:t>
      </w:r>
    </w:p>
    <w:p w14:paraId="558C9BD0" w14:textId="77777777" w:rsidR="008965F9" w:rsidRDefault="00000000">
      <w:pPr>
        <w:spacing w:after="80"/>
      </w:pPr>
      <w:r>
        <w:rPr>
          <w:b/>
          <w:bCs/>
          <w:color w:val="666666"/>
          <w:sz w:val="18"/>
          <w:szCs w:val="18"/>
        </w:rPr>
        <w:t xml:space="preserve">Source: </w:t>
      </w:r>
      <w:r>
        <w:rPr>
          <w:i/>
          <w:iCs/>
          <w:color w:val="666666"/>
          <w:sz w:val="18"/>
          <w:szCs w:val="18"/>
        </w:rPr>
        <w:t>Running List of Diligence Questions</w:t>
      </w:r>
    </w:p>
    <w:p w14:paraId="558C9BD1" w14:textId="77777777" w:rsidR="008965F9" w:rsidRDefault="00000000">
      <w:pPr>
        <w:spacing w:after="120"/>
      </w:pPr>
      <w:r>
        <w:rPr>
          <w:b/>
          <w:bCs/>
          <w:color w:val="4A7C59"/>
          <w:sz w:val="18"/>
          <w:szCs w:val="18"/>
        </w:rPr>
        <w:t xml:space="preserve">Targets: </w:t>
      </w:r>
      <w:r>
        <w:rPr>
          <w:color w:val="4A7C59"/>
          <w:sz w:val="18"/>
          <w:szCs w:val="18"/>
        </w:rPr>
        <w:t>CEACAM5, CLDN1</w:t>
      </w:r>
    </w:p>
    <w:p w14:paraId="558C9BD2" w14:textId="77777777" w:rsidR="008965F9" w:rsidRDefault="00000000">
      <w:pPr>
        <w:spacing w:before="80" w:after="40"/>
      </w:pPr>
      <w:r>
        <w:rPr>
          <w:b/>
          <w:bCs/>
          <w:i/>
          <w:iCs/>
          <w:color w:val="4A7C59"/>
          <w:sz w:val="19"/>
          <w:szCs w:val="19"/>
        </w:rPr>
        <w:t>Answer:</w:t>
      </w:r>
    </w:p>
    <w:p w14:paraId="558C9BD3" w14:textId="77777777" w:rsidR="008965F9" w:rsidRDefault="00000000">
      <w:pPr>
        <w:spacing w:after="100" w:line="264" w:lineRule="auto"/>
      </w:pPr>
      <w:r>
        <w:rPr>
          <w:color w:val="444444"/>
          <w:sz w:val="20"/>
          <w:szCs w:val="20"/>
        </w:rPr>
        <w:t>RLT will be particularly attractive in metastatic or micrometastatic disease, where uniform ADC delivery to every lesion and every cell is difficult to achieve due to multiple factors, including antibody penetrance and antigen heterogeneity. ADC efficacy depends on tissue penetration, antigen engagement, internalization, and intracellular payload release. Peptide RLT delivers radiation dose when the ligand localizes to the tumor with or without internalization, e.g. with beta emitters, crossfire can treat neighboring cells and is less dependent on uniform intracellular trafficking.</w:t>
      </w:r>
    </w:p>
    <w:p w14:paraId="558C9BD4" w14:textId="77777777" w:rsidR="008965F9" w:rsidRDefault="00000000">
      <w:pPr>
        <w:spacing w:after="100" w:line="264" w:lineRule="auto"/>
      </w:pPr>
      <w:r>
        <w:rPr>
          <w:color w:val="444444"/>
          <w:sz w:val="20"/>
          <w:szCs w:val="20"/>
        </w:rPr>
        <w:t>From a radiosensitivity standpoint, these indications all have meaningful clinical precedent for radiation response, but they are not identical: lung squamous and HNSCC are classically radiotherapy-responsive (radiation is foundational with curative intent). HCC can respond well to radiotherapy, though treatment is often constrained by normal liver tolerance, as HCC patients usually present with liver comorbidities. Radiosensitivity in CRC is context-dependent and considered more dose demanding, but many patients do respond well to radiotherapy. Radiation (SBRT) is highly effective in rectal cancer and oligometastatic settings, but durable control often requires a higher effective dose. High CLDN1 expression and radiosensitivity were the main factors in selecting lung squamous as our lead indication.</w:t>
      </w:r>
    </w:p>
    <w:p w14:paraId="558C9BD6" w14:textId="4FD33504" w:rsidR="008965F9" w:rsidRDefault="00000000" w:rsidP="009E564C">
      <w:pPr>
        <w:spacing w:after="100" w:line="264" w:lineRule="auto"/>
      </w:pPr>
      <w:r>
        <w:rPr>
          <w:color w:val="444444"/>
          <w:sz w:val="20"/>
          <w:szCs w:val="20"/>
        </w:rPr>
        <w:t>CEACAM5</w:t>
      </w:r>
    </w:p>
    <w:p w14:paraId="558C9BDD" w14:textId="77777777" w:rsidR="008965F9" w:rsidRDefault="008965F9">
      <w:pPr>
        <w:pBdr>
          <w:bottom w:val="single" w:sz="4" w:space="1" w:color="B1C8B0"/>
        </w:pBdr>
        <w:spacing w:before="160" w:after="160"/>
      </w:pPr>
    </w:p>
    <w:p w14:paraId="558C9BDE" w14:textId="77777777" w:rsidR="008965F9" w:rsidRDefault="00000000">
      <w:pPr>
        <w:spacing w:before="280" w:after="120"/>
      </w:pPr>
      <w:r>
        <w:rPr>
          <w:b/>
          <w:bCs/>
          <w:color w:val="002924"/>
        </w:rPr>
        <w:t xml:space="preserve">Q: </w:t>
      </w:r>
      <w:r>
        <w:rPr>
          <w:b/>
          <w:bCs/>
          <w:color w:val="333333"/>
        </w:rPr>
        <w:t>What is the accessibility of CEACAM5 and CLDN1 in normal tissues vs. the tumors in the relevant in vivo models? Do we expect any dose-limiting organs based on the normal expression profile?</w:t>
      </w:r>
    </w:p>
    <w:p w14:paraId="558C9BDF" w14:textId="77777777" w:rsidR="008965F9" w:rsidRDefault="00000000">
      <w:pPr>
        <w:spacing w:after="80"/>
      </w:pPr>
      <w:r>
        <w:rPr>
          <w:b/>
          <w:bCs/>
          <w:color w:val="666666"/>
          <w:sz w:val="18"/>
          <w:szCs w:val="18"/>
        </w:rPr>
        <w:t xml:space="preserve">Source: </w:t>
      </w:r>
      <w:r>
        <w:rPr>
          <w:i/>
          <w:iCs/>
          <w:color w:val="666666"/>
          <w:sz w:val="18"/>
          <w:szCs w:val="18"/>
        </w:rPr>
        <w:t>NVF DD Responses — Final (2026-05-20)</w:t>
      </w:r>
    </w:p>
    <w:p w14:paraId="558C9BE0" w14:textId="77777777" w:rsidR="008965F9" w:rsidRDefault="00000000">
      <w:pPr>
        <w:spacing w:after="120"/>
      </w:pPr>
      <w:r>
        <w:rPr>
          <w:b/>
          <w:bCs/>
          <w:color w:val="4A7C59"/>
          <w:sz w:val="18"/>
          <w:szCs w:val="18"/>
        </w:rPr>
        <w:t xml:space="preserve">Targets: </w:t>
      </w:r>
      <w:r>
        <w:rPr>
          <w:color w:val="4A7C59"/>
          <w:sz w:val="18"/>
          <w:szCs w:val="18"/>
        </w:rPr>
        <w:t>CEACAM5, CLDN1</w:t>
      </w:r>
    </w:p>
    <w:p w14:paraId="558C9BE1" w14:textId="77777777" w:rsidR="008965F9" w:rsidRDefault="00000000">
      <w:pPr>
        <w:spacing w:before="80" w:after="40"/>
      </w:pPr>
      <w:r>
        <w:rPr>
          <w:b/>
          <w:bCs/>
          <w:i/>
          <w:iCs/>
          <w:color w:val="4A7C59"/>
          <w:sz w:val="19"/>
          <w:szCs w:val="19"/>
        </w:rPr>
        <w:t>Answer:</w:t>
      </w:r>
    </w:p>
    <w:p w14:paraId="558C9BE2" w14:textId="77777777" w:rsidR="008965F9" w:rsidRDefault="00000000">
      <w:pPr>
        <w:spacing w:after="100" w:line="264" w:lineRule="auto"/>
      </w:pPr>
      <w:r>
        <w:rPr>
          <w:color w:val="444444"/>
          <w:sz w:val="20"/>
          <w:szCs w:val="20"/>
        </w:rPr>
        <w:t>CEACAM5 and CLDN1 are both expressed in normal epithelial tissues, but tumor-specific accessibility, not absolute expression, determines the relevant dose to normal organs. CEACAM5 in healthy GI epithelium is confined to the apical (luminal) surface, shielded from systemic circulation by epithelial polarity. Clinical imaging with 64Cu-M5A (an anti-CEACAM5 antibody binding the N-terminal IgV-like domain) confirmed minimal uptake in normal colon, supporting the accessibility hypothesis in humans Wong et al., Cancer Biother Radiopharm 2023. In tumors, loss of apical polarity and CEACAM5 overexpression expose the antigen to circulating ligands.</w:t>
      </w:r>
    </w:p>
    <w:p w14:paraId="558C9BE3" w14:textId="77777777" w:rsidR="008965F9" w:rsidRDefault="00000000">
      <w:pPr>
        <w:spacing w:after="100" w:line="264" w:lineRule="auto"/>
      </w:pPr>
      <w:r>
        <w:rPr>
          <w:color w:val="444444"/>
          <w:sz w:val="20"/>
          <w:szCs w:val="20"/>
        </w:rPr>
        <w:t>CLDN1 in healthy tissues is junctional, embedded in tight junction complexes and inaccessible to circulating agents. In tumors, CLDN1 becomes non-junctional and accessible due to loss of polarization and disrupted epithelial architecture Roehelen J Hepatol 2023. The expected dose-limiting organ for both targets is kidney, driven by physiological peptide clearance rather than on-target binding. Sego’s first five targets have no known red marrow expression.</w:t>
      </w:r>
    </w:p>
    <w:p w14:paraId="558C9BE4" w14:textId="77777777" w:rsidR="008965F9" w:rsidRDefault="00000000">
      <w:r>
        <w:br w:type="page"/>
      </w:r>
    </w:p>
    <w:p w14:paraId="558C9BE5" w14:textId="77777777" w:rsidR="008965F9" w:rsidRDefault="00000000">
      <w:pPr>
        <w:pStyle w:val="Heading1"/>
        <w:spacing w:before="100" w:after="200"/>
      </w:pPr>
      <w:r>
        <w:lastRenderedPageBreak/>
        <w:t>MUC1-C</w:t>
      </w:r>
    </w:p>
    <w:p w14:paraId="558C9BF2" w14:textId="77777777" w:rsidR="008965F9" w:rsidRDefault="00000000">
      <w:pPr>
        <w:spacing w:before="280" w:after="120"/>
      </w:pPr>
      <w:r>
        <w:rPr>
          <w:b/>
          <w:bCs/>
          <w:color w:val="002924"/>
        </w:rPr>
        <w:t xml:space="preserve">Q: </w:t>
      </w:r>
      <w:r>
        <w:rPr>
          <w:b/>
          <w:bCs/>
          <w:color w:val="333333"/>
        </w:rPr>
        <w:t>For each of your targets, can you outline: 1) Why this is more suited to the RLT modality than ADC? 2) How you will position against ADCs against the same target (if applicable) and 3) What you view as the value inflection point? E.g. Ph0, 1, 2, 3+</w:t>
      </w:r>
    </w:p>
    <w:p w14:paraId="558C9BF3" w14:textId="77777777" w:rsidR="008965F9" w:rsidRDefault="00000000">
      <w:pPr>
        <w:spacing w:after="80"/>
      </w:pPr>
      <w:r>
        <w:rPr>
          <w:b/>
          <w:bCs/>
          <w:color w:val="666666"/>
          <w:sz w:val="18"/>
          <w:szCs w:val="18"/>
        </w:rPr>
        <w:t xml:space="preserve">Source: </w:t>
      </w:r>
      <w:r>
        <w:rPr>
          <w:i/>
          <w:iCs/>
          <w:color w:val="666666"/>
          <w:sz w:val="18"/>
          <w:szCs w:val="18"/>
        </w:rPr>
        <w:t>Polaris DD Questions (2026-05-05)</w:t>
      </w:r>
    </w:p>
    <w:p w14:paraId="558C9BF4" w14:textId="77777777" w:rsidR="008965F9" w:rsidRDefault="00000000">
      <w:pPr>
        <w:spacing w:after="120"/>
      </w:pPr>
      <w:r>
        <w:rPr>
          <w:b/>
          <w:bCs/>
          <w:color w:val="4A7C59"/>
          <w:sz w:val="18"/>
          <w:szCs w:val="18"/>
        </w:rPr>
        <w:t xml:space="preserve">Targets: </w:t>
      </w:r>
      <w:r>
        <w:rPr>
          <w:color w:val="4A7C59"/>
          <w:sz w:val="18"/>
          <w:szCs w:val="18"/>
        </w:rPr>
        <w:t>CEACAM5, CLDN1, MUC1-C</w:t>
      </w:r>
    </w:p>
    <w:p w14:paraId="558C9BF5" w14:textId="77777777" w:rsidR="008965F9" w:rsidRDefault="00000000">
      <w:pPr>
        <w:spacing w:before="80" w:after="40"/>
      </w:pPr>
      <w:r>
        <w:rPr>
          <w:b/>
          <w:bCs/>
          <w:i/>
          <w:iCs/>
          <w:color w:val="4A7C59"/>
          <w:sz w:val="19"/>
          <w:szCs w:val="19"/>
        </w:rPr>
        <w:t>Answer:</w:t>
      </w:r>
    </w:p>
    <w:p w14:paraId="558C9BF6" w14:textId="77777777" w:rsidR="008965F9" w:rsidRDefault="00000000">
      <w:pPr>
        <w:spacing w:after="100" w:line="264" w:lineRule="auto"/>
      </w:pPr>
      <w:r>
        <w:rPr>
          <w:color w:val="444444"/>
          <w:sz w:val="20"/>
          <w:szCs w:val="20"/>
        </w:rPr>
        <w:t>RLT outperforms ADCs on mechanism, toxicity predictability, and resistance profile for Sego's target set, with earlier value inflection (Ph 0) vs. ADCs against the same targets.</w:t>
      </w:r>
    </w:p>
    <w:p w14:paraId="558C9BF7" w14:textId="77777777" w:rsidR="008965F9" w:rsidRDefault="00000000">
      <w:pPr>
        <w:spacing w:after="100" w:line="264" w:lineRule="auto"/>
      </w:pPr>
      <w:r>
        <w:rPr>
          <w:color w:val="444444"/>
          <w:sz w:val="20"/>
          <w:szCs w:val="20"/>
        </w:rPr>
        <w:t>Suitability to each modality: ADCs depend on receptor-mediated internalization, intracellular trafficking, and enzymatic payload release. Each step is a failure mode. Efficacy and toxicity are sensitive to linker stability, payload class, and tumor cell biology. IgG-based ADCs carry additional scaffold-driven risk: Fcγ receptor engagement promotes non-tumor uptake, immune activation, and prolonged tissue exposure. Saturating mass doses in combination with prolonged tissue exposure limit the ability to reduce off-tumor exposure to target expressing and non-expressing tissues. This has historically produced narrow or unpredictable therapeutic windows and off-target toxicities (ocular, pulmonary, GI). Resistance mechanisms including drug efflux and impaired internalization limit durability.</w:t>
      </w:r>
    </w:p>
    <w:p w14:paraId="558C9BF8" w14:textId="77777777" w:rsidR="008965F9" w:rsidRDefault="00000000">
      <w:pPr>
        <w:spacing w:after="100" w:line="264" w:lineRule="auto"/>
      </w:pPr>
      <w:r>
        <w:rPr>
          <w:color w:val="444444"/>
          <w:sz w:val="20"/>
          <w:szCs w:val="20"/>
        </w:rPr>
        <w:t>RLT delivers cytotoxicity through localized radiation emission, independent of cell cycle status and intracellular payload processing. Alpha particles from ²²⁵Ac cause irreparable DNA double strand breaks. ¹⁶¹Tb emission profile contains beta-minus particles that cause single and double strand breaks in addition to Auger and conversion electrons that add high-LET damage at short distances. Crossfire from both isotopes addresses tumor heterogeneity without requiring receptor expression on every cell. Sego's radioligands are administered at non-saturating mass doses with rapid renal clearance, preserving the tumor-to-normal tissue dose ratio that defines the therapeutic window. The same logic holds across all six programs.</w:t>
      </w:r>
    </w:p>
    <w:p w14:paraId="558C9BF9" w14:textId="77777777" w:rsidR="008965F9" w:rsidRDefault="00000000">
      <w:pPr>
        <w:spacing w:after="100" w:line="264" w:lineRule="auto"/>
      </w:pPr>
      <w:r>
        <w:rPr>
          <w:color w:val="444444"/>
          <w:sz w:val="20"/>
          <w:szCs w:val="20"/>
        </w:rPr>
        <w:t>Positioning against ADCs on the same antigen: Where ADC programs exist on Sego's targets (CEACAM5, MUC1-C, CLDN1), RLT offers an orthogonal MOA and distinct toxicity profile, enabling combination sequencing rather than purely competitive positioning. RLT can be deployed after ADC progression or co-developed as a treatment backbone. Clinical efficacy of CEACAM5 ADCs has potentially been limited due to the lack of internalization and intracellular payload release, while historical MUC1 ADCs have bound aberrantly glycosylated MUC1-N which is shed and can reduce efficacy.</w:t>
      </w:r>
    </w:p>
    <w:p w14:paraId="558C9BFA" w14:textId="77777777" w:rsidR="008965F9" w:rsidRDefault="00000000">
      <w:pPr>
        <w:spacing w:after="100" w:line="264" w:lineRule="auto"/>
      </w:pPr>
      <w:r>
        <w:rPr>
          <w:color w:val="444444"/>
          <w:sz w:val="20"/>
          <w:szCs w:val="20"/>
        </w:rPr>
        <w:t>Value inflection point: Phase 0 imaging is the primary value event across the pipeline. Human dosimetry confirming tumor:kidney &gt;3 and tumor:marrow &gt;20, with evidence of tumor uptake and favorable organ-at-risk exposure, transforms a preclinical asset into a development candidate with a quantified dosimetry and therapeutic index in the patient population. This data package is directly decision-useful for BD partners, investors, and regulatory strategy. Phase 1 proof-of-efficacy signal is the second inflection; pivotal design and partnership discussions follow.</w:t>
      </w:r>
    </w:p>
    <w:p w14:paraId="558C9BFB" w14:textId="77777777" w:rsidR="008965F9" w:rsidRDefault="008965F9">
      <w:pPr>
        <w:pBdr>
          <w:bottom w:val="single" w:sz="4" w:space="1" w:color="B1C8B0"/>
        </w:pBdr>
        <w:spacing w:before="160" w:after="160"/>
      </w:pPr>
    </w:p>
    <w:p w14:paraId="558C9C11" w14:textId="77777777" w:rsidR="008965F9" w:rsidRDefault="00000000">
      <w:pPr>
        <w:spacing w:before="280" w:after="120"/>
      </w:pPr>
      <w:r>
        <w:rPr>
          <w:b/>
          <w:bCs/>
          <w:color w:val="002924"/>
        </w:rPr>
        <w:t xml:space="preserve">Q: </w:t>
      </w:r>
      <w:r>
        <w:rPr>
          <w:b/>
          <w:bCs/>
          <w:color w:val="333333"/>
        </w:rPr>
        <w:t>Both MUC1-C and CEACAM are known to shed into circulation / act as a potential sink when circulating in serum. For RLT, how might high serum levels interfere with efficacy and effect safety?</w:t>
      </w:r>
    </w:p>
    <w:p w14:paraId="558C9C12" w14:textId="77777777" w:rsidR="008965F9" w:rsidRDefault="00000000">
      <w:pPr>
        <w:spacing w:after="80"/>
      </w:pPr>
      <w:r>
        <w:rPr>
          <w:b/>
          <w:bCs/>
          <w:color w:val="666666"/>
          <w:sz w:val="18"/>
          <w:szCs w:val="18"/>
        </w:rPr>
        <w:t xml:space="preserve">Source: </w:t>
      </w:r>
      <w:r>
        <w:rPr>
          <w:i/>
          <w:iCs/>
          <w:color w:val="666666"/>
          <w:sz w:val="18"/>
          <w:szCs w:val="18"/>
        </w:rPr>
        <w:t>Avidity Diligence Questions (2026-04-24)</w:t>
      </w:r>
    </w:p>
    <w:p w14:paraId="558C9C13" w14:textId="77777777" w:rsidR="008965F9" w:rsidRDefault="00000000">
      <w:pPr>
        <w:spacing w:after="120"/>
      </w:pPr>
      <w:r>
        <w:rPr>
          <w:b/>
          <w:bCs/>
          <w:color w:val="4A7C59"/>
          <w:sz w:val="18"/>
          <w:szCs w:val="18"/>
        </w:rPr>
        <w:t xml:space="preserve">Targets: </w:t>
      </w:r>
      <w:r>
        <w:rPr>
          <w:color w:val="4A7C59"/>
          <w:sz w:val="18"/>
          <w:szCs w:val="18"/>
        </w:rPr>
        <w:t>CEACAM5, MUC1-C</w:t>
      </w:r>
    </w:p>
    <w:p w14:paraId="558C9C14" w14:textId="77777777" w:rsidR="008965F9" w:rsidRDefault="00000000">
      <w:pPr>
        <w:spacing w:before="80" w:after="40"/>
      </w:pPr>
      <w:r>
        <w:rPr>
          <w:b/>
          <w:bCs/>
          <w:i/>
          <w:iCs/>
          <w:color w:val="4A7C59"/>
          <w:sz w:val="19"/>
          <w:szCs w:val="19"/>
        </w:rPr>
        <w:t>Answer:</w:t>
      </w:r>
    </w:p>
    <w:p w14:paraId="558C9C15" w14:textId="77777777" w:rsidR="008965F9" w:rsidRDefault="00000000">
      <w:pPr>
        <w:spacing w:after="100" w:line="264" w:lineRule="auto"/>
      </w:pPr>
      <w:r>
        <w:rPr>
          <w:color w:val="444444"/>
          <w:sz w:val="20"/>
          <w:szCs w:val="20"/>
        </w:rPr>
        <w:lastRenderedPageBreak/>
        <w:t>ANSWER:</w:t>
      </w:r>
    </w:p>
    <w:p w14:paraId="558C9C16" w14:textId="77777777" w:rsidR="008965F9" w:rsidRDefault="00000000">
      <w:pPr>
        <w:spacing w:after="100" w:line="264" w:lineRule="auto"/>
      </w:pPr>
      <w:r>
        <w:rPr>
          <w:color w:val="444444"/>
          <w:sz w:val="20"/>
          <w:szCs w:val="20"/>
        </w:rPr>
        <w:t>Serum antigen can interfere with radioligand therapy by acting as a pharmacologic sink that binds the radioligand in blood, reducing effective tumor delivery and potentially redirecting radioactivity to clearance organs such as liver, thereby narrowing the therapeutic index. This risk can be mitigated through deliberate target and epitope selection favoring membrane‑restricted antigens, affinity/avidity tuning to reduce soluble, monovalent antigen capture and favor membrane anchored antigen, and dosing strategies informed by diagnostic imaging. Importantly, imaging‑based biodistribution and quantitative dosimetry enable early, empirical assessment of serum antigen effects, allowing efficacy and safety risks to be identified and managed proactively during development.</w:t>
      </w:r>
    </w:p>
    <w:p w14:paraId="558C9C17" w14:textId="77777777" w:rsidR="008965F9" w:rsidRDefault="00000000">
      <w:pPr>
        <w:spacing w:after="100" w:line="264" w:lineRule="auto"/>
      </w:pPr>
      <w:r>
        <w:rPr>
          <w:color w:val="444444"/>
          <w:sz w:val="20"/>
          <w:szCs w:val="20"/>
        </w:rPr>
        <w:t>MUC1-C has been found in circulation primarily on circulating tumor cells in cancer patients and not as freely soluble protein. However, the MUC1-N subunit is shed and soluble in serum that can be measured as CA15-3/CA27.29. We will target the cell bound MUC1-C subunit.</w:t>
      </w:r>
    </w:p>
    <w:p w14:paraId="558C9C18" w14:textId="77777777" w:rsidR="008965F9" w:rsidRDefault="00000000">
      <w:pPr>
        <w:spacing w:after="100" w:line="264" w:lineRule="auto"/>
      </w:pPr>
      <w:r>
        <w:rPr>
          <w:color w:val="444444"/>
          <w:sz w:val="20"/>
          <w:szCs w:val="20"/>
        </w:rPr>
        <w:t>Full‑length CEACAM5 is shed into circulation and is present in serum at low levels in healthy individuals, typically &lt;3 ng/mL (≈15 pM), while levels &gt;10 ng/mL are commonly observed in advanced cancer patients. Circulating (soluble) CEACAM5 has a biological half‑life of approximately 4–5 days and is cleared predominantly via the liver. These properties raise potential concerns for very high‑affinity (sub‑nM) peptides administered at low mass doses, where serum CEACAM5 can act as a binding sink and alter biodistribution in cancer patients. Mitigation strategies are described above. From a mass‑balance perspective, a 100 µg dose of a 2 kDa peptide RLT corresponds to ~50 nmol, which is orders of magnitude higher than the total circulating soluble CEACAM5 pool (on the order of ~50 pmol), providing substantial buffering capacity against serum antigen binding under most dosing conditions.</w:t>
      </w:r>
    </w:p>
    <w:p w14:paraId="558C9C19" w14:textId="77777777" w:rsidR="008965F9" w:rsidRDefault="008965F9">
      <w:pPr>
        <w:pBdr>
          <w:bottom w:val="single" w:sz="4" w:space="1" w:color="B1C8B0"/>
        </w:pBdr>
        <w:spacing w:before="160" w:after="160"/>
      </w:pPr>
    </w:p>
    <w:p w14:paraId="558C9C1A" w14:textId="77777777" w:rsidR="008965F9" w:rsidRDefault="00000000">
      <w:pPr>
        <w:spacing w:before="280" w:after="120"/>
      </w:pPr>
      <w:r>
        <w:rPr>
          <w:b/>
          <w:bCs/>
          <w:color w:val="002924"/>
        </w:rPr>
        <w:t xml:space="preserve">Q: </w:t>
      </w:r>
      <w:r>
        <w:rPr>
          <w:b/>
          <w:bCs/>
          <w:color w:val="333333"/>
        </w:rPr>
        <w:t>Are there precedents in the ability to target specific MUC isoforms or similar types of proteins?</w:t>
      </w:r>
    </w:p>
    <w:p w14:paraId="558C9C1B" w14:textId="77777777" w:rsidR="008965F9" w:rsidRDefault="00000000">
      <w:pPr>
        <w:spacing w:after="80"/>
      </w:pPr>
      <w:r>
        <w:rPr>
          <w:b/>
          <w:bCs/>
          <w:color w:val="666666"/>
          <w:sz w:val="18"/>
          <w:szCs w:val="18"/>
        </w:rPr>
        <w:t xml:space="preserve">Source: </w:t>
      </w:r>
      <w:r>
        <w:rPr>
          <w:i/>
          <w:iCs/>
          <w:color w:val="666666"/>
          <w:sz w:val="18"/>
          <w:szCs w:val="18"/>
        </w:rPr>
        <w:t>Avidity Diligence Questions (2026-04-24)</w:t>
      </w:r>
    </w:p>
    <w:p w14:paraId="558C9C1C" w14:textId="77777777" w:rsidR="008965F9" w:rsidRDefault="00000000">
      <w:pPr>
        <w:spacing w:before="80" w:after="40"/>
      </w:pPr>
      <w:r>
        <w:rPr>
          <w:b/>
          <w:bCs/>
          <w:i/>
          <w:iCs/>
          <w:color w:val="4A7C59"/>
          <w:sz w:val="19"/>
          <w:szCs w:val="19"/>
        </w:rPr>
        <w:t>Answer:</w:t>
      </w:r>
    </w:p>
    <w:p w14:paraId="558C9C1D" w14:textId="77777777" w:rsidR="008965F9" w:rsidRDefault="00000000">
      <w:pPr>
        <w:spacing w:after="100" w:line="264" w:lineRule="auto"/>
      </w:pPr>
      <w:r>
        <w:rPr>
          <w:color w:val="444444"/>
          <w:sz w:val="20"/>
          <w:szCs w:val="20"/>
        </w:rPr>
        <w:t>ANSWER:</w:t>
      </w:r>
    </w:p>
    <w:p w14:paraId="558C9C1E" w14:textId="77777777" w:rsidR="008965F9" w:rsidRDefault="00000000">
      <w:pPr>
        <w:spacing w:after="100" w:line="264" w:lineRule="auto"/>
      </w:pPr>
      <w:r>
        <w:rPr>
          <w:color w:val="444444"/>
          <w:sz w:val="20"/>
          <w:szCs w:val="20"/>
        </w:rPr>
        <w:t>Antibody programs targeting MUC1 have historically spanned full‑length MUC1, tumor‑associated glycoform–selective TA‑MUC1, and truncated forms such as MUC1‑C or MUC1*. Among these, MUC1‑C–directed antibodies (e.g., 3D1) offer high isoform selectivity for the signaling‑competent C‑terminal subunit. Sego believes that targeting the cleaved MUC1‑C / MUC1* species present on cancer cells provides an intrinsic specificity advantage, analogous to strategies used for other mucins such as MUC16, where the proteolytically exposed “nub” is selectively accessible on tumor cells (Crawford et al., Sci Transl Med, 2019). To capitalize on this biology, we are pursuing a dual discovery strategy for MUC1‑C. First, we will rapidly derive binders by exploiting the native MUC1‑N/MUC1‑C interaction interface. In parallel, we will conduct de novo discovery using recombinant MUC1‑C to identify novel binders unconstrained by legacy epitope bias.</w:t>
      </w:r>
    </w:p>
    <w:p w14:paraId="558C9C1F" w14:textId="77777777" w:rsidR="008965F9" w:rsidRDefault="00000000">
      <w:pPr>
        <w:spacing w:after="100" w:line="264" w:lineRule="auto"/>
      </w:pPr>
      <w:r>
        <w:rPr>
          <w:color w:val="444444"/>
          <w:sz w:val="20"/>
          <w:szCs w:val="20"/>
        </w:rPr>
        <w:t>Prostate Specific Qs</w:t>
      </w:r>
    </w:p>
    <w:p w14:paraId="558C9C20" w14:textId="77777777" w:rsidR="008965F9" w:rsidRDefault="008965F9">
      <w:pPr>
        <w:pBdr>
          <w:bottom w:val="single" w:sz="4" w:space="1" w:color="B1C8B0"/>
        </w:pBdr>
        <w:spacing w:before="160" w:after="160"/>
      </w:pPr>
    </w:p>
    <w:p w14:paraId="558C9C21" w14:textId="77777777" w:rsidR="008965F9" w:rsidRDefault="00000000">
      <w:pPr>
        <w:spacing w:before="280" w:after="120"/>
      </w:pPr>
      <w:r>
        <w:rPr>
          <w:b/>
          <w:bCs/>
          <w:color w:val="002924"/>
        </w:rPr>
        <w:t xml:space="preserve">Q: </w:t>
      </w:r>
      <w:r>
        <w:rPr>
          <w:b/>
          <w:bCs/>
          <w:color w:val="333333"/>
        </w:rPr>
        <w:t>For the targets for which ADC competitors exist (ie. CEACAM5, GCC, MUC1), how will a RLT modality for that target be differentiated? What TPP will Sego aim for, especially the safety profile?</w:t>
      </w:r>
    </w:p>
    <w:p w14:paraId="558C9C22" w14:textId="77777777" w:rsidR="008965F9" w:rsidRDefault="00000000">
      <w:pPr>
        <w:spacing w:after="80"/>
      </w:pPr>
      <w:r>
        <w:rPr>
          <w:b/>
          <w:bCs/>
          <w:color w:val="666666"/>
          <w:sz w:val="18"/>
          <w:szCs w:val="18"/>
        </w:rPr>
        <w:t xml:space="preserve">Source: </w:t>
      </w:r>
      <w:r>
        <w:rPr>
          <w:i/>
          <w:iCs/>
          <w:color w:val="666666"/>
          <w:sz w:val="18"/>
          <w:szCs w:val="18"/>
        </w:rPr>
        <w:t>NVF DD Responses — Final (2026-05-20)</w:t>
      </w:r>
    </w:p>
    <w:p w14:paraId="558C9C23" w14:textId="77777777" w:rsidR="008965F9" w:rsidRDefault="00000000">
      <w:pPr>
        <w:spacing w:after="120"/>
      </w:pPr>
      <w:r>
        <w:rPr>
          <w:b/>
          <w:bCs/>
          <w:color w:val="4A7C59"/>
          <w:sz w:val="18"/>
          <w:szCs w:val="18"/>
        </w:rPr>
        <w:t xml:space="preserve">Targets: </w:t>
      </w:r>
      <w:r>
        <w:rPr>
          <w:color w:val="4A7C59"/>
          <w:sz w:val="18"/>
          <w:szCs w:val="18"/>
        </w:rPr>
        <w:t>CEACAM5, MUC1-C</w:t>
      </w:r>
    </w:p>
    <w:p w14:paraId="558C9C24" w14:textId="77777777" w:rsidR="008965F9" w:rsidRDefault="00000000">
      <w:pPr>
        <w:spacing w:before="80" w:after="40"/>
      </w:pPr>
      <w:r>
        <w:rPr>
          <w:b/>
          <w:bCs/>
          <w:i/>
          <w:iCs/>
          <w:color w:val="4A7C59"/>
          <w:sz w:val="19"/>
          <w:szCs w:val="19"/>
        </w:rPr>
        <w:lastRenderedPageBreak/>
        <w:t>Answer:</w:t>
      </w:r>
    </w:p>
    <w:p w14:paraId="558C9C25" w14:textId="77777777" w:rsidR="008965F9" w:rsidRDefault="00000000">
      <w:pPr>
        <w:spacing w:after="100" w:line="264" w:lineRule="auto"/>
      </w:pPr>
      <w:r>
        <w:rPr>
          <w:color w:val="444444"/>
          <w:sz w:val="20"/>
          <w:szCs w:val="20"/>
        </w:rPr>
        <w:t>With RLT we can accurately predict and quantify toxicity before therapeutic dosing using Phase 0 data, whereas ADC toxicity is payload- and linker-dependent, often unpredictable, and only fully characterized after each individual Phase 1 study.</w:t>
      </w:r>
    </w:p>
    <w:p w14:paraId="558C9C26" w14:textId="77777777" w:rsidR="008965F9" w:rsidRDefault="00000000">
      <w:pPr>
        <w:spacing w:after="100" w:line="264" w:lineRule="auto"/>
      </w:pPr>
      <w:r>
        <w:rPr>
          <w:color w:val="444444"/>
          <w:sz w:val="20"/>
          <w:szCs w:val="20"/>
        </w:rPr>
        <w:t>ADC development on these targets has repeatedly demonstrated that viable targets can fail due to platform-intrinsic liabilities rather than target biology.</w:t>
      </w:r>
    </w:p>
    <w:p w14:paraId="558C9C27" w14:textId="77777777" w:rsidR="008965F9" w:rsidRDefault="00000000">
      <w:pPr>
        <w:spacing w:after="100" w:line="264" w:lineRule="auto"/>
      </w:pPr>
      <w:r>
        <w:rPr>
          <w:color w:val="444444"/>
          <w:sz w:val="20"/>
          <w:szCs w:val="20"/>
        </w:rPr>
        <w:t>(i) CEACAM5 ADCs (tusamitamab ravtansine) produced ocular toxicity and     limited efficacy attributed to slow internalization (Gazzah, Ann     Oncol, 2022).</w:t>
      </w:r>
    </w:p>
    <w:p w14:paraId="558C9C28" w14:textId="77777777" w:rsidR="008965F9" w:rsidRDefault="00000000">
      <w:pPr>
        <w:spacing w:after="100" w:line="264" w:lineRule="auto"/>
      </w:pPr>
      <w:r>
        <w:rPr>
          <w:color w:val="444444"/>
          <w:sz w:val="20"/>
          <w:szCs w:val="20"/>
        </w:rPr>
        <w:t>(ii) TAK-164 (GCC ADC) was terminated for hepatotoxicity driven by      hepatic metabolism of its maytansinoid payload via non-cleavable      linker (Kim, Cancer Chemother Pharmacol, 2023).</w:t>
      </w:r>
    </w:p>
    <w:p w14:paraId="558C9C29" w14:textId="77777777" w:rsidR="008965F9" w:rsidRDefault="00000000">
      <w:pPr>
        <w:spacing w:after="100" w:line="264" w:lineRule="auto"/>
      </w:pPr>
      <w:r>
        <w:rPr>
          <w:color w:val="444444"/>
          <w:sz w:val="20"/>
          <w:szCs w:val="20"/>
        </w:rPr>
        <w:t>(iii) MUC1 ADCs have encountered limiting payload-driven toxicities,       with next-generation programs still in early development.</w:t>
      </w:r>
    </w:p>
    <w:p w14:paraId="558C9C2A" w14:textId="77777777" w:rsidR="008965F9" w:rsidRDefault="00000000">
      <w:pPr>
        <w:spacing w:after="100" w:line="264" w:lineRule="auto"/>
      </w:pPr>
      <w:r>
        <w:rPr>
          <w:color w:val="444444"/>
          <w:sz w:val="20"/>
          <w:szCs w:val="20"/>
        </w:rPr>
        <w:t>In each case, the target was validated but the ADC platform introduced toxicities that were not predictable from target biology alone.</w:t>
      </w:r>
    </w:p>
    <w:p w14:paraId="558C9C2B" w14:textId="77777777" w:rsidR="008965F9" w:rsidRDefault="00000000">
      <w:pPr>
        <w:spacing w:after="100" w:line="264" w:lineRule="auto"/>
      </w:pPr>
      <w:r>
        <w:rPr>
          <w:color w:val="444444"/>
          <w:sz w:val="20"/>
          <w:szCs w:val="20"/>
        </w:rPr>
        <w:t>This is a structural feature of the ADC modality, not an aberration. Each linker-payload combination carries a known ceiling of administered payload beyond which characteristic toxicities emerge: SN-38-based ADCs (e.g., sacituzumab govitecan) produce dose-limiting GI toxicity driven by linker hydrolysis and free payload release in the gut; MMAE-conjugated ADCs carry established risk of peripheral neuropathy and ocular toxicity. These payload-class liabilities set an effective cap on dosing intensity regardless of target engagement. Beyond these known constraints, ADCs also carry risk of unpredictable class toxicities, most notably ILD, that emerge independent of target biology, payload identity, or linker chemistry and cannot be anticipated from preclinical models.</w:t>
      </w:r>
    </w:p>
    <w:p w14:paraId="558C9C2C" w14:textId="77777777" w:rsidR="008965F9" w:rsidRDefault="00000000">
      <w:pPr>
        <w:spacing w:after="100" w:line="264" w:lineRule="auto"/>
      </w:pPr>
      <w:r>
        <w:rPr>
          <w:color w:val="444444"/>
          <w:sz w:val="20"/>
          <w:szCs w:val="20"/>
        </w:rPr>
        <w:t>RLT inverts this paradigm. Organ-at-risk exposure is governed by ligand PK and target expression distribution, both measurable via Phase 0 imaging dosimetry before any therapeutic activity is administered. Critically, RLT's mechanism of cell kill is crossfire and direct ionization from radionuclide decay. This does not depend on internalization or lysosomal trafficking, meaning targets like CEACAM5 with slow internalization kinetics that limited ADC payload delivery remain fully exploitable by RLT. Sego's target product profile for these programs reflects this structural advantage. Expected dose-limiting organs are restricted to kidney (clearance-driven) and marrow (blood-pool exposure), both quantifiable in advance via dosimetry and addressable through medicinal chemistry optimization of clearance kinetics. Notably absent from the expected toxicity profile are the hepatic, ocular, pulmonary, and GI signals that have derailed ADC programs on these same targets.</w:t>
      </w:r>
    </w:p>
    <w:p w14:paraId="558C9C2D" w14:textId="77777777" w:rsidR="008965F9" w:rsidRDefault="008965F9">
      <w:pPr>
        <w:pBdr>
          <w:bottom w:val="single" w:sz="4" w:space="1" w:color="B1C8B0"/>
        </w:pBdr>
        <w:spacing w:before="160" w:after="160"/>
      </w:pPr>
    </w:p>
    <w:p w14:paraId="558C9C2E" w14:textId="77777777" w:rsidR="008965F9" w:rsidRDefault="00000000">
      <w:pPr>
        <w:spacing w:before="280" w:after="120"/>
      </w:pPr>
      <w:r>
        <w:rPr>
          <w:b/>
          <w:bCs/>
          <w:color w:val="002924"/>
        </w:rPr>
        <w:t xml:space="preserve">Q: </w:t>
      </w:r>
      <w:r>
        <w:rPr>
          <w:b/>
          <w:bCs/>
          <w:color w:val="333333"/>
        </w:rPr>
        <w:t>Are there any structural insights for MUC1-C that will help with the identification of a peptide binder for that specific protein region?</w:t>
      </w:r>
    </w:p>
    <w:p w14:paraId="558C9C2F" w14:textId="77777777" w:rsidR="008965F9" w:rsidRDefault="00000000">
      <w:pPr>
        <w:spacing w:after="80"/>
      </w:pPr>
      <w:r>
        <w:rPr>
          <w:b/>
          <w:bCs/>
          <w:color w:val="666666"/>
          <w:sz w:val="18"/>
          <w:szCs w:val="18"/>
        </w:rPr>
        <w:t xml:space="preserve">Source: </w:t>
      </w:r>
      <w:r>
        <w:rPr>
          <w:i/>
          <w:iCs/>
          <w:color w:val="666666"/>
          <w:sz w:val="18"/>
          <w:szCs w:val="18"/>
        </w:rPr>
        <w:t>NVF DD Responses — Final (2026-05-20)</w:t>
      </w:r>
    </w:p>
    <w:p w14:paraId="558C9C30" w14:textId="77777777" w:rsidR="008965F9" w:rsidRDefault="00000000">
      <w:pPr>
        <w:spacing w:before="80" w:after="40"/>
      </w:pPr>
      <w:r>
        <w:rPr>
          <w:b/>
          <w:bCs/>
          <w:i/>
          <w:iCs/>
          <w:color w:val="4A7C59"/>
          <w:sz w:val="19"/>
          <w:szCs w:val="19"/>
        </w:rPr>
        <w:t>Answer:</w:t>
      </w:r>
    </w:p>
    <w:p w14:paraId="558C9C31" w14:textId="77777777" w:rsidR="008965F9" w:rsidRDefault="00000000">
      <w:pPr>
        <w:spacing w:after="100" w:line="264" w:lineRule="auto"/>
      </w:pPr>
      <w:r>
        <w:rPr>
          <w:color w:val="444444"/>
          <w:sz w:val="20"/>
          <w:szCs w:val="20"/>
        </w:rPr>
        <w:t>MUC1 undergoes autoproteolytic cleavage at the SEA domain during translation producing MUC1-N and MUC1-C subunits that remain noncovalently associated. In cancer, MUC1-N is shed from the cell surface, exposing the 58-amino acid MUC1-C ECD. The SEA domain structure solved by NMR (PDB: 2ACM, Macao et al., Nat Struct Mol Biol 2006) resolves the MUC1-N/MUC1-C interface and defines the α3 and α4 helices of MUC1-C within the ECD.</w:t>
      </w:r>
    </w:p>
    <w:p w14:paraId="558C9C32" w14:textId="77777777" w:rsidR="008965F9" w:rsidRDefault="00000000">
      <w:pPr>
        <w:spacing w:after="100" w:line="264" w:lineRule="auto"/>
        <w:rPr>
          <w:color w:val="444444"/>
          <w:sz w:val="20"/>
          <w:szCs w:val="20"/>
        </w:rPr>
      </w:pPr>
      <w:r>
        <w:rPr>
          <w:color w:val="444444"/>
          <w:sz w:val="20"/>
          <w:szCs w:val="20"/>
        </w:rPr>
        <w:t xml:space="preserve">Sego's first approach designs cyclic peptides that mimic the MUC1-N/MUC1-C interaction at this interface. In parallel, Sego is running de novo DEL and mRNA display selections against the same recombinant MUC1-C ECD antigen used by the Kufe group to generate 3D1, an antibody that binds the </w:t>
      </w:r>
      <w:r>
        <w:rPr>
          <w:color w:val="444444"/>
          <w:sz w:val="20"/>
          <w:szCs w:val="20"/>
        </w:rPr>
        <w:lastRenderedPageBreak/>
        <w:t>α3 helix with 17 nM affinity, internalizes into tumor cells, and shows no reactivity with normal epithelium (Panchamoorthy et al., JCI Insight 2018).</w:t>
      </w:r>
    </w:p>
    <w:p w14:paraId="03CE78A1" w14:textId="77777777" w:rsidR="00DF57D8" w:rsidRDefault="00DF57D8">
      <w:pPr>
        <w:spacing w:after="100" w:line="264" w:lineRule="auto"/>
        <w:rPr>
          <w:color w:val="444444"/>
          <w:sz w:val="20"/>
          <w:szCs w:val="20"/>
        </w:rPr>
      </w:pPr>
    </w:p>
    <w:p w14:paraId="60906BCF" w14:textId="5201223B" w:rsidR="00DF57D8" w:rsidRDefault="00DF57D8">
      <w:pPr>
        <w:spacing w:after="100" w:line="264" w:lineRule="auto"/>
      </w:pPr>
      <w:r>
        <w:rPr>
          <w:noProof/>
        </w:rPr>
        <w:drawing>
          <wp:inline distT="0" distB="0" distL="0" distR="0" wp14:anchorId="108B1A09" wp14:editId="5F51F735">
            <wp:extent cx="5943600" cy="3343275"/>
            <wp:effectExtent l="0" t="0" r="0" b="9525"/>
            <wp:docPr id="15550109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1090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343275"/>
                    </a:xfrm>
                    <a:prstGeom prst="rect">
                      <a:avLst/>
                    </a:prstGeom>
                  </pic:spPr>
                </pic:pic>
              </a:graphicData>
            </a:graphic>
          </wp:inline>
        </w:drawing>
      </w:r>
    </w:p>
    <w:p w14:paraId="2F10CEE1" w14:textId="1BF664E5" w:rsidR="00DF57D8" w:rsidRDefault="00DF57D8">
      <w:pPr>
        <w:spacing w:after="100" w:line="264" w:lineRule="auto"/>
      </w:pPr>
      <w:r>
        <w:rPr>
          <w:noProof/>
        </w:rPr>
        <w:drawing>
          <wp:inline distT="0" distB="0" distL="0" distR="0" wp14:anchorId="56896075" wp14:editId="00AB73B8">
            <wp:extent cx="5943600" cy="3343275"/>
            <wp:effectExtent l="0" t="0" r="0" b="9525"/>
            <wp:docPr id="1453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73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343275"/>
                    </a:xfrm>
                    <a:prstGeom prst="rect">
                      <a:avLst/>
                    </a:prstGeom>
                  </pic:spPr>
                </pic:pic>
              </a:graphicData>
            </a:graphic>
          </wp:inline>
        </w:drawing>
      </w:r>
    </w:p>
    <w:p w14:paraId="5CA83D2F" w14:textId="4A5883A4" w:rsidR="00DF57D8" w:rsidRDefault="00DF57D8">
      <w:pPr>
        <w:spacing w:after="100" w:line="264" w:lineRule="auto"/>
      </w:pPr>
      <w:r>
        <w:rPr>
          <w:noProof/>
        </w:rPr>
        <w:lastRenderedPageBreak/>
        <w:drawing>
          <wp:inline distT="0" distB="0" distL="0" distR="0" wp14:anchorId="40BF180C" wp14:editId="0DDC471B">
            <wp:extent cx="5943600" cy="3343275"/>
            <wp:effectExtent l="0" t="0" r="0" b="9525"/>
            <wp:docPr id="9720328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28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3343275"/>
                    </a:xfrm>
                    <a:prstGeom prst="rect">
                      <a:avLst/>
                    </a:prstGeom>
                  </pic:spPr>
                </pic:pic>
              </a:graphicData>
            </a:graphic>
          </wp:inline>
        </w:drawing>
      </w:r>
    </w:p>
    <w:p w14:paraId="6A920569" w14:textId="79FD8DB2" w:rsidR="00DF57D8" w:rsidRDefault="00DF57D8">
      <w:pPr>
        <w:spacing w:after="100" w:line="264" w:lineRule="auto"/>
      </w:pPr>
      <w:r>
        <w:rPr>
          <w:noProof/>
        </w:rPr>
        <w:drawing>
          <wp:inline distT="0" distB="0" distL="0" distR="0" wp14:anchorId="0F31DE01" wp14:editId="3A7AF6A5">
            <wp:extent cx="5943600" cy="3343275"/>
            <wp:effectExtent l="0" t="0" r="0" b="9525"/>
            <wp:docPr id="9655587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5875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343275"/>
                    </a:xfrm>
                    <a:prstGeom prst="rect">
                      <a:avLst/>
                    </a:prstGeom>
                  </pic:spPr>
                </pic:pic>
              </a:graphicData>
            </a:graphic>
          </wp:inline>
        </w:drawing>
      </w:r>
    </w:p>
    <w:sectPr w:rsidR="00DF57D8">
      <w:headerReference w:type="default" r:id="rId19"/>
      <w:footerReference w:type="defaul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cca Levin" w:date="2026-06-26T10:10:00Z" w:initials="BL">
    <w:p w14:paraId="3C19FFF6" w14:textId="77777777" w:rsidR="00FF64A1" w:rsidRDefault="00FF64A1" w:rsidP="00FF64A1">
      <w:pPr>
        <w:pStyle w:val="CommentText"/>
      </w:pPr>
      <w:r>
        <w:rPr>
          <w:rStyle w:val="CommentReference"/>
        </w:rPr>
        <w:annotationRef/>
      </w:r>
      <w:r>
        <w:t>I don’t remember this question,but 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19FF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E36B0" w16cex:dateUtc="2026-06-26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19FFF6" w16cid:durableId="54EE36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F0916" w14:textId="77777777" w:rsidR="00AD698A" w:rsidRDefault="00AD698A">
      <w:r>
        <w:separator/>
      </w:r>
    </w:p>
  </w:endnote>
  <w:endnote w:type="continuationSeparator" w:id="0">
    <w:p w14:paraId="391B2A3F" w14:textId="77777777" w:rsidR="00AD698A" w:rsidRDefault="00AD6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9C34" w14:textId="658CB187" w:rsidR="008965F9" w:rsidRDefault="00000000">
    <w:pPr>
      <w:jc w:val="center"/>
    </w:pPr>
    <w:r>
      <w:rPr>
        <w:color w:val="666666"/>
        <w:sz w:val="16"/>
        <w:szCs w:val="16"/>
      </w:rPr>
      <w:t xml:space="preserve">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39209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88D3" w14:textId="77777777" w:rsidR="00AD698A" w:rsidRDefault="00AD698A">
      <w:r>
        <w:separator/>
      </w:r>
    </w:p>
  </w:footnote>
  <w:footnote w:type="continuationSeparator" w:id="0">
    <w:p w14:paraId="5EE693D9" w14:textId="77777777" w:rsidR="00AD698A" w:rsidRDefault="00AD6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9C33" w14:textId="77777777" w:rsidR="008965F9" w:rsidRDefault="00000000">
    <w:pPr>
      <w:pBdr>
        <w:bottom w:val="single" w:sz="6" w:space="4" w:color="B1C8B0"/>
      </w:pBdr>
    </w:pPr>
    <w:r>
      <w:rPr>
        <w:b/>
        <w:bCs/>
        <w:color w:val="002924"/>
        <w:sz w:val="18"/>
        <w:szCs w:val="18"/>
      </w:rPr>
      <w:t>Sego Therapeutics</w:t>
    </w:r>
    <w:r>
      <w:rPr>
        <w:color w:val="666666"/>
        <w:sz w:val="18"/>
        <w:szCs w:val="18"/>
      </w:rPr>
      <w:t xml:space="preserve">  |  DD Question Compilation by Target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4E3E"/>
    <w:multiLevelType w:val="hybridMultilevel"/>
    <w:tmpl w:val="CF240D4E"/>
    <w:lvl w:ilvl="0" w:tplc="A3DA593A">
      <w:start w:val="1"/>
      <w:numFmt w:val="bullet"/>
      <w:lvlText w:val="●"/>
      <w:lvlJc w:val="left"/>
      <w:pPr>
        <w:ind w:left="720" w:hanging="360"/>
      </w:pPr>
    </w:lvl>
    <w:lvl w:ilvl="1" w:tplc="5FD4D94C">
      <w:start w:val="1"/>
      <w:numFmt w:val="bullet"/>
      <w:lvlText w:val="○"/>
      <w:lvlJc w:val="left"/>
      <w:pPr>
        <w:ind w:left="1440" w:hanging="360"/>
      </w:pPr>
    </w:lvl>
    <w:lvl w:ilvl="2" w:tplc="D7BCCCB6">
      <w:start w:val="1"/>
      <w:numFmt w:val="bullet"/>
      <w:lvlText w:val="■"/>
      <w:lvlJc w:val="left"/>
      <w:pPr>
        <w:ind w:left="2160" w:hanging="360"/>
      </w:pPr>
    </w:lvl>
    <w:lvl w:ilvl="3" w:tplc="F9F01DD4">
      <w:start w:val="1"/>
      <w:numFmt w:val="bullet"/>
      <w:lvlText w:val="●"/>
      <w:lvlJc w:val="left"/>
      <w:pPr>
        <w:ind w:left="2880" w:hanging="360"/>
      </w:pPr>
    </w:lvl>
    <w:lvl w:ilvl="4" w:tplc="D74C1106">
      <w:start w:val="1"/>
      <w:numFmt w:val="bullet"/>
      <w:lvlText w:val="○"/>
      <w:lvlJc w:val="left"/>
      <w:pPr>
        <w:ind w:left="3600" w:hanging="360"/>
      </w:pPr>
    </w:lvl>
    <w:lvl w:ilvl="5" w:tplc="65363836">
      <w:start w:val="1"/>
      <w:numFmt w:val="bullet"/>
      <w:lvlText w:val="■"/>
      <w:lvlJc w:val="left"/>
      <w:pPr>
        <w:ind w:left="4320" w:hanging="360"/>
      </w:pPr>
    </w:lvl>
    <w:lvl w:ilvl="6" w:tplc="E9B42990">
      <w:start w:val="1"/>
      <w:numFmt w:val="bullet"/>
      <w:lvlText w:val="●"/>
      <w:lvlJc w:val="left"/>
      <w:pPr>
        <w:ind w:left="5040" w:hanging="360"/>
      </w:pPr>
    </w:lvl>
    <w:lvl w:ilvl="7" w:tplc="EFB0C37A">
      <w:start w:val="1"/>
      <w:numFmt w:val="bullet"/>
      <w:lvlText w:val="●"/>
      <w:lvlJc w:val="left"/>
      <w:pPr>
        <w:ind w:left="5760" w:hanging="360"/>
      </w:pPr>
    </w:lvl>
    <w:lvl w:ilvl="8" w:tplc="BA4A465C">
      <w:start w:val="1"/>
      <w:numFmt w:val="bullet"/>
      <w:lvlText w:val="●"/>
      <w:lvlJc w:val="left"/>
      <w:pPr>
        <w:ind w:left="6480" w:hanging="360"/>
      </w:pPr>
    </w:lvl>
  </w:abstractNum>
  <w:num w:numId="1" w16cid:durableId="155458499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cca Levin">
    <w15:presenceInfo w15:providerId="AD" w15:userId="S::BLevin@segotx.com::08c76d0b-4d1f-44f5-8508-8653b2f547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5F9"/>
    <w:rsid w:val="00294911"/>
    <w:rsid w:val="00392090"/>
    <w:rsid w:val="008965F9"/>
    <w:rsid w:val="009052A2"/>
    <w:rsid w:val="009E564C"/>
    <w:rsid w:val="00A5338F"/>
    <w:rsid w:val="00AD698A"/>
    <w:rsid w:val="00DF57D8"/>
    <w:rsid w:val="00FF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9A8A"/>
  <w15:docId w15:val="{7049BE86-793D-49D6-84C8-0ECE7460F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0292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F64A1"/>
    <w:rPr>
      <w:sz w:val="16"/>
      <w:szCs w:val="16"/>
    </w:rPr>
  </w:style>
  <w:style w:type="paragraph" w:styleId="CommentText">
    <w:name w:val="annotation text"/>
    <w:basedOn w:val="Normal"/>
    <w:link w:val="CommentTextChar"/>
    <w:uiPriority w:val="99"/>
    <w:unhideWhenUsed/>
    <w:rsid w:val="00FF64A1"/>
    <w:rPr>
      <w:sz w:val="20"/>
      <w:szCs w:val="20"/>
    </w:rPr>
  </w:style>
  <w:style w:type="character" w:customStyle="1" w:styleId="CommentTextChar">
    <w:name w:val="Comment Text Char"/>
    <w:basedOn w:val="DefaultParagraphFont"/>
    <w:link w:val="CommentText"/>
    <w:uiPriority w:val="99"/>
    <w:rsid w:val="00FF64A1"/>
    <w:rPr>
      <w:sz w:val="20"/>
      <w:szCs w:val="20"/>
    </w:rPr>
  </w:style>
  <w:style w:type="paragraph" w:styleId="CommentSubject">
    <w:name w:val="annotation subject"/>
    <w:basedOn w:val="CommentText"/>
    <w:next w:val="CommentText"/>
    <w:link w:val="CommentSubjectChar"/>
    <w:uiPriority w:val="99"/>
    <w:semiHidden/>
    <w:unhideWhenUsed/>
    <w:rsid w:val="00FF64A1"/>
    <w:rPr>
      <w:b/>
      <w:bCs/>
    </w:rPr>
  </w:style>
  <w:style w:type="character" w:customStyle="1" w:styleId="CommentSubjectChar">
    <w:name w:val="Comment Subject Char"/>
    <w:basedOn w:val="CommentTextChar"/>
    <w:link w:val="CommentSubject"/>
    <w:uiPriority w:val="99"/>
    <w:semiHidden/>
    <w:rsid w:val="00FF64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ef4dffa-8c77-49f6-a7ba-d33398e9a997}" enabled="0" method="" siteId="{0ef4dffa-8c77-49f6-a7ba-d33398e9a997}" removed="1"/>
</clbl:labelList>
</file>

<file path=docProps/app.xml><?xml version="1.0" encoding="utf-8"?>
<Properties xmlns="http://schemas.openxmlformats.org/officeDocument/2006/extended-properties" xmlns:vt="http://schemas.openxmlformats.org/officeDocument/2006/docPropsVTypes">
  <Template>Normal</Template>
  <TotalTime>13</TotalTime>
  <Pages>18</Pages>
  <Words>7206</Words>
  <Characters>42516</Characters>
  <Application>Microsoft Office Word</Application>
  <DocSecurity>0</DocSecurity>
  <Lines>654</Lines>
  <Paragraphs>246</Paragraphs>
  <ScaleCrop>false</ScaleCrop>
  <Company/>
  <LinksUpToDate>false</LinksUpToDate>
  <CharactersWithSpaces>49476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Becca Levin</cp:lastModifiedBy>
  <cp:revision>7</cp:revision>
  <dcterms:created xsi:type="dcterms:W3CDTF">2026-06-25T17:37:00Z</dcterms:created>
  <dcterms:modified xsi:type="dcterms:W3CDTF">2026-06-26T16:21:00Z</dcterms:modified>
</cp:coreProperties>
</file>