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AC6E8" w14:textId="7D7E8F9D" w:rsidR="009D21D9" w:rsidRPr="0053724D" w:rsidRDefault="008970B5" w:rsidP="0053724D">
      <w:pPr>
        <w:spacing w:after="60"/>
        <w:jc w:val="both"/>
        <w:rPr>
          <w:rFonts w:ascii="Funnel Sans" w:hAnsi="Funnel Sans"/>
        </w:rPr>
      </w:pPr>
      <w:r w:rsidRPr="0053724D">
        <w:rPr>
          <w:rFonts w:ascii="Funnel Sans" w:hAnsi="Funnel Sans"/>
          <w:color w:val="002924"/>
          <w:sz w:val="36"/>
          <w:szCs w:val="36"/>
        </w:rPr>
        <w:t>NVF Due Diligence Responses</w:t>
      </w:r>
    </w:p>
    <w:p w14:paraId="534AC6EA" w14:textId="0CD4DCBF" w:rsidR="009D21D9" w:rsidRPr="0053724D" w:rsidRDefault="009D21D9" w:rsidP="0053724D">
      <w:pPr>
        <w:pBdr>
          <w:bottom w:val="single" w:sz="6" w:space="8" w:color="002924"/>
        </w:pBdr>
        <w:spacing w:after="300"/>
        <w:jc w:val="both"/>
        <w:rPr>
          <w:rFonts w:ascii="Funnel Sans" w:hAnsi="Funnel Sans"/>
        </w:rPr>
      </w:pPr>
    </w:p>
    <w:p w14:paraId="534AC6EC" w14:textId="77777777" w:rsidR="009D21D9" w:rsidRPr="0053724D" w:rsidRDefault="00000000" w:rsidP="0053724D">
      <w:pPr>
        <w:pStyle w:val="Heading2"/>
        <w:jc w:val="both"/>
        <w:rPr>
          <w:rFonts w:ascii="Funnel Sans" w:hAnsi="Funnel Sans"/>
        </w:rPr>
      </w:pPr>
      <w:r w:rsidRPr="0053724D">
        <w:rPr>
          <w:rFonts w:ascii="Funnel Sans" w:hAnsi="Funnel Sans"/>
        </w:rPr>
        <w:t>If the company could only prioritize two programs, which targets would be the most interesting ones to prioritize? What criteria would the team use to make that decision?</w:t>
      </w:r>
    </w:p>
    <w:p w14:paraId="3949E412" w14:textId="6A8BDF54" w:rsidR="0013127A" w:rsidRPr="008B0D44" w:rsidRDefault="00A04F98" w:rsidP="0053724D">
      <w:pPr>
        <w:pBdr>
          <w:bottom w:val="single" w:sz="4" w:space="8" w:color="B1C8B0"/>
        </w:pBdr>
        <w:spacing w:before="200" w:after="200"/>
        <w:jc w:val="both"/>
        <w:rPr>
          <w:rFonts w:ascii="Funnel Sans" w:hAnsi="Funnel Sans"/>
        </w:rPr>
      </w:pPr>
      <w:r w:rsidRPr="008B0D44">
        <w:rPr>
          <w:rFonts w:ascii="Funnel Sans" w:hAnsi="Funnel Sans"/>
        </w:rPr>
        <w:t xml:space="preserve">While we remain </w:t>
      </w:r>
      <w:r w:rsidR="00291126" w:rsidRPr="008B0D44">
        <w:rPr>
          <w:rFonts w:ascii="Funnel Sans" w:hAnsi="Funnel Sans"/>
        </w:rPr>
        <w:t xml:space="preserve">committed to advancing all five internal programs through initial screening, </w:t>
      </w:r>
      <w:r w:rsidRPr="008B0D44">
        <w:rPr>
          <w:rFonts w:ascii="Funnel Sans" w:hAnsi="Funnel Sans"/>
        </w:rPr>
        <w:t xml:space="preserve">we’re happy to explore this intellectual exercise. </w:t>
      </w:r>
    </w:p>
    <w:p w14:paraId="47AD3EA0" w14:textId="38FCEBA3" w:rsidR="00636E85" w:rsidRPr="008B0D44" w:rsidRDefault="00A04F98" w:rsidP="0053724D">
      <w:pPr>
        <w:pBdr>
          <w:bottom w:val="single" w:sz="4" w:space="8" w:color="B1C8B0"/>
        </w:pBdr>
        <w:spacing w:before="200" w:after="200"/>
        <w:jc w:val="both"/>
        <w:rPr>
          <w:rFonts w:ascii="Funnel Sans" w:hAnsi="Funnel Sans"/>
        </w:rPr>
      </w:pPr>
      <w:r w:rsidRPr="008B0D44">
        <w:rPr>
          <w:rFonts w:ascii="Funnel Sans" w:hAnsi="Funnel Sans"/>
        </w:rPr>
        <w:t xml:space="preserve">At this time, we would make a decision to prioritize two programs based on (1) the current screening </w:t>
      </w:r>
      <w:r w:rsidR="00636E85" w:rsidRPr="008B0D44">
        <w:rPr>
          <w:rFonts w:ascii="Funnel Sans" w:hAnsi="Funnel Sans"/>
        </w:rPr>
        <w:t xml:space="preserve">or hit ID progress, (2) strength of the target by our target evaluation criteria and (3) pipeline strategic considerations. </w:t>
      </w:r>
      <w:r w:rsidR="00636E85" w:rsidRPr="008B0D44">
        <w:rPr>
          <w:rFonts w:ascii="Funnel Sans" w:hAnsi="Funnel Sans"/>
        </w:rPr>
        <w:br/>
      </w:r>
      <w:r w:rsidR="00636E85" w:rsidRPr="008B0D44">
        <w:rPr>
          <w:rFonts w:ascii="Funnel Sans" w:hAnsi="Funnel Sans"/>
        </w:rPr>
        <w:br/>
        <w:t xml:space="preserve">(1) </w:t>
      </w:r>
      <w:r w:rsidR="00291126" w:rsidRPr="008B0D44">
        <w:rPr>
          <w:rFonts w:ascii="Funnel Sans" w:hAnsi="Funnel Sans"/>
        </w:rPr>
        <w:t xml:space="preserve">Within 3 months, Sego will have initial screening data on at least 4 of 5 targets (ACP3, KLK2, CEACAM5, MUC1-C; CLDN1 may lag due to transmembrane protein handling requirements), and we expect that data to sharpen prioritization naturally through </w:t>
      </w:r>
      <w:r w:rsidR="00636E85" w:rsidRPr="008B0D44">
        <w:rPr>
          <w:rFonts w:ascii="Funnel Sans" w:hAnsi="Funnel Sans"/>
        </w:rPr>
        <w:t>differential binder affinity, selectivity and tractability across the programs</w:t>
      </w:r>
    </w:p>
    <w:p w14:paraId="4D4E37B9" w14:textId="5F1AA013" w:rsidR="00636E85" w:rsidRPr="008B0D44" w:rsidRDefault="00636E85" w:rsidP="0053724D">
      <w:pPr>
        <w:pBdr>
          <w:bottom w:val="single" w:sz="4" w:space="8" w:color="B1C8B0"/>
        </w:pBdr>
        <w:spacing w:before="200" w:after="200"/>
        <w:jc w:val="both"/>
        <w:rPr>
          <w:rFonts w:ascii="Funnel Sans" w:hAnsi="Funnel Sans"/>
        </w:rPr>
      </w:pPr>
      <w:r w:rsidRPr="008B0D44">
        <w:rPr>
          <w:rFonts w:ascii="Funnel Sans" w:hAnsi="Funnel Sans"/>
        </w:rPr>
        <w:t xml:space="preserve">(2) </w:t>
      </w:r>
      <w:r w:rsidR="00E75714" w:rsidRPr="008B0D44">
        <w:rPr>
          <w:rFonts w:ascii="Funnel Sans" w:hAnsi="Funnel Sans"/>
        </w:rPr>
        <w:t>If screening / hit ID data is equivalent, w</w:t>
      </w:r>
      <w:r w:rsidRPr="008B0D44">
        <w:rPr>
          <w:rFonts w:ascii="Funnel Sans" w:hAnsi="Funnel Sans"/>
        </w:rPr>
        <w:t>e would likely review targets for strength of expression / cleanliness</w:t>
      </w:r>
      <w:r w:rsidR="00E75714" w:rsidRPr="008B0D44">
        <w:rPr>
          <w:rFonts w:ascii="Funnel Sans" w:hAnsi="Funnel Sans"/>
        </w:rPr>
        <w:t xml:space="preserve"> and other biological criteria from our target evaluation framework. </w:t>
      </w:r>
    </w:p>
    <w:p w14:paraId="79EBA233" w14:textId="302982B4" w:rsidR="00E75714" w:rsidRPr="008B0D44" w:rsidRDefault="00E75714" w:rsidP="0053724D">
      <w:pPr>
        <w:pBdr>
          <w:bottom w:val="single" w:sz="4" w:space="8" w:color="B1C8B0"/>
        </w:pBdr>
        <w:spacing w:before="200" w:after="200"/>
        <w:jc w:val="both"/>
        <w:rPr>
          <w:rFonts w:ascii="Funnel Sans" w:hAnsi="Funnel Sans"/>
        </w:rPr>
      </w:pPr>
      <w:r w:rsidRPr="008B0D44">
        <w:rPr>
          <w:rFonts w:ascii="Funnel Sans" w:hAnsi="Funnel Sans"/>
        </w:rPr>
        <w:t xml:space="preserve">(3) Lastly, we would likely aim to diversify across indications, perhaps picking </w:t>
      </w:r>
      <w:r w:rsidR="008B0D44" w:rsidRPr="008B0D44">
        <w:rPr>
          <w:rFonts w:ascii="Funnel Sans" w:hAnsi="Funnel Sans"/>
        </w:rPr>
        <w:t>one</w:t>
      </w:r>
      <w:r w:rsidRPr="008B0D44">
        <w:rPr>
          <w:rFonts w:ascii="Funnel Sans" w:hAnsi="Funnel Sans"/>
        </w:rPr>
        <w:t xml:space="preserve"> prostate target and one non-prostate target. </w:t>
      </w:r>
    </w:p>
    <w:p w14:paraId="534AC6EE" w14:textId="562F1C84" w:rsidR="009D21D9" w:rsidRPr="008B0D44" w:rsidRDefault="00E75714" w:rsidP="0053724D">
      <w:pPr>
        <w:pBdr>
          <w:bottom w:val="single" w:sz="4" w:space="8" w:color="B1C8B0"/>
        </w:pBdr>
        <w:spacing w:before="200" w:after="200"/>
        <w:jc w:val="both"/>
        <w:rPr>
          <w:rFonts w:ascii="Funnel Sans" w:hAnsi="Funnel Sans"/>
        </w:rPr>
      </w:pPr>
      <w:r w:rsidRPr="008B0D44">
        <w:rPr>
          <w:rFonts w:ascii="Funnel Sans" w:hAnsi="Funnel Sans"/>
        </w:rPr>
        <w:t xml:space="preserve">We’ll hold off on naming specific targets in favor of letting </w:t>
      </w:r>
      <w:r w:rsidR="008B0D44" w:rsidRPr="008B0D44">
        <w:rPr>
          <w:rFonts w:ascii="Funnel Sans" w:hAnsi="Funnel Sans"/>
        </w:rPr>
        <w:t xml:space="preserve">ongoing and planned Hit ID campaigns readouts proceed over the next 3 months. </w:t>
      </w:r>
    </w:p>
    <w:p w14:paraId="534AC6EF" w14:textId="77777777" w:rsidR="009D21D9" w:rsidRPr="0053724D" w:rsidRDefault="00000000" w:rsidP="0053724D">
      <w:pPr>
        <w:pStyle w:val="Heading2"/>
        <w:jc w:val="both"/>
        <w:rPr>
          <w:rFonts w:ascii="Funnel Sans" w:hAnsi="Funnel Sans"/>
        </w:rPr>
      </w:pPr>
      <w:r w:rsidRPr="0053724D">
        <w:rPr>
          <w:rFonts w:ascii="Funnel Sans" w:hAnsi="Funnel Sans"/>
        </w:rPr>
        <w:t>Would that change the budget considerations and the progress of the programs? For example, would the company be able to advance even one program into the clinic and achieve Ph1 data on the $80 seed financing?</w:t>
      </w:r>
    </w:p>
    <w:p w14:paraId="4CD73708" w14:textId="121898DC" w:rsidR="00E612E5" w:rsidRDefault="009059C8" w:rsidP="0053724D">
      <w:pPr>
        <w:spacing w:after="200" w:line="276" w:lineRule="auto"/>
        <w:jc w:val="both"/>
        <w:rPr>
          <w:rFonts w:ascii="Funnel Sans" w:hAnsi="Funnel Sans"/>
        </w:rPr>
      </w:pPr>
      <w:r w:rsidRPr="009059C8">
        <w:rPr>
          <w:rFonts w:ascii="Funnel Sans" w:hAnsi="Funnel Sans"/>
        </w:rPr>
        <w:t>Narrowing the portfolio would</w:t>
      </w:r>
      <w:r>
        <w:rPr>
          <w:rFonts w:ascii="Funnel Sans" w:hAnsi="Funnel Sans"/>
        </w:rPr>
        <w:t xml:space="preserve"> certainly</w:t>
      </w:r>
      <w:r w:rsidRPr="009059C8">
        <w:rPr>
          <w:rFonts w:ascii="Funnel Sans" w:hAnsi="Funnel Sans"/>
        </w:rPr>
        <w:t xml:space="preserve"> extend runway per program</w:t>
      </w:r>
      <w:r>
        <w:rPr>
          <w:rFonts w:ascii="Funnel Sans" w:hAnsi="Funnel Sans"/>
        </w:rPr>
        <w:t xml:space="preserve"> and allow us to advance further through clinical studies. However, we have </w:t>
      </w:r>
      <w:r w:rsidRPr="009059C8">
        <w:rPr>
          <w:rFonts w:ascii="Funnel Sans" w:hAnsi="Funnel Sans"/>
        </w:rPr>
        <w:t>conviction that Phase 0 human dosimetry is the primary value inflection point in RLT</w:t>
      </w:r>
      <w:r>
        <w:rPr>
          <w:rFonts w:ascii="Funnel Sans" w:hAnsi="Funnel Sans"/>
        </w:rPr>
        <w:t>, not Ph 1</w:t>
      </w:r>
      <w:r w:rsidR="00F239C6">
        <w:rPr>
          <w:rFonts w:ascii="Funnel Sans" w:hAnsi="Funnel Sans"/>
        </w:rPr>
        <w:t xml:space="preserve"> and thus </w:t>
      </w:r>
      <w:r w:rsidRPr="009059C8">
        <w:rPr>
          <w:rFonts w:ascii="Funnel Sans" w:hAnsi="Funnel Sans"/>
        </w:rPr>
        <w:t xml:space="preserve">the seed financing is sized to reach that milestone on multiple programs. In this modality, Phase 0 </w:t>
      </w:r>
      <w:r w:rsidR="002B3048">
        <w:rPr>
          <w:rFonts w:ascii="Funnel Sans" w:hAnsi="Funnel Sans"/>
        </w:rPr>
        <w:t>sub-therapeutic dosing is a cost effective, highly-validate</w:t>
      </w:r>
      <w:r w:rsidR="008A6115">
        <w:rPr>
          <w:rFonts w:ascii="Funnel Sans" w:hAnsi="Funnel Sans"/>
        </w:rPr>
        <w:t>d</w:t>
      </w:r>
      <w:r w:rsidR="002B3048">
        <w:rPr>
          <w:rFonts w:ascii="Funnel Sans" w:hAnsi="Funnel Sans"/>
        </w:rPr>
        <w:t xml:space="preserve"> approach of confirming </w:t>
      </w:r>
      <w:r w:rsidR="00E612E5">
        <w:rPr>
          <w:rFonts w:ascii="Funnel Sans" w:hAnsi="Funnel Sans"/>
        </w:rPr>
        <w:t xml:space="preserve">molecules are likely to be tolerable &amp; efficacious at therapeutic doses. Extrapolation from sub-therapeutic to therapeutic dosimetry is straightforward, due to the primary basis in nuclear physics not human biology. </w:t>
      </w:r>
      <w:r w:rsidRPr="009059C8">
        <w:rPr>
          <w:rFonts w:ascii="Funnel Sans" w:hAnsi="Funnel Sans"/>
        </w:rPr>
        <w:t>The recent transaction history confirms this</w:t>
      </w:r>
      <w:r w:rsidR="00376EDF">
        <w:rPr>
          <w:rFonts w:ascii="Funnel Sans" w:hAnsi="Funnel Sans"/>
        </w:rPr>
        <w:t xml:space="preserve">: </w:t>
      </w:r>
      <w:r w:rsidR="00FA4E55">
        <w:rPr>
          <w:rFonts w:ascii="Funnel Sans" w:hAnsi="Funnel Sans"/>
        </w:rPr>
        <w:t>OncoACP3</w:t>
      </w:r>
      <w:r w:rsidR="00376EDF">
        <w:rPr>
          <w:rFonts w:ascii="Funnel Sans" w:hAnsi="Funnel Sans"/>
        </w:rPr>
        <w:t xml:space="preserve"> </w:t>
      </w:r>
      <w:r w:rsidRPr="009059C8">
        <w:rPr>
          <w:rFonts w:ascii="Funnel Sans" w:hAnsi="Funnel Sans"/>
        </w:rPr>
        <w:t>was acquired for $</w:t>
      </w:r>
      <w:r w:rsidR="002B3048">
        <w:rPr>
          <w:rFonts w:ascii="Funnel Sans" w:hAnsi="Funnel Sans"/>
        </w:rPr>
        <w:t>1.35</w:t>
      </w:r>
      <w:r w:rsidRPr="009059C8">
        <w:rPr>
          <w:rFonts w:ascii="Funnel Sans" w:hAnsi="Funnel Sans"/>
        </w:rPr>
        <w:t xml:space="preserve">B and Fusion for $2.4B, both on Phase 0 dosimetry foundations. </w:t>
      </w:r>
    </w:p>
    <w:p w14:paraId="34349FDA" w14:textId="6BC0984A" w:rsidR="009059C8" w:rsidRPr="0053724D" w:rsidRDefault="009059C8" w:rsidP="0053724D">
      <w:pPr>
        <w:spacing w:after="200" w:line="276" w:lineRule="auto"/>
        <w:jc w:val="both"/>
        <w:rPr>
          <w:rFonts w:ascii="Funnel Sans" w:hAnsi="Funnel Sans"/>
        </w:rPr>
      </w:pPr>
      <w:r w:rsidRPr="009059C8">
        <w:rPr>
          <w:rFonts w:ascii="Funnel Sans" w:hAnsi="Funnel Sans"/>
        </w:rPr>
        <w:t xml:space="preserve">Achieving Phase 1 efficacy data within a seed round is possible in a two-program scenario, but it </w:t>
      </w:r>
      <w:r w:rsidR="000B4F18">
        <w:rPr>
          <w:rFonts w:ascii="Funnel Sans" w:hAnsi="Funnel Sans"/>
        </w:rPr>
        <w:t xml:space="preserve">severely </w:t>
      </w:r>
      <w:r w:rsidRPr="009059C8">
        <w:rPr>
          <w:rFonts w:ascii="Funnel Sans" w:hAnsi="Funnel Sans"/>
        </w:rPr>
        <w:t xml:space="preserve"> concentrates risk on a single readout. Sego's plan prioritizes generating Phase 0 data across two targets, selecting lead compounds with human evidence, and entering the Series A with the most de-risked and transactable dataset rather than a single early-stage efficacy signal. </w:t>
      </w:r>
    </w:p>
    <w:p w14:paraId="534AC6F1" w14:textId="77777777" w:rsidR="009D21D9" w:rsidRPr="0053724D" w:rsidRDefault="009D21D9" w:rsidP="0053724D">
      <w:pPr>
        <w:pBdr>
          <w:bottom w:val="single" w:sz="4" w:space="8" w:color="B1C8B0"/>
        </w:pBdr>
        <w:spacing w:before="200" w:after="200"/>
        <w:jc w:val="both"/>
        <w:rPr>
          <w:rFonts w:ascii="Funnel Sans" w:hAnsi="Funnel Sans"/>
        </w:rPr>
      </w:pPr>
    </w:p>
    <w:p w14:paraId="534AC6F2" w14:textId="77777777" w:rsidR="009D21D9" w:rsidRPr="0053724D" w:rsidRDefault="00000000" w:rsidP="0053724D">
      <w:pPr>
        <w:pStyle w:val="Heading2"/>
        <w:jc w:val="both"/>
        <w:rPr>
          <w:rFonts w:ascii="Funnel Sans" w:hAnsi="Funnel Sans"/>
        </w:rPr>
      </w:pPr>
      <w:r w:rsidRPr="0053724D">
        <w:rPr>
          <w:rFonts w:ascii="Funnel Sans" w:hAnsi="Funnel Sans"/>
        </w:rPr>
        <w:t>For prostate cancer, what subset of patients would be best suited for a KLK2 or ACP3-targeted therapy especially when considering the dominant PSMA-targeted approaches? Would this be post-ARPI, PSMA negative or refractory patients for example? Is this pre or post Pluvicto? How would this generally compete with PSMA RLTs – not just Pluvicto but also next-gen PSMA approaches?</w:t>
      </w:r>
    </w:p>
    <w:p w14:paraId="534AC6F3" w14:textId="48F50BEB" w:rsidR="009D21D9" w:rsidRPr="0053724D" w:rsidRDefault="00000000" w:rsidP="0053724D">
      <w:pPr>
        <w:spacing w:after="200" w:line="276" w:lineRule="auto"/>
        <w:jc w:val="both"/>
        <w:rPr>
          <w:rFonts w:ascii="Funnel Sans" w:hAnsi="Funnel Sans"/>
        </w:rPr>
      </w:pPr>
      <w:r w:rsidRPr="0053724D">
        <w:rPr>
          <w:rFonts w:ascii="Funnel Sans" w:hAnsi="Funnel Sans"/>
        </w:rPr>
        <w:t>The initial patient population for both ACP3 and KLK2 is post-ARPI mCRPC, including both PSMA-positive and PSMA-negative patients, with explicit enrollment of the ~15% of high-risk mCRPC patients who are PSMA-low/negative and currently ineligible for any PSMA-targeted therapy. Both programs are designed to operate</w:t>
      </w:r>
      <w:r w:rsidR="00134652">
        <w:rPr>
          <w:rFonts w:ascii="Funnel Sans" w:hAnsi="Funnel Sans"/>
        </w:rPr>
        <w:t xml:space="preserve"> eventually</w:t>
      </w:r>
      <w:r w:rsidRPr="0053724D">
        <w:rPr>
          <w:rFonts w:ascii="Funnel Sans" w:hAnsi="Funnel Sans"/>
        </w:rPr>
        <w:t xml:space="preserve"> in both pre- and post-Pluvicto settings. In the post-Pluvicto population, there is no established standard of care, and ACP3/KLK2 target different antigens with no meaningful overlap in organ-at-risk exposure beyond kidney. In the pre-Pluvicto or Pluvicto-eligible population, the intent is head-to-head superiority: ACP3 has no expression in salivary gland or kidney, eliminating Pluvicto’s two dose-limiting toxicities (xerostomia and nephrotoxicity), which should enable more treatment cycles, higher cumulative tumor dose, and ultimately better PFS/OS. Against next-generation PSMA approaches such as 225Ac-PSMA-617 (Novartis PSMAcTION trial, enrolling 2025) and PNT2002 (POINT Biopharma LUNAR trial), Sego’s competitive advantage is target-level, not isotope-level: PSMA RLTs, regardless of isotope, will continue to cause salivary and renal toxicity because those tissues express PSMA </w:t>
      </w:r>
      <w:hyperlink r:id="rId7" w:history="1">
        <w:r w:rsidR="009D21D9" w:rsidRPr="0053724D">
          <w:rPr>
            <w:rStyle w:val="Hyperlink"/>
            <w:rFonts w:ascii="Funnel Sans" w:hAnsi="Funnel Sans"/>
          </w:rPr>
          <w:t>PSMA and Beyond 2025, UroToday</w:t>
        </w:r>
      </w:hyperlink>
      <w:r w:rsidRPr="0053724D">
        <w:rPr>
          <w:rFonts w:ascii="Funnel Sans" w:hAnsi="Funnel Sans"/>
        </w:rPr>
        <w:t>. ACP3 and KLK2 sidestep this entirely. The wider therapeutic index also supports earlier-line positioning, including BCR-triggered intervention in patients who have failed primary therapy but are not yet overtly metastatic, a setting where cumulative organ-at-risk tolerance becomes the binding constraint for PSMA agents.</w:t>
      </w:r>
    </w:p>
    <w:p w14:paraId="534AC6F4" w14:textId="77777777" w:rsidR="009D21D9" w:rsidRPr="0053724D" w:rsidRDefault="009D21D9" w:rsidP="0053724D">
      <w:pPr>
        <w:pBdr>
          <w:bottom w:val="single" w:sz="4" w:space="8" w:color="B1C8B0"/>
        </w:pBdr>
        <w:spacing w:before="200" w:after="200"/>
        <w:jc w:val="both"/>
        <w:rPr>
          <w:rFonts w:ascii="Funnel Sans" w:hAnsi="Funnel Sans"/>
        </w:rPr>
      </w:pPr>
    </w:p>
    <w:p w14:paraId="534AC6F5" w14:textId="77777777" w:rsidR="009D21D9" w:rsidRPr="0053724D" w:rsidRDefault="00000000" w:rsidP="0053724D">
      <w:pPr>
        <w:pStyle w:val="Heading2"/>
        <w:jc w:val="both"/>
        <w:rPr>
          <w:rFonts w:ascii="Funnel Sans" w:hAnsi="Funnel Sans"/>
        </w:rPr>
      </w:pPr>
      <w:r w:rsidRPr="0053724D">
        <w:rPr>
          <w:rFonts w:ascii="Funnel Sans" w:hAnsi="Funnel Sans"/>
        </w:rPr>
        <w:t>What is the team’s view on J&amp;J’s KLK2 RLT? Aside from some of the toxicity issues that could be derived from their antibody-based format, how will Sego’s KLK2 drug be positioned clinically against J&amp;J?</w:t>
      </w:r>
    </w:p>
    <w:p w14:paraId="534AC6F6" w14:textId="77777777" w:rsidR="009D21D9" w:rsidRPr="0053724D" w:rsidRDefault="00000000" w:rsidP="0053724D">
      <w:pPr>
        <w:spacing w:after="200" w:line="276" w:lineRule="auto"/>
        <w:jc w:val="both"/>
        <w:rPr>
          <w:rFonts w:ascii="Funnel Sans" w:hAnsi="Funnel Sans"/>
        </w:rPr>
      </w:pPr>
      <w:r w:rsidRPr="0053724D">
        <w:rPr>
          <w:rFonts w:ascii="Funnel Sans" w:hAnsi="Funnel Sans"/>
        </w:rPr>
        <w:t xml:space="preserve">JNJ-6420 validated KLK2 as a clinically tractable RLT target but demonstrated that an antibody format introduces toxicity liabilities Sego’s cyclic peptide eliminates. The Phase 1 data reported four treatment-related deaths, including two from ILD at cumulative doses </w:t>
      </w:r>
      <w:r w:rsidRPr="0053724D">
        <w:rPr>
          <w:rFonts w:ascii="Cambria Math" w:hAnsi="Cambria Math" w:cs="Cambria Math"/>
        </w:rPr>
        <w:t>≥</w:t>
      </w:r>
      <w:r w:rsidRPr="0053724D">
        <w:rPr>
          <w:rFonts w:ascii="Funnel Sans" w:hAnsi="Funnel Sans"/>
        </w:rPr>
        <w:t xml:space="preserve">600 </w:t>
      </w:r>
      <w:r w:rsidRPr="0053724D">
        <w:rPr>
          <w:rFonts w:ascii="Funnel Sans" w:hAnsi="Funnel Sans" w:cs="Funnel Sans"/>
        </w:rPr>
        <w:t>μ</w:t>
      </w:r>
      <w:r w:rsidRPr="0053724D">
        <w:rPr>
          <w:rFonts w:ascii="Funnel Sans" w:hAnsi="Funnel Sans"/>
        </w:rPr>
        <w:t xml:space="preserve">Ci, with 9% ILD incidence and 63% thrombocytopenia in the </w:t>
      </w:r>
      <w:r w:rsidRPr="0053724D">
        <w:rPr>
          <w:rFonts w:ascii="Cambria Math" w:hAnsi="Cambria Math" w:cs="Cambria Math"/>
        </w:rPr>
        <w:t>≥</w:t>
      </w:r>
      <w:r w:rsidRPr="0053724D">
        <w:rPr>
          <w:rFonts w:ascii="Funnel Sans" w:hAnsi="Funnel Sans"/>
        </w:rPr>
        <w:t xml:space="preserve">150 </w:t>
      </w:r>
      <w:r w:rsidRPr="0053724D">
        <w:rPr>
          <w:rFonts w:ascii="Funnel Sans" w:hAnsi="Funnel Sans" w:cs="Funnel Sans"/>
        </w:rPr>
        <w:t>μ</w:t>
      </w:r>
      <w:r w:rsidRPr="0053724D">
        <w:rPr>
          <w:rFonts w:ascii="Funnel Sans" w:hAnsi="Funnel Sans"/>
        </w:rPr>
        <w:t xml:space="preserve">Ci cohorts </w:t>
      </w:r>
      <w:hyperlink r:id="rId8" w:history="1">
        <w:r w:rsidR="009D21D9" w:rsidRPr="0053724D">
          <w:rPr>
            <w:rStyle w:val="Hyperlink"/>
            <w:rFonts w:ascii="Funnel Sans" w:hAnsi="Funnel Sans"/>
          </w:rPr>
          <w:t>ASCO 2024, JCO 42:5010</w:t>
        </w:r>
      </w:hyperlink>
      <w:r w:rsidRPr="0053724D">
        <w:rPr>
          <w:rFonts w:ascii="Funnel Sans" w:hAnsi="Funnel Sans"/>
        </w:rPr>
        <w:t xml:space="preserve">. These toxicities trace to the antibody platform, not the target: (i) prolonged blood residence (days to weeks) drives sustained marrow irradiation and cumulative lung dose, (ii) Fc-gamma receptor engagement promotes nonspecific hematologic toxicity independent of KLK2 expression, (iii) saturating mass doses amplify off-target tissue exposure. Sego’s cyclic peptide eliminates all three. Short circulating half-life (~tens of minutes) reduces blood-pool radiation and lung exposure. No Fc domain removes the marrow sink. Non-saturating doses restrict binding to high-expression tumor. Phase 0 imaging </w:t>
      </w:r>
      <w:r w:rsidRPr="0053724D">
        <w:rPr>
          <w:rFonts w:ascii="Funnel Sans" w:hAnsi="Funnel Sans"/>
        </w:rPr>
        <w:lastRenderedPageBreak/>
        <w:t>will confirm lung and marrow dosimetry before any therapeutic activity is administered. Clinically, Sego will position KLK2-RLT as a backbone agent in earlier lines of prostate cancer, not dose-capped salvage therapy (J&amp;J’s current framing), where the wider therapeutic index supports more treatment cycles and higher cumulative tumor doses.</w:t>
      </w:r>
    </w:p>
    <w:p w14:paraId="534AC6F7" w14:textId="77777777" w:rsidR="009D21D9" w:rsidRPr="0053724D" w:rsidRDefault="009D21D9" w:rsidP="0053724D">
      <w:pPr>
        <w:pBdr>
          <w:bottom w:val="single" w:sz="4" w:space="8" w:color="B1C8B0"/>
        </w:pBdr>
        <w:spacing w:before="200" w:after="200"/>
        <w:jc w:val="both"/>
        <w:rPr>
          <w:rFonts w:ascii="Funnel Sans" w:hAnsi="Funnel Sans"/>
        </w:rPr>
      </w:pPr>
    </w:p>
    <w:p w14:paraId="534AC6F8" w14:textId="77777777" w:rsidR="009D21D9" w:rsidRPr="0053724D" w:rsidRDefault="00000000" w:rsidP="0053724D">
      <w:pPr>
        <w:pStyle w:val="Heading2"/>
        <w:jc w:val="both"/>
        <w:rPr>
          <w:rFonts w:ascii="Funnel Sans" w:hAnsi="Funnel Sans"/>
        </w:rPr>
      </w:pPr>
      <w:r w:rsidRPr="0053724D">
        <w:rPr>
          <w:rFonts w:ascii="Funnel Sans" w:hAnsi="Funnel Sans"/>
        </w:rPr>
        <w:t>Given that Razye’s OncoACP3 binder (small molecule) is ahead of Sego in the ACP3 space, what does the team think are areas of differentiation when designing a novel peptide binder?</w:t>
      </w:r>
    </w:p>
    <w:p w14:paraId="534AC6F9" w14:textId="77777777" w:rsidR="009D21D9" w:rsidRPr="0053724D" w:rsidRDefault="00000000" w:rsidP="0053724D">
      <w:pPr>
        <w:spacing w:after="200" w:line="276" w:lineRule="auto"/>
        <w:jc w:val="both"/>
        <w:rPr>
          <w:rFonts w:ascii="Funnel Sans" w:hAnsi="Funnel Sans"/>
        </w:rPr>
      </w:pPr>
      <w:r w:rsidRPr="0053724D">
        <w:rPr>
          <w:rFonts w:ascii="Funnel Sans" w:hAnsi="Funnel Sans"/>
        </w:rPr>
        <w:t xml:space="preserve">Sego’s primary differentiation from OncoACP3 is cellular internalization. Preclinical data show OncoACP3 binds ACP3 on the cell surface but does not internalize into the cell, which limits the lethal DNA damage achievable with Auger emitters (161Tb) or alpha emitters (225Ac) that require intracellular delivery for maximum efficacy </w:t>
      </w:r>
      <w:hyperlink r:id="rId9" w:history="1">
        <w:r w:rsidR="009D21D9" w:rsidRPr="0053724D">
          <w:rPr>
            <w:rStyle w:val="Hyperlink"/>
            <w:rFonts w:ascii="Funnel Sans" w:hAnsi="Funnel Sans"/>
          </w:rPr>
          <w:t>Nat Biomed Eng 2025, PMID 40571760</w:t>
        </w:r>
      </w:hyperlink>
      <w:r w:rsidRPr="0053724D">
        <w:rPr>
          <w:rFonts w:ascii="Funnel Sans" w:hAnsi="Funnel Sans"/>
        </w:rPr>
        <w:t xml:space="preserve">. Sego is designing cyclic peptides that bind, internalize, and are retained intracellularly, delivering the isotope directly to the nucleus where alpha and Auger emissions inflict irreparable double-strand DNA breaks. Second, OncoACP3 is a racemic mixture, which introduces CMC complexity at scale: separating enantiomers or demonstrating equivalent pharmacology of both forms adds regulatory and manufacturing burden that a single-chirality peptide avoids. Third, Sego is exploring covalent binders to ACP3’s active site, which could further enhance tumor retention time and cumulative absorbed dose. BMS/RayzeBio licensed OncoACP3 from Philochem for up to $1.35B in June 2025, confirming the commercial value of the target </w:t>
      </w:r>
      <w:hyperlink r:id="rId10" w:history="1">
        <w:r w:rsidR="009D21D9" w:rsidRPr="0053724D">
          <w:rPr>
            <w:rStyle w:val="Hyperlink"/>
            <w:rFonts w:ascii="Funnel Sans" w:hAnsi="Funnel Sans"/>
          </w:rPr>
          <w:t>BioSpace, June 2025</w:t>
        </w:r>
      </w:hyperlink>
      <w:r w:rsidRPr="0053724D">
        <w:rPr>
          <w:rFonts w:ascii="Funnel Sans" w:hAnsi="Funnel Sans"/>
        </w:rPr>
        <w:t xml:space="preserve">. Early FIH imaging with 68Ga-OncoACP3-DOTA demonstrated selective tumor uptake with minimal healthy organ binding </w:t>
      </w:r>
      <w:hyperlink r:id="rId11" w:history="1">
        <w:r w:rsidR="009D21D9" w:rsidRPr="0053724D">
          <w:rPr>
            <w:rStyle w:val="Hyperlink"/>
            <w:rFonts w:ascii="Funnel Sans" w:hAnsi="Funnel Sans"/>
          </w:rPr>
          <w:t>SNMMI 2025</w:t>
        </w:r>
      </w:hyperlink>
      <w:r w:rsidRPr="0053724D">
        <w:rPr>
          <w:rFonts w:ascii="Funnel Sans" w:hAnsi="Funnel Sans"/>
        </w:rPr>
        <w:t>, validating the target biology that Sego’s internalizing peptide is designed to exploit more fully.</w:t>
      </w:r>
    </w:p>
    <w:p w14:paraId="534AC6FA" w14:textId="77777777" w:rsidR="009D21D9" w:rsidRPr="0053724D" w:rsidRDefault="009D21D9" w:rsidP="0053724D">
      <w:pPr>
        <w:pBdr>
          <w:bottom w:val="single" w:sz="4" w:space="8" w:color="B1C8B0"/>
        </w:pBdr>
        <w:spacing w:before="200" w:after="200"/>
        <w:jc w:val="both"/>
        <w:rPr>
          <w:rFonts w:ascii="Funnel Sans" w:hAnsi="Funnel Sans"/>
        </w:rPr>
      </w:pPr>
    </w:p>
    <w:p w14:paraId="534AC6FB" w14:textId="77777777" w:rsidR="009D21D9" w:rsidRPr="0053724D" w:rsidRDefault="00000000" w:rsidP="0053724D">
      <w:pPr>
        <w:pStyle w:val="Heading2"/>
        <w:jc w:val="both"/>
        <w:rPr>
          <w:rFonts w:ascii="Funnel Sans" w:hAnsi="Funnel Sans"/>
        </w:rPr>
      </w:pPr>
      <w:r w:rsidRPr="0053724D">
        <w:rPr>
          <w:rFonts w:ascii="Funnel Sans" w:hAnsi="Funnel Sans"/>
        </w:rPr>
        <w:t>For the targets for which ADC competitors exist (ie. CEACAM5, GCC, MUC1), how will a RLT modality for that target be differentiated? What TPP will Sego aim for, especially the safety profile?</w:t>
      </w:r>
    </w:p>
    <w:p w14:paraId="534AC6FC" w14:textId="77777777" w:rsidR="009D21D9" w:rsidRPr="0053724D" w:rsidRDefault="00000000" w:rsidP="0053724D">
      <w:pPr>
        <w:spacing w:after="200" w:line="276" w:lineRule="auto"/>
        <w:jc w:val="both"/>
        <w:rPr>
          <w:rFonts w:ascii="Funnel Sans" w:hAnsi="Funnel Sans"/>
        </w:rPr>
      </w:pPr>
      <w:r w:rsidRPr="0053724D">
        <w:rPr>
          <w:rFonts w:ascii="Funnel Sans" w:hAnsi="Funnel Sans"/>
        </w:rPr>
        <w:t xml:space="preserve">RLT is differentiated from ADCs on these targets because its cytotoxicity is radiation-mediated, independent of internalization efficiency, intracellular trafficking, and payload release, which are the primary failure modes of ADCs in the CEACAM5, GCC, and MUC1 clinical experience. CEACAM5 ADCs (e.g., SAR408701/tusamitamab ravtansine) showed limited efficacy attributed to slow internalization and payload-class adverse events including ocular toxicity </w:t>
      </w:r>
      <w:hyperlink r:id="rId12" w:history="1">
        <w:r w:rsidR="009D21D9" w:rsidRPr="0053724D">
          <w:rPr>
            <w:rStyle w:val="Hyperlink"/>
            <w:rFonts w:ascii="Funnel Sans" w:hAnsi="Funnel Sans"/>
          </w:rPr>
          <w:t>ESMO 2022</w:t>
        </w:r>
      </w:hyperlink>
      <w:r w:rsidRPr="0053724D">
        <w:rPr>
          <w:rFonts w:ascii="Funnel Sans" w:hAnsi="Funnel Sans"/>
        </w:rPr>
        <w:t xml:space="preserve">. Historical MUC1 ADCs bound aberrantly glycosylated MUC1-N, which is shed into circulation and acts as a decoy, reducing tumor delivery. TAK-164 (GCC ADC) was terminated after Phase 1 due to hepatotoxicity at higher doses and insufficient clinical benefit </w:t>
      </w:r>
      <w:hyperlink r:id="rId13" w:history="1">
        <w:r w:rsidR="009D21D9" w:rsidRPr="0053724D">
          <w:rPr>
            <w:rStyle w:val="Hyperlink"/>
            <w:rFonts w:ascii="Funnel Sans" w:hAnsi="Funnel Sans"/>
          </w:rPr>
          <w:t>Cancer Chemother Pharmacol 2023</w:t>
        </w:r>
      </w:hyperlink>
      <w:r w:rsidRPr="0053724D">
        <w:rPr>
          <w:rFonts w:ascii="Funnel Sans" w:hAnsi="Funnel Sans"/>
        </w:rPr>
        <w:t xml:space="preserve">. Sego’s TPP targets a safety profile defined by quantitative dosimetry thresholds: tumor absorbed dose &gt;100 Gy cumulative, kidney </w:t>
      </w:r>
      <w:r w:rsidRPr="0053724D">
        <w:rPr>
          <w:rFonts w:ascii="Cambria Math" w:hAnsi="Cambria Math" w:cs="Cambria Math"/>
        </w:rPr>
        <w:t>≤</w:t>
      </w:r>
      <w:r w:rsidRPr="0053724D">
        <w:rPr>
          <w:rFonts w:ascii="Funnel Sans" w:hAnsi="Funnel Sans"/>
        </w:rPr>
        <w:t xml:space="preserve">23 Gy, red marrow </w:t>
      </w:r>
      <w:r w:rsidRPr="0053724D">
        <w:rPr>
          <w:rFonts w:ascii="Cambria Math" w:hAnsi="Cambria Math" w:cs="Cambria Math"/>
        </w:rPr>
        <w:t>≤</w:t>
      </w:r>
      <w:r w:rsidRPr="0053724D">
        <w:rPr>
          <w:rFonts w:ascii="Funnel Sans" w:hAnsi="Funnel Sans"/>
        </w:rPr>
        <w:t xml:space="preserve">2 Gy, with tumor-to-kidney ratio &gt;3 and tumor-to-marrow ratio &gt;20. Peptide RLT delivers radiation via localized emission upon tumor binding (beta crossfire) and intracellular delivery </w:t>
      </w:r>
      <w:r w:rsidRPr="0053724D">
        <w:rPr>
          <w:rFonts w:ascii="Funnel Sans" w:hAnsi="Funnel Sans"/>
        </w:rPr>
        <w:lastRenderedPageBreak/>
        <w:t>(Auger, alpha), reducing dependence on uniform antigen expression and internalization across every cell. The rapid clearance and non-saturating mass doses of a cyclic peptide minimize sustained off-target organ exposure, producing a predictable, dosimetry-defined safety profile rather than the systemic, payload-class-driven toxicity seen with ADCs.</w:t>
      </w:r>
    </w:p>
    <w:p w14:paraId="534AC6FD" w14:textId="77777777" w:rsidR="009D21D9" w:rsidRPr="0053724D" w:rsidRDefault="009D21D9" w:rsidP="0053724D">
      <w:pPr>
        <w:pBdr>
          <w:bottom w:val="single" w:sz="4" w:space="8" w:color="B1C8B0"/>
        </w:pBdr>
        <w:spacing w:before="200" w:after="200"/>
        <w:jc w:val="both"/>
        <w:rPr>
          <w:rFonts w:ascii="Funnel Sans" w:hAnsi="Funnel Sans"/>
        </w:rPr>
      </w:pPr>
    </w:p>
    <w:p w14:paraId="534AC6FE" w14:textId="77777777" w:rsidR="009D21D9" w:rsidRPr="0053724D" w:rsidRDefault="00000000" w:rsidP="0053724D">
      <w:pPr>
        <w:pStyle w:val="Heading2"/>
        <w:jc w:val="both"/>
        <w:rPr>
          <w:rFonts w:ascii="Funnel Sans" w:hAnsi="Funnel Sans"/>
        </w:rPr>
      </w:pPr>
      <w:r w:rsidRPr="0053724D">
        <w:rPr>
          <w:rFonts w:ascii="Funnel Sans" w:hAnsi="Funnel Sans"/>
        </w:rPr>
        <w:t>What is the accessibility of CEACAM5 and CLDN1 in normal tissues vs. the tumors in the relevant in vivo models? Do we expect any dose-limiting organs based on the normal expression profile?</w:t>
      </w:r>
    </w:p>
    <w:p w14:paraId="534AC6FF" w14:textId="77777777" w:rsidR="009D21D9" w:rsidRPr="0053724D" w:rsidRDefault="00000000" w:rsidP="0053724D">
      <w:pPr>
        <w:spacing w:after="200" w:line="276" w:lineRule="auto"/>
        <w:jc w:val="both"/>
        <w:rPr>
          <w:rFonts w:ascii="Funnel Sans" w:hAnsi="Funnel Sans"/>
        </w:rPr>
      </w:pPr>
      <w:r w:rsidRPr="0053724D">
        <w:rPr>
          <w:rFonts w:ascii="Funnel Sans" w:hAnsi="Funnel Sans"/>
        </w:rPr>
        <w:t xml:space="preserve">CEACAM5 and CLDN1 are both expressed in normal epithelial tissues, but tumor-specific accessibility, not absolute expression, determines the relevant dose to normal organs. CEACAM5 in healthy GI epithelium is confined to the apical (luminal) surface, shielded from systemic circulation by epithelial polarity. Clinical imaging with 64Cu-M5A (an anti-CEACAM5 antibody binding the A3-B3 domain) confirmed minimal uptake in normal colon, supporting the accessibility hypothesis in humans </w:t>
      </w:r>
      <w:hyperlink r:id="rId14" w:history="1">
        <w:r w:rsidR="009D21D9" w:rsidRPr="0053724D">
          <w:rPr>
            <w:rStyle w:val="Hyperlink"/>
            <w:rFonts w:ascii="Funnel Sans" w:hAnsi="Funnel Sans"/>
          </w:rPr>
          <w:t>Wong et al., Cancer Biother Radiopharm 2023</w:t>
        </w:r>
      </w:hyperlink>
      <w:r w:rsidRPr="0053724D">
        <w:rPr>
          <w:rFonts w:ascii="Funnel Sans" w:hAnsi="Funnel Sans"/>
        </w:rPr>
        <w:t>. In tumors, loss of apical polarity and CEACAM5 overexpression expose the antigen to circulating ligands. CLDN1 in healthy tissues is junctional, embedded in tight junction complexes and inaccessible to circulating agents. In tumors, CLDN1 becomes non-junctional due to disrupted epithelial architecture, exposing it on the basolateral and free cell surface. The expected dose-limiting organ for both targets is kidney, driven by physiological peptide clearance rather than on-target binding. Sego’s first six targets have no known red marrow expression. Medicinal chemistry optimization drives rapid renal clearance with minimal kidney retention, and Phase 0 imaging will quantify per-patient organ exposure before any therapeutic dose to confirm the preclinical accessibility model translates to humans.</w:t>
      </w:r>
    </w:p>
    <w:p w14:paraId="534AC700" w14:textId="77777777" w:rsidR="009D21D9" w:rsidRPr="0053724D" w:rsidRDefault="009D21D9" w:rsidP="0053724D">
      <w:pPr>
        <w:pBdr>
          <w:bottom w:val="single" w:sz="4" w:space="8" w:color="B1C8B0"/>
        </w:pBdr>
        <w:spacing w:before="200" w:after="200"/>
        <w:jc w:val="both"/>
        <w:rPr>
          <w:rFonts w:ascii="Funnel Sans" w:hAnsi="Funnel Sans"/>
        </w:rPr>
      </w:pPr>
    </w:p>
    <w:p w14:paraId="534AC701" w14:textId="77777777" w:rsidR="009D21D9" w:rsidRPr="0053724D" w:rsidRDefault="00000000" w:rsidP="0053724D">
      <w:pPr>
        <w:pStyle w:val="Heading2"/>
        <w:jc w:val="both"/>
        <w:rPr>
          <w:rFonts w:ascii="Funnel Sans" w:hAnsi="Funnel Sans"/>
        </w:rPr>
      </w:pPr>
      <w:r w:rsidRPr="0053724D">
        <w:rPr>
          <w:rFonts w:ascii="Funnel Sans" w:hAnsi="Funnel Sans"/>
        </w:rPr>
        <w:t>Do the hepatic toxicities seen in the TAK-164 (ADC) program affect interest in GCC as a target in general? How will a RLT approach be differentiated?</w:t>
      </w:r>
    </w:p>
    <w:p w14:paraId="534AC702" w14:textId="77777777" w:rsidR="009D21D9" w:rsidRPr="0053724D" w:rsidRDefault="00000000" w:rsidP="0053724D">
      <w:pPr>
        <w:spacing w:after="200" w:line="276" w:lineRule="auto"/>
        <w:jc w:val="both"/>
        <w:rPr>
          <w:rFonts w:ascii="Funnel Sans" w:hAnsi="Funnel Sans"/>
        </w:rPr>
      </w:pPr>
      <w:r w:rsidRPr="0053724D">
        <w:rPr>
          <w:rFonts w:ascii="Funnel Sans" w:hAnsi="Funnel Sans"/>
        </w:rPr>
        <w:t xml:space="preserve">Sego has deprioritized GCC as an internal program to make room for a potentially accelerating in-license opportunity. This decision was based on GCC’s ranking in our internal target scoring system relative to the five retained programs (ACP3, KLK2, CLDN1, CEACAM5, MUC1-C), not on the TAK-164 hepatotoxicity signal specifically. That said, TAK-164’s Phase 1 demonstrated hepatic toxicity at higher doses with insufficient clinical benefit, leading Takeda to terminate development </w:t>
      </w:r>
      <w:hyperlink r:id="rId15" w:history="1">
        <w:r w:rsidR="009D21D9" w:rsidRPr="0053724D">
          <w:rPr>
            <w:rStyle w:val="Hyperlink"/>
            <w:rFonts w:ascii="Funnel Sans" w:hAnsi="Funnel Sans"/>
          </w:rPr>
          <w:t>Cancer Chemother Pharmacol 2023</w:t>
        </w:r>
      </w:hyperlink>
      <w:r w:rsidRPr="0053724D">
        <w:rPr>
          <w:rFonts w:ascii="Funnel Sans" w:hAnsi="Funnel Sans"/>
        </w:rPr>
        <w:t>. These toxicities were largely payload- and ADC-driven (maytansinoid DM1 via non-cleavable linker metabolized hepatically), rather than target-driven. An RLT approach would sidestep the hepatic payload metabolism that drove TAK-164’s DLT. However, GCC expression in normal GI epithelium would still require careful dosimetric evaluation of on-target, off-tumor GI exposure. Given the strength of our retained pipeline and the active BD opportunity landscape, we view the GCC slot as better allocated to an in-licensed asset that could accelerate Sego’s path to FIH data.</w:t>
      </w:r>
    </w:p>
    <w:p w14:paraId="534AC703" w14:textId="77777777" w:rsidR="009D21D9" w:rsidRPr="0053724D" w:rsidRDefault="009D21D9" w:rsidP="0053724D">
      <w:pPr>
        <w:pBdr>
          <w:bottom w:val="single" w:sz="4" w:space="8" w:color="B1C8B0"/>
        </w:pBdr>
        <w:spacing w:before="200" w:after="200"/>
        <w:jc w:val="both"/>
        <w:rPr>
          <w:rFonts w:ascii="Funnel Sans" w:hAnsi="Funnel Sans"/>
        </w:rPr>
      </w:pPr>
    </w:p>
    <w:p w14:paraId="534AC704" w14:textId="77777777" w:rsidR="009D21D9" w:rsidRPr="0053724D" w:rsidRDefault="00000000" w:rsidP="0053724D">
      <w:pPr>
        <w:pStyle w:val="Heading2"/>
        <w:jc w:val="both"/>
        <w:rPr>
          <w:rFonts w:ascii="Funnel Sans" w:hAnsi="Funnel Sans"/>
        </w:rPr>
      </w:pPr>
      <w:r w:rsidRPr="0053724D">
        <w:rPr>
          <w:rFonts w:ascii="Funnel Sans" w:hAnsi="Funnel Sans"/>
        </w:rPr>
        <w:t>What are the expected dose-limiting organs given the expression profile in normal tissues such as GI?</w:t>
      </w:r>
    </w:p>
    <w:p w14:paraId="534AC705" w14:textId="77777777" w:rsidR="009D21D9" w:rsidRPr="0053724D" w:rsidRDefault="00000000" w:rsidP="0053724D">
      <w:pPr>
        <w:spacing w:after="200" w:line="276" w:lineRule="auto"/>
        <w:jc w:val="both"/>
        <w:rPr>
          <w:rFonts w:ascii="Funnel Sans" w:hAnsi="Funnel Sans"/>
        </w:rPr>
      </w:pPr>
      <w:r w:rsidRPr="0053724D">
        <w:rPr>
          <w:rFonts w:ascii="Funnel Sans" w:hAnsi="Funnel Sans"/>
        </w:rPr>
        <w:t>As noted above, Sego has deprioritized GCC to reserve pipeline capacity for a BD in-license opportunity. In the last 3 months, Sego has evaluated 5+ assets either near clinic-ready or with FIH data, and we are actively engaged with Chinese RLT companies, European and American academic centers to identify a program that meets our target selection criteria, strong data package, and favorable deal economics. GCC’s deprioritization reflects its ranking in our internal scoring system and the strategic value of maintaining optionality for an asset that could accelerate our clinical timeline beyond what internal de novo discovery would achieve. For context, GCC expression in normal intestinal epithelium (luminal surface) would make GI tract the expected primary organ at risk for a GCC-targeted RLT, with kidney as the secondary DLO driven by peptide clearance. Phase 0 imaging would be required to confirm the on-target, off-tumor GI dose before therapeutic escalation.</w:t>
      </w:r>
    </w:p>
    <w:p w14:paraId="534AC706" w14:textId="77777777" w:rsidR="009D21D9" w:rsidRPr="0053724D" w:rsidRDefault="009D21D9" w:rsidP="0053724D">
      <w:pPr>
        <w:pBdr>
          <w:bottom w:val="single" w:sz="4" w:space="8" w:color="B1C8B0"/>
        </w:pBdr>
        <w:spacing w:before="200" w:after="200"/>
        <w:jc w:val="both"/>
        <w:rPr>
          <w:rFonts w:ascii="Funnel Sans" w:hAnsi="Funnel Sans"/>
        </w:rPr>
      </w:pPr>
    </w:p>
    <w:p w14:paraId="534AC707" w14:textId="77777777" w:rsidR="009D21D9" w:rsidRPr="0053724D" w:rsidRDefault="00000000" w:rsidP="0053724D">
      <w:pPr>
        <w:pStyle w:val="Heading2"/>
        <w:jc w:val="both"/>
        <w:rPr>
          <w:rFonts w:ascii="Funnel Sans" w:hAnsi="Funnel Sans"/>
        </w:rPr>
      </w:pPr>
      <w:r w:rsidRPr="0053724D">
        <w:rPr>
          <w:rFonts w:ascii="Funnel Sans" w:hAnsi="Funnel Sans"/>
        </w:rPr>
        <w:t>Are there any structural insights for MUC1-C that will help with the identification of a peptide binder for that specific protein region?</w:t>
      </w:r>
    </w:p>
    <w:p w14:paraId="534AC708" w14:textId="77777777" w:rsidR="009D21D9" w:rsidRPr="0053724D" w:rsidRDefault="00000000" w:rsidP="0053724D">
      <w:pPr>
        <w:spacing w:after="200" w:line="276" w:lineRule="auto"/>
        <w:jc w:val="both"/>
        <w:rPr>
          <w:rFonts w:ascii="Funnel Sans" w:hAnsi="Funnel Sans"/>
        </w:rPr>
      </w:pPr>
      <w:r w:rsidRPr="0053724D">
        <w:rPr>
          <w:rFonts w:ascii="Funnel Sans" w:hAnsi="Funnel Sans"/>
        </w:rPr>
        <w:t xml:space="preserve">MUC1-C offers multiple structurally characterized binding regions that Sego plans to exploit through a dual discovery approach. The MUC1-C subunit comprises a 58-amino acid extracellular domain (ECD), a 28-amino acid transmembrane domain, and a 72-amino acid cytoplasmic domain (CD), with crystal structures available for the SEA domain at the MUC1-N/MUC1-C interface (PDB: 6BSC, </w:t>
      </w:r>
      <w:hyperlink r:id="rId16" w:history="1">
        <w:r w:rsidR="009D21D9" w:rsidRPr="0053724D">
          <w:rPr>
            <w:rStyle w:val="Hyperlink"/>
            <w:rFonts w:ascii="Funnel Sans" w:hAnsi="Funnel Sans"/>
          </w:rPr>
          <w:t>Pelaseyed et al., J Biol Chem 2020</w:t>
        </w:r>
      </w:hyperlink>
      <w:r w:rsidRPr="0053724D">
        <w:rPr>
          <w:rFonts w:ascii="Funnel Sans" w:hAnsi="Funnel Sans"/>
        </w:rPr>
        <w:t xml:space="preserve">. The cytoplasmic CQC motif (aa 87–89), a conserved CQCRRK sequence adjacent to the membrane, mediates MUC1-C homodimerization required for oncogenic signaling. GO-203, a D-amino acid cell-penetrating peptide containing the CQCRRKN sequence, validated this motif as druggable by blocking dimerization in vitro and in vivo </w:t>
      </w:r>
      <w:hyperlink r:id="rId17" w:history="1">
        <w:r w:rsidR="009D21D9" w:rsidRPr="0053724D">
          <w:rPr>
            <w:rStyle w:val="Hyperlink"/>
            <w:rFonts w:ascii="Funnel Sans" w:hAnsi="Funnel Sans"/>
          </w:rPr>
          <w:t>Raina et al., PLoS ONE 2015</w:t>
        </w:r>
      </w:hyperlink>
      <w:r w:rsidRPr="0053724D">
        <w:rPr>
          <w:rFonts w:ascii="Funnel Sans" w:hAnsi="Funnel Sans"/>
        </w:rPr>
        <w:t>. Sego’s first approach leverages the MUC1-N/MUC1-C noncovalent heterodimeric interaction at the SEA domain to rapidly derive cyclic peptide binders that mimic the natural binding interface. In parallel, de novo screening (mRNA display, phage) targets the MUC1-C ECD directly, using commercially available constructs. The structural data on both the SEA domain cleavage interface and the CQC dimerization pocket provide defined starting points for rational peptide design, reducing the empiricism typical of de novo campaigns against novel targets.</w:t>
      </w:r>
    </w:p>
    <w:p w14:paraId="534AC709" w14:textId="77777777" w:rsidR="009D21D9" w:rsidRPr="0053724D" w:rsidRDefault="009D21D9" w:rsidP="0053724D">
      <w:pPr>
        <w:pBdr>
          <w:bottom w:val="single" w:sz="4" w:space="8" w:color="B1C8B0"/>
        </w:pBdr>
        <w:spacing w:before="200" w:after="200"/>
        <w:jc w:val="both"/>
        <w:rPr>
          <w:rFonts w:ascii="Funnel Sans" w:hAnsi="Funnel Sans"/>
        </w:rPr>
      </w:pPr>
    </w:p>
    <w:p w14:paraId="534AC70A" w14:textId="77777777" w:rsidR="009D21D9" w:rsidRPr="0053724D" w:rsidRDefault="00000000" w:rsidP="0053724D">
      <w:pPr>
        <w:pStyle w:val="Heading2"/>
        <w:jc w:val="both"/>
        <w:rPr>
          <w:rFonts w:ascii="Funnel Sans" w:hAnsi="Funnel Sans"/>
        </w:rPr>
      </w:pPr>
      <w:r w:rsidRPr="0053724D">
        <w:rPr>
          <w:rFonts w:ascii="Funnel Sans" w:hAnsi="Funnel Sans"/>
        </w:rPr>
        <w:t>How will the team decide between an alpha or beta emitter for the payload for each program? What data points will drive that decision?</w:t>
      </w:r>
    </w:p>
    <w:p w14:paraId="534AC70B" w14:textId="77777777" w:rsidR="009D21D9" w:rsidRPr="0053724D" w:rsidRDefault="00000000" w:rsidP="0053724D">
      <w:pPr>
        <w:spacing w:after="200" w:line="276" w:lineRule="auto"/>
        <w:jc w:val="both"/>
        <w:rPr>
          <w:rFonts w:ascii="Funnel Sans" w:hAnsi="Funnel Sans"/>
        </w:rPr>
      </w:pPr>
      <w:r w:rsidRPr="0053724D">
        <w:rPr>
          <w:rFonts w:ascii="Funnel Sans" w:hAnsi="Funnel Sans"/>
        </w:rPr>
        <w:t>The choice between alpha (225Ac) and beta/Auger (161Tb) is driven by three target- and indication-specific data points: (i) disease burden distribution, (ii) internalization efficiency, and (iii) on-target/off-</w:t>
      </w:r>
      <w:r w:rsidRPr="0053724D">
        <w:rPr>
          <w:rFonts w:ascii="Funnel Sans" w:hAnsi="Funnel Sans"/>
        </w:rPr>
        <w:lastRenderedPageBreak/>
        <w:t>tumor expression profile. 225Ac is the default therapeutic isotope. Its alpha decay chain delivers four alpha particles per disintegration, producing irreparable double-strand DNA breaks with a kill density no beta emitter can match. 225Ac is preferred for targets with confirmed internalization and high receptor density, where intracellular delivery maximizes alpha-particle efficacy. 161Tb is selected when the indication presents mixed disease burden, from bulky macrometastases through micrometastases and circulating tumor cells (CTCs). Its beta emission (comparable to 177Lu) provides crossfire for debulking large lesions, while its Auger electrons deliver short-range, densely ionizing damage to single CTCs and sub-millimeter micromets. 161Tb may also be preferred when the on-target/off-tumor expression profile of a given target favors more forgiving dosimetry. The decision is made empirically at the program level using Phase 0 human dosimetry data: tumor uptake and retention, organ-at-risk washout kinetics, and predicted absorbed dose ratios under each isotope’s decay scheme. A single DOTA/DOTAGA chelator is compatible with both isotopes, so the decision can be deferred to clinical data without requiring separate medicinal chemistry campaigns.</w:t>
      </w:r>
    </w:p>
    <w:p w14:paraId="534AC70C" w14:textId="77777777" w:rsidR="009D21D9" w:rsidRPr="0053724D" w:rsidRDefault="009D21D9" w:rsidP="0053724D">
      <w:pPr>
        <w:pBdr>
          <w:bottom w:val="single" w:sz="4" w:space="8" w:color="B1C8B0"/>
        </w:pBdr>
        <w:spacing w:before="200" w:after="200"/>
        <w:jc w:val="both"/>
        <w:rPr>
          <w:rFonts w:ascii="Funnel Sans" w:hAnsi="Funnel Sans"/>
        </w:rPr>
      </w:pPr>
    </w:p>
    <w:p w14:paraId="534AC70D" w14:textId="77777777" w:rsidR="009D21D9" w:rsidRPr="0053724D" w:rsidRDefault="00000000" w:rsidP="0053724D">
      <w:pPr>
        <w:pStyle w:val="Heading2"/>
        <w:jc w:val="both"/>
        <w:rPr>
          <w:rFonts w:ascii="Funnel Sans" w:hAnsi="Funnel Sans"/>
        </w:rPr>
      </w:pPr>
      <w:r w:rsidRPr="0053724D">
        <w:rPr>
          <w:rFonts w:ascii="Funnel Sans" w:hAnsi="Funnel Sans"/>
        </w:rPr>
        <w:t>Why the usage of 161Tb and why is it preferred over 177Lu? What is the current CMC process – please explain the raw materials, nuclear reaction, and decay process. Who are the current manufacturers of 161Tb and how much supply can they support?</w:t>
      </w:r>
    </w:p>
    <w:p w14:paraId="534AC70E" w14:textId="77777777" w:rsidR="009D21D9" w:rsidRPr="0053724D" w:rsidRDefault="00000000" w:rsidP="0053724D">
      <w:pPr>
        <w:spacing w:after="200" w:line="276" w:lineRule="auto"/>
        <w:jc w:val="both"/>
        <w:rPr>
          <w:rFonts w:ascii="Funnel Sans" w:hAnsi="Funnel Sans"/>
        </w:rPr>
      </w:pPr>
      <w:r w:rsidRPr="0053724D">
        <w:rPr>
          <w:rFonts w:ascii="Funnel Sans" w:hAnsi="Funnel Sans"/>
        </w:rPr>
        <w:t xml:space="preserve">161Tb delivers approximately twice the per-GBq tumor absorbed dose of 177Lu in head-to-head PSMA dosimetry studies, driven by its additional high-energy Auger and conversion electron emissions that 177Lu lacks </w:t>
      </w:r>
      <w:hyperlink r:id="rId18" w:history="1">
        <w:r w:rsidR="009D21D9" w:rsidRPr="0053724D">
          <w:rPr>
            <w:rStyle w:val="Hyperlink"/>
            <w:rFonts w:ascii="Funnel Sans" w:hAnsi="Funnel Sans"/>
          </w:rPr>
          <w:t>Liang, PMC 2025</w:t>
        </w:r>
      </w:hyperlink>
      <w:r w:rsidRPr="0053724D">
        <w:rPr>
          <w:rFonts w:ascii="Funnel Sans" w:hAnsi="Funnel Sans"/>
        </w:rPr>
        <w:t xml:space="preserve">; </w:t>
      </w:r>
      <w:hyperlink r:id="rId19" w:history="1">
        <w:r w:rsidR="009D21D9" w:rsidRPr="0053724D">
          <w:rPr>
            <w:rStyle w:val="Hyperlink"/>
            <w:rFonts w:ascii="Funnel Sans" w:hAnsi="Funnel Sans"/>
          </w:rPr>
          <w:t>VIOLET Trial, Lancet Oncol 2025</w:t>
        </w:r>
      </w:hyperlink>
      <w:r w:rsidRPr="0053724D">
        <w:rPr>
          <w:rFonts w:ascii="Funnel Sans" w:hAnsi="Funnel Sans"/>
        </w:rPr>
        <w:t xml:space="preserve">00332-8/abstract)). Both isotopes have comparable beta emissions, but 161Tb’s Auger electrons deposit intense radiation at sub-cellular range (nanometers), making it effective against micrometastases and CTCs where beta crossfire is wasted. Early clinical data demonstrate responses in patients who progressed after standard 177Lu therapy, confirming the added therapeutic value. The CMC process starts with highly enriched 160Gd (&gt;98% isotopic purity versus ~21.9% natural abundance) as the target material. 160Gd undergoes neutron capture in a nuclear reactor (160Gd + n </w:t>
      </w:r>
      <w:r w:rsidRPr="0053724D">
        <w:rPr>
          <w:rFonts w:ascii="Times New Roman" w:hAnsi="Times New Roman" w:cs="Times New Roman"/>
        </w:rPr>
        <w:t>→</w:t>
      </w:r>
      <w:r w:rsidRPr="0053724D">
        <w:rPr>
          <w:rFonts w:ascii="Funnel Sans" w:hAnsi="Funnel Sans"/>
        </w:rPr>
        <w:t xml:space="preserve"> 161Gd), and the resulting 161Gd decays by electron capture with a 3.7-minute half-life to 161Tb (T1/2 = 6.89 days). This production pathway is nearly identical to 177Lu manufacturing, which is well established commercially. Current cGMP manufacturers include TerThera B.V. (Netherlands), ITM Isotope Technologies Munich (Germany), and Isotopia Molecular Imaging (Israel), with Nusano (Salt Lake City, online 2027) as an additional strategic supplier for Sego. Supply has expanded substantially in the past 12 months, with multiple suppliers pursuing US DMF filings and draft USP/Ph.Eur. monographs under development. Current combined capacity is sufficient for clinical trial supply across the field, and production is expected to scale congruently with clinical development timelines through 2028–2029.</w:t>
      </w:r>
    </w:p>
    <w:p w14:paraId="534AC70F" w14:textId="77777777" w:rsidR="009D21D9" w:rsidRPr="0053724D" w:rsidRDefault="009D21D9" w:rsidP="0053724D">
      <w:pPr>
        <w:pBdr>
          <w:bottom w:val="single" w:sz="4" w:space="8" w:color="B1C8B0"/>
        </w:pBdr>
        <w:spacing w:before="200" w:after="200"/>
        <w:jc w:val="both"/>
        <w:rPr>
          <w:rFonts w:ascii="Funnel Sans" w:hAnsi="Funnel Sans"/>
        </w:rPr>
      </w:pPr>
    </w:p>
    <w:p w14:paraId="534AC710" w14:textId="77777777" w:rsidR="009D21D9" w:rsidRPr="0053724D" w:rsidRDefault="00000000" w:rsidP="0053724D">
      <w:pPr>
        <w:pStyle w:val="Heading2"/>
        <w:jc w:val="both"/>
        <w:rPr>
          <w:rFonts w:ascii="Funnel Sans" w:hAnsi="Funnel Sans"/>
        </w:rPr>
      </w:pPr>
      <w:r w:rsidRPr="0053724D">
        <w:rPr>
          <w:rFonts w:ascii="Funnel Sans" w:hAnsi="Funnel Sans"/>
        </w:rPr>
        <w:lastRenderedPageBreak/>
        <w:t>Where is Sego planning to source their supply of 225Ac and 161Tb? Any expected impacts to the supply chain in the future?</w:t>
      </w:r>
    </w:p>
    <w:p w14:paraId="534AC711" w14:textId="77777777" w:rsidR="009D21D9" w:rsidRPr="0053724D" w:rsidRDefault="00000000" w:rsidP="0053724D">
      <w:pPr>
        <w:spacing w:after="200" w:line="276" w:lineRule="auto"/>
        <w:jc w:val="both"/>
        <w:rPr>
          <w:rFonts w:ascii="Funnel Sans" w:hAnsi="Funnel Sans"/>
        </w:rPr>
      </w:pPr>
      <w:r w:rsidRPr="0053724D">
        <w:rPr>
          <w:rFonts w:ascii="Funnel Sans" w:hAnsi="Funnel Sans"/>
        </w:rPr>
        <w:t>Sego’s isotope supply chain is anchored by the strategic relationship with Nusano, an isotope production facility adjacent to Sego’s building in Salt Lake City, which will supply both 225Ac and 161Tb when operational in 2027. For 225Ac prior to Nusano’s commissioning, Sego has identified multiple qualified suppliers: Eckert &amp; Ziegler (Germany, R&amp;D and cGMP), Actineer/ITM (Germany/Canada, cGMP), and NorthStar Medical Radioisotopes (US, R&amp;D scale), with additional capacity from TerraPower Isotopes (US) and PanTera (EU). For 161Tb, TerThera B.V. (Netherlands), ITM Munich (Germany), and Isotopia (Israel) all provide cGMP material today. The University of Utah, 23 minutes from Sego’s facility, has published extensively on 161Tb production and supplies research quantities from its TRIGA reactor. The primary supply chain risk for 225Ac remains production method maturity: most current supply derives from 229Th generators or proton irradiation of 226Ra, both of which are scaling but not yet at commercial volumes. Nusano’s linear accelerator-based production method offers a domestic, non-reactor alternative that diversifies this risk. For 161Tb, the bottleneck is enriched 160Gd starting material, historically concentrated among Russian suppliers (Rosatom). Western investment in domestic enrichment capacity (DOE Isotope Program, URENCO) is actively mitigating this geopolitical exposure. Sego’s proximity to Nusano minimizes isotope transit time and decay losses, a structural logistics advantage that compounds across all six programs.</w:t>
      </w:r>
    </w:p>
    <w:p w14:paraId="534AC712" w14:textId="77777777" w:rsidR="009D21D9" w:rsidRPr="0053724D" w:rsidRDefault="009D21D9" w:rsidP="0053724D">
      <w:pPr>
        <w:pBdr>
          <w:bottom w:val="single" w:sz="4" w:space="8" w:color="B1C8B0"/>
        </w:pBdr>
        <w:spacing w:before="200" w:after="200"/>
        <w:jc w:val="both"/>
        <w:rPr>
          <w:rFonts w:ascii="Funnel Sans" w:hAnsi="Funnel Sans"/>
        </w:rPr>
      </w:pPr>
    </w:p>
    <w:p w14:paraId="534AC713" w14:textId="77777777" w:rsidR="009D21D9" w:rsidRPr="0053724D" w:rsidRDefault="00000000" w:rsidP="0053724D">
      <w:pPr>
        <w:pStyle w:val="Heading2"/>
        <w:jc w:val="both"/>
        <w:rPr>
          <w:rFonts w:ascii="Funnel Sans" w:hAnsi="Funnel Sans"/>
        </w:rPr>
      </w:pPr>
      <w:r w:rsidRPr="0053724D">
        <w:rPr>
          <w:rFonts w:ascii="Funnel Sans" w:hAnsi="Funnel Sans"/>
        </w:rPr>
        <w:t>It’s a bit unclear what falls under Stage 1 of the CMC that is covered under the seed financing plan and when exactly all these activities will happen. How much money is Sego spending on CMC during this stage?</w:t>
      </w:r>
    </w:p>
    <w:p w14:paraId="534AC714" w14:textId="77777777" w:rsidR="009D21D9" w:rsidRPr="0053724D" w:rsidRDefault="00000000" w:rsidP="0053724D">
      <w:pPr>
        <w:spacing w:after="200" w:line="276" w:lineRule="auto"/>
        <w:jc w:val="both"/>
        <w:rPr>
          <w:rFonts w:ascii="Funnel Sans" w:hAnsi="Funnel Sans"/>
        </w:rPr>
      </w:pPr>
      <w:r w:rsidRPr="0053724D">
        <w:rPr>
          <w:rFonts w:ascii="Funnel Sans" w:hAnsi="Funnel Sans"/>
        </w:rPr>
        <w:t>Stage 1 of the CMC build (designated Stage 1A) is a GMP-qualified radiopharmaceutical manufacturing suite designed to supply all clinical material from Phase 0 through Phase 2 studies. Construction is already in flight, with completion targeted for December 2026 to be operational before the first clinical manufacturing need in 2028. The total build cost is approximately $3M net of Wasatch Group’s $6.5M tenant improvement (TI) commitment within the building lease. Scientific equipment, including $2.6M for the GMP suite, is structured as an equipment lease rather than a one-time capital outlay, keeping CapEx low with a marginal increase in operating cost. Ongoing operational overhead for the facility runs approximately $1.2M per year. The Stage 1A suite includes hot laboratories for radiolabeling, quality control, and release testing, with shared radiation shielding, HVAC, and waste handling infrastructure that also serves preclinical radiochemistry needs. Internal production costs for Phase 0 programs are estimated at $1.4M versus $3M at a CDMO, with savings compounding across each additional program.</w:t>
      </w:r>
    </w:p>
    <w:p w14:paraId="534AC715" w14:textId="77777777" w:rsidR="009D21D9" w:rsidRPr="0053724D" w:rsidRDefault="009D21D9" w:rsidP="0053724D">
      <w:pPr>
        <w:pBdr>
          <w:bottom w:val="single" w:sz="4" w:space="8" w:color="B1C8B0"/>
        </w:pBdr>
        <w:spacing w:before="200" w:after="200"/>
        <w:jc w:val="both"/>
        <w:rPr>
          <w:rFonts w:ascii="Funnel Sans" w:hAnsi="Funnel Sans"/>
        </w:rPr>
      </w:pPr>
    </w:p>
    <w:p w14:paraId="534AC716" w14:textId="77777777" w:rsidR="009D21D9" w:rsidRPr="0053724D" w:rsidRDefault="00000000" w:rsidP="0053724D">
      <w:pPr>
        <w:pStyle w:val="Heading2"/>
        <w:jc w:val="both"/>
        <w:rPr>
          <w:rFonts w:ascii="Funnel Sans" w:hAnsi="Funnel Sans"/>
        </w:rPr>
      </w:pPr>
      <w:r w:rsidRPr="0053724D">
        <w:rPr>
          <w:rFonts w:ascii="Funnel Sans" w:hAnsi="Funnel Sans"/>
        </w:rPr>
        <w:lastRenderedPageBreak/>
        <w:t>Are there any CMC activities that could be tranched or pushed to the Series A? The scale suggested in the Stage 1 CMC indicates that Sego could support at least 10 patient doses per week, but at this point, none of the Sego programs are in the clinic yet.</w:t>
      </w:r>
    </w:p>
    <w:p w14:paraId="534AC717" w14:textId="77777777" w:rsidR="009D21D9" w:rsidRPr="0053724D" w:rsidRDefault="00000000" w:rsidP="0053724D">
      <w:pPr>
        <w:spacing w:after="200" w:line="276" w:lineRule="auto"/>
        <w:jc w:val="both"/>
        <w:rPr>
          <w:rFonts w:ascii="Funnel Sans" w:hAnsi="Funnel Sans"/>
        </w:rPr>
      </w:pPr>
      <w:r w:rsidRPr="0053724D">
        <w:rPr>
          <w:rFonts w:ascii="Funnel Sans" w:hAnsi="Funnel Sans"/>
        </w:rPr>
        <w:t>Stage 2 of the CMC build, which adds expanded capacity to support Phase 3 and commercial supply, is already planned for deferral to the Series A and could alternatively be outsourced to a CDMO. Stage 1A is not trancheable without undermining the core economic rationale: deferring the build to Series A (mid-2028) would mean the facility is not operational until late 2029, after the first two Phase 0 programs have already run through CDMO at approximately 2x the internal production cost. The 10-dose-per-week capacity reflects the design requirement to supply multiple programs running simultaneously across multiple clinical sites (minimum three sites per Phase 0 study, approximately one patient per week per site). This throughput also supports the multi-candidate Phase 0 design (3–5 molecules per target), which requires manufacturing several distinct radiolabeled compounds in parallel. The capacity is not overbuilt for a single program; it is right-sized for the planned portfolio cadence of 2 Phase 0 programs in 2028 and 2 additional in 2029, with Phase 1 manufacturing overlapping. Importantly, the shared infrastructure (shielding, HVAC, waste handling, personnel) serves preclinical hot laboratory needs in parallel, amortizing the capital across all programs and de-risking the CRO dependency for in vivo hot work.</w:t>
      </w:r>
    </w:p>
    <w:sectPr w:rsidR="009D21D9" w:rsidRPr="0053724D">
      <w:headerReference w:type="default" r:id="rId20"/>
      <w:footerReference w:type="default" r:id="rId2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66E325" w14:textId="77777777" w:rsidR="000E3192" w:rsidRDefault="000E3192">
      <w:r>
        <w:separator/>
      </w:r>
    </w:p>
  </w:endnote>
  <w:endnote w:type="continuationSeparator" w:id="0">
    <w:p w14:paraId="79742FB7" w14:textId="77777777" w:rsidR="000E3192" w:rsidRDefault="000E31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Funnel Sans">
    <w:panose1 w:val="00000000000000000000"/>
    <w:charset w:val="00"/>
    <w:family w:val="auto"/>
    <w:pitch w:val="variable"/>
    <w:sig w:usb0="A00000EF" w:usb1="4000004A" w:usb2="00000000" w:usb3="00000000" w:csb0="00000093"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AC719" w14:textId="1F9330AD" w:rsidR="009D21D9" w:rsidRDefault="00000000">
    <w:pPr>
      <w:jc w:val="center"/>
    </w:pPr>
    <w:r>
      <w:rPr>
        <w:color w:val="666666"/>
        <w:sz w:val="16"/>
        <w:szCs w:val="16"/>
      </w:rPr>
      <w:t xml:space="preserve">Confidential  |  Page </w:t>
    </w:r>
    <w:r>
      <w:rPr>
        <w:color w:val="666666"/>
        <w:sz w:val="16"/>
        <w:szCs w:val="16"/>
      </w:rPr>
      <w:fldChar w:fldCharType="begin"/>
    </w:r>
    <w:r>
      <w:rPr>
        <w:color w:val="666666"/>
        <w:sz w:val="16"/>
        <w:szCs w:val="16"/>
      </w:rPr>
      <w:instrText>PAGE</w:instrText>
    </w:r>
    <w:r>
      <w:rPr>
        <w:color w:val="666666"/>
        <w:sz w:val="16"/>
        <w:szCs w:val="16"/>
      </w:rPr>
      <w:fldChar w:fldCharType="separate"/>
    </w:r>
    <w:r w:rsidR="008970B5">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2D2899" w14:textId="77777777" w:rsidR="000E3192" w:rsidRDefault="000E3192">
      <w:r>
        <w:separator/>
      </w:r>
    </w:p>
  </w:footnote>
  <w:footnote w:type="continuationSeparator" w:id="0">
    <w:p w14:paraId="79186317" w14:textId="77777777" w:rsidR="000E3192" w:rsidRDefault="000E31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5DCA1" w14:textId="77777777" w:rsidR="0053724D" w:rsidRDefault="0053724D" w:rsidP="0053724D">
    <w:pPr>
      <w:pStyle w:val="Header"/>
      <w:tabs>
        <w:tab w:val="clear" w:pos="4680"/>
        <w:tab w:val="clear" w:pos="9360"/>
        <w:tab w:val="left" w:pos="3209"/>
      </w:tabs>
    </w:pPr>
    <w:r>
      <w:tab/>
    </w:r>
  </w:p>
  <w:tbl>
    <w:tblPr>
      <w:tblW w:w="0" w:type="auto"/>
      <w:tblLook w:val="06A0" w:firstRow="1" w:lastRow="0" w:firstColumn="1" w:lastColumn="0" w:noHBand="1" w:noVBand="1"/>
    </w:tblPr>
    <w:tblGrid>
      <w:gridCol w:w="2880"/>
      <w:gridCol w:w="2880"/>
      <w:gridCol w:w="2880"/>
    </w:tblGrid>
    <w:tr w:rsidR="0053724D" w14:paraId="2B04C166" w14:textId="77777777" w:rsidTr="00940BCF">
      <w:trPr>
        <w:trHeight w:val="300"/>
      </w:trPr>
      <w:tc>
        <w:tcPr>
          <w:tcW w:w="2880" w:type="dxa"/>
        </w:tcPr>
        <w:p w14:paraId="3F4E0041" w14:textId="77777777" w:rsidR="0053724D" w:rsidRDefault="0053724D" w:rsidP="0053724D">
          <w:pPr>
            <w:pStyle w:val="Header"/>
            <w:ind w:left="-115"/>
          </w:pPr>
          <w:r>
            <w:rPr>
              <w:noProof/>
            </w:rPr>
            <w:drawing>
              <wp:inline distT="0" distB="0" distL="0" distR="0" wp14:anchorId="707C3AF2" wp14:editId="68EE4E66">
                <wp:extent cx="1371600" cy="385281"/>
                <wp:effectExtent l="0" t="0" r="0" b="0"/>
                <wp:docPr id="1469347520" name="drawing">
                  <a:extLst xmlns:a="http://schemas.openxmlformats.org/drawingml/2006/main">
                    <a:ext uri="{FF2B5EF4-FFF2-40B4-BE49-F238E27FC236}">
                      <a16:creationId xmlns:a16="http://schemas.microsoft.com/office/drawing/2014/main" id="{E2102341-C2E5-49EA-8234-C391D10ED9D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688596" name="Picture 1186688596"/>
                        <pic:cNvPicPr/>
                      </pic:nvPicPr>
                      <pic:blipFill>
                        <a:blip r:embed="rId1">
                          <a:extLst>
                            <a:ext uri="{28A0092B-C50C-407E-A947-70E740481C1C}">
                              <a14:useLocalDpi xmlns:a14="http://schemas.microsoft.com/office/drawing/2010/main"/>
                            </a:ext>
                          </a:extLst>
                        </a:blip>
                        <a:stretch>
                          <a:fillRect/>
                        </a:stretch>
                      </pic:blipFill>
                      <pic:spPr>
                        <a:xfrm>
                          <a:off x="0" y="0"/>
                          <a:ext cx="1371600" cy="385281"/>
                        </a:xfrm>
                        <a:prstGeom prst="rect">
                          <a:avLst/>
                        </a:prstGeom>
                      </pic:spPr>
                    </pic:pic>
                  </a:graphicData>
                </a:graphic>
              </wp:inline>
            </w:drawing>
          </w:r>
        </w:p>
      </w:tc>
      <w:tc>
        <w:tcPr>
          <w:tcW w:w="2880" w:type="dxa"/>
        </w:tcPr>
        <w:p w14:paraId="2E6C8971" w14:textId="77777777" w:rsidR="0053724D" w:rsidRDefault="0053724D" w:rsidP="0053724D">
          <w:pPr>
            <w:pStyle w:val="Header"/>
            <w:jc w:val="center"/>
          </w:pPr>
        </w:p>
      </w:tc>
      <w:tc>
        <w:tcPr>
          <w:tcW w:w="2880" w:type="dxa"/>
        </w:tcPr>
        <w:p w14:paraId="14E18700" w14:textId="77777777" w:rsidR="0053724D" w:rsidRDefault="0053724D" w:rsidP="0053724D">
          <w:pPr>
            <w:pStyle w:val="Header"/>
            <w:ind w:right="-115"/>
            <w:jc w:val="right"/>
            <w:rPr>
              <w:rFonts w:asciiTheme="majorHAnsi" w:eastAsiaTheme="majorEastAsia" w:hAnsiTheme="majorHAnsi" w:cstheme="majorBidi"/>
            </w:rPr>
          </w:pPr>
          <w:r>
            <w:rPr>
              <w:rFonts w:asciiTheme="majorHAnsi" w:eastAsiaTheme="majorEastAsia" w:hAnsiTheme="majorHAnsi" w:cstheme="majorBidi"/>
            </w:rPr>
            <w:t>May</w:t>
          </w:r>
          <w:r w:rsidRPr="22DD4C4C">
            <w:rPr>
              <w:rFonts w:asciiTheme="majorHAnsi" w:eastAsiaTheme="majorEastAsia" w:hAnsiTheme="majorHAnsi" w:cstheme="majorBidi"/>
            </w:rPr>
            <w:t xml:space="preserve"> 2026</w:t>
          </w:r>
        </w:p>
      </w:tc>
    </w:tr>
  </w:tbl>
  <w:p w14:paraId="5D3662F1" w14:textId="632D4611" w:rsidR="008970B5" w:rsidRDefault="008970B5" w:rsidP="0053724D">
    <w:pPr>
      <w:pStyle w:val="Header"/>
      <w:tabs>
        <w:tab w:val="clear" w:pos="4680"/>
        <w:tab w:val="clear" w:pos="9360"/>
        <w:tab w:val="left" w:pos="3209"/>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BC61C2"/>
    <w:multiLevelType w:val="hybridMultilevel"/>
    <w:tmpl w:val="4A2CC9D4"/>
    <w:lvl w:ilvl="0" w:tplc="7DC45EB6">
      <w:start w:val="1"/>
      <w:numFmt w:val="bullet"/>
      <w:lvlText w:val="●"/>
      <w:lvlJc w:val="left"/>
      <w:pPr>
        <w:ind w:left="720" w:hanging="360"/>
      </w:pPr>
    </w:lvl>
    <w:lvl w:ilvl="1" w:tplc="EFCE57F6">
      <w:start w:val="1"/>
      <w:numFmt w:val="bullet"/>
      <w:lvlText w:val="○"/>
      <w:lvlJc w:val="left"/>
      <w:pPr>
        <w:ind w:left="1440" w:hanging="360"/>
      </w:pPr>
    </w:lvl>
    <w:lvl w:ilvl="2" w:tplc="E6B8C45A">
      <w:start w:val="1"/>
      <w:numFmt w:val="bullet"/>
      <w:lvlText w:val="■"/>
      <w:lvlJc w:val="left"/>
      <w:pPr>
        <w:ind w:left="2160" w:hanging="360"/>
      </w:pPr>
    </w:lvl>
    <w:lvl w:ilvl="3" w:tplc="32649216">
      <w:start w:val="1"/>
      <w:numFmt w:val="bullet"/>
      <w:lvlText w:val="●"/>
      <w:lvlJc w:val="left"/>
      <w:pPr>
        <w:ind w:left="2880" w:hanging="360"/>
      </w:pPr>
    </w:lvl>
    <w:lvl w:ilvl="4" w:tplc="E63C3AAA">
      <w:start w:val="1"/>
      <w:numFmt w:val="bullet"/>
      <w:lvlText w:val="○"/>
      <w:lvlJc w:val="left"/>
      <w:pPr>
        <w:ind w:left="3600" w:hanging="360"/>
      </w:pPr>
    </w:lvl>
    <w:lvl w:ilvl="5" w:tplc="F0D22AC8">
      <w:start w:val="1"/>
      <w:numFmt w:val="bullet"/>
      <w:lvlText w:val="■"/>
      <w:lvlJc w:val="left"/>
      <w:pPr>
        <w:ind w:left="4320" w:hanging="360"/>
      </w:pPr>
    </w:lvl>
    <w:lvl w:ilvl="6" w:tplc="B89A627E">
      <w:start w:val="1"/>
      <w:numFmt w:val="bullet"/>
      <w:lvlText w:val="●"/>
      <w:lvlJc w:val="left"/>
      <w:pPr>
        <w:ind w:left="5040" w:hanging="360"/>
      </w:pPr>
    </w:lvl>
    <w:lvl w:ilvl="7" w:tplc="D15669AA">
      <w:start w:val="1"/>
      <w:numFmt w:val="bullet"/>
      <w:lvlText w:val="●"/>
      <w:lvlJc w:val="left"/>
      <w:pPr>
        <w:ind w:left="5760" w:hanging="360"/>
      </w:pPr>
    </w:lvl>
    <w:lvl w:ilvl="8" w:tplc="250E14FC">
      <w:start w:val="1"/>
      <w:numFmt w:val="bullet"/>
      <w:lvlText w:val="●"/>
      <w:lvlJc w:val="left"/>
      <w:pPr>
        <w:ind w:left="6480" w:hanging="360"/>
      </w:pPr>
    </w:lvl>
  </w:abstractNum>
  <w:num w:numId="1" w16cid:durableId="9766847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21D9"/>
    <w:rsid w:val="000B4F18"/>
    <w:rsid w:val="000E3192"/>
    <w:rsid w:val="0013127A"/>
    <w:rsid w:val="00134652"/>
    <w:rsid w:val="00291126"/>
    <w:rsid w:val="002B3048"/>
    <w:rsid w:val="00376EDF"/>
    <w:rsid w:val="004A4F37"/>
    <w:rsid w:val="00504738"/>
    <w:rsid w:val="0053724D"/>
    <w:rsid w:val="00636E85"/>
    <w:rsid w:val="008749DB"/>
    <w:rsid w:val="008970B5"/>
    <w:rsid w:val="008A6115"/>
    <w:rsid w:val="008B0D44"/>
    <w:rsid w:val="009059C8"/>
    <w:rsid w:val="009D21D9"/>
    <w:rsid w:val="009F6AED"/>
    <w:rsid w:val="00A04F98"/>
    <w:rsid w:val="00D07FC7"/>
    <w:rsid w:val="00D874C0"/>
    <w:rsid w:val="00E4071F"/>
    <w:rsid w:val="00E612E5"/>
    <w:rsid w:val="00E75714"/>
    <w:rsid w:val="00F03399"/>
    <w:rsid w:val="00F239C6"/>
    <w:rsid w:val="00FA4E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4AC6E8"/>
  <w15:docId w15:val="{8276690B-B6A7-4DAF-B22C-C2F5BF8E8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spacing w:before="360" w:after="120"/>
      <w:outlineLvl w:val="1"/>
    </w:pPr>
    <w:rPr>
      <w:color w:val="002924"/>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970B5"/>
    <w:pPr>
      <w:tabs>
        <w:tab w:val="center" w:pos="4680"/>
        <w:tab w:val="right" w:pos="9360"/>
      </w:tabs>
    </w:pPr>
  </w:style>
  <w:style w:type="character" w:customStyle="1" w:styleId="HeaderChar">
    <w:name w:val="Header Char"/>
    <w:basedOn w:val="DefaultParagraphFont"/>
    <w:link w:val="Header"/>
    <w:uiPriority w:val="99"/>
    <w:rsid w:val="008970B5"/>
  </w:style>
  <w:style w:type="paragraph" w:styleId="Footer">
    <w:name w:val="footer"/>
    <w:basedOn w:val="Normal"/>
    <w:link w:val="FooterChar"/>
    <w:uiPriority w:val="99"/>
    <w:unhideWhenUsed/>
    <w:rsid w:val="008970B5"/>
    <w:pPr>
      <w:tabs>
        <w:tab w:val="center" w:pos="4680"/>
        <w:tab w:val="right" w:pos="9360"/>
      </w:tabs>
    </w:pPr>
  </w:style>
  <w:style w:type="character" w:customStyle="1" w:styleId="FooterChar">
    <w:name w:val="Footer Char"/>
    <w:basedOn w:val="DefaultParagraphFont"/>
    <w:link w:val="Footer"/>
    <w:uiPriority w:val="99"/>
    <w:rsid w:val="008970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scopubs.org/doi/10.1200/JCO.2024.42.16_suppl.5010" TargetMode="External"/><Relationship Id="rId13" Type="http://schemas.openxmlformats.org/officeDocument/2006/relationships/hyperlink" Target="https://pmc.ncbi.nlm.nih.gov/articles/PMC10068631/" TargetMode="External"/><Relationship Id="rId18" Type="http://schemas.openxmlformats.org/officeDocument/2006/relationships/hyperlink" Target="https://pmc.ncbi.nlm.nih.gov/articles/PMC12629902/"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https://www.urotoday.com/conference-highlights/2025-ucsf-ucla-psma-conference/159332-psma-and-beyond-2025-overview-of-clinical-trials-of-psma-rlt-in-2025.html" TargetMode="External"/><Relationship Id="rId12" Type="http://schemas.openxmlformats.org/officeDocument/2006/relationships/hyperlink" Target="https://www.annalsofoncology.org/article/S0923-7534%2822%2900003-5/fulltext" TargetMode="External"/><Relationship Id="rId17" Type="http://schemas.openxmlformats.org/officeDocument/2006/relationships/hyperlink" Target="https://journals.plos.org/plosone/article?id=10.1371%2Fjournal.pone.0135156" TargetMode="External"/><Relationship Id="rId2" Type="http://schemas.openxmlformats.org/officeDocument/2006/relationships/styles" Target="styles.xml"/><Relationship Id="rId16" Type="http://schemas.openxmlformats.org/officeDocument/2006/relationships/hyperlink" Target="https://www.sciencedirect.com/science/article/abs/pii/S1570963920300029"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jnm.snmjournals.org/content/66/supplement_1/251856" TargetMode="External"/><Relationship Id="rId5" Type="http://schemas.openxmlformats.org/officeDocument/2006/relationships/footnotes" Target="footnotes.xml"/><Relationship Id="rId15" Type="http://schemas.openxmlformats.org/officeDocument/2006/relationships/hyperlink" Target="https://pmc.ncbi.nlm.nih.gov/articles/PMC10068631/" TargetMode="External"/><Relationship Id="rId23" Type="http://schemas.openxmlformats.org/officeDocument/2006/relationships/theme" Target="theme/theme1.xml"/><Relationship Id="rId10" Type="http://schemas.openxmlformats.org/officeDocument/2006/relationships/hyperlink" Target="https://www.biospace.com/press-releases/philochem-ag-announces-the-licensing-of-worldwide-rights-to-oncoacp3-a-novel-radiopharmaceutical-therapeutic-and-diagnostic-agent-targeting-prostate-cancer-to-rayzebio-a-bristol-myers-squibb-company-for-a-potential-value-of-up-to-1-35bn-plus-royalties" TargetMode="External"/><Relationship Id="rId19" Type="http://schemas.openxmlformats.org/officeDocument/2006/relationships/hyperlink" Target="https://www.thelancet.com/journals/lanonc/article/PIIS1470-2045(25" TargetMode="External"/><Relationship Id="rId4" Type="http://schemas.openxmlformats.org/officeDocument/2006/relationships/webSettings" Target="webSettings.xml"/><Relationship Id="rId9" Type="http://schemas.openxmlformats.org/officeDocument/2006/relationships/hyperlink" Target="https://pubmed.ncbi.nlm.nih.gov/40571760/" TargetMode="External"/><Relationship Id="rId14" Type="http://schemas.openxmlformats.org/officeDocument/2006/relationships/hyperlink" Target="https://www.liebertpub.com/doi/10.1089/cbr.2022.0028"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ef4dffa-8c77-49f6-a7ba-d33398e9a997}" enabled="0" method="" siteId="{0ef4dffa-8c77-49f6-a7ba-d33398e9a997}" removed="1"/>
</clbl:labelList>
</file>

<file path=docProps/app.xml><?xml version="1.0" encoding="utf-8"?>
<Properties xmlns="http://schemas.openxmlformats.org/officeDocument/2006/extended-properties" xmlns:vt="http://schemas.openxmlformats.org/officeDocument/2006/docPropsVTypes">
  <Template>Normal</Template>
  <TotalTime>121</TotalTime>
  <Pages>8</Pages>
  <Words>3429</Words>
  <Characters>20609</Characters>
  <Application>Microsoft Office Word</Application>
  <DocSecurity>0</DocSecurity>
  <Lines>502</Lines>
  <Paragraphs>381</Paragraphs>
  <ScaleCrop>false</ScaleCrop>
  <Company/>
  <LinksUpToDate>false</LinksUpToDate>
  <CharactersWithSpaces>23657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Becca Levin</cp:lastModifiedBy>
  <cp:revision>23</cp:revision>
  <dcterms:created xsi:type="dcterms:W3CDTF">2026-05-20T17:03:00Z</dcterms:created>
  <dcterms:modified xsi:type="dcterms:W3CDTF">2026-05-20T19:31:00Z</dcterms:modified>
</cp:coreProperties>
</file>