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67903" w14:textId="77777777" w:rsidR="00E61336" w:rsidRDefault="00000000" w:rsidP="00753306">
      <w:pPr>
        <w:pStyle w:val="Heading1"/>
        <w:ind w:firstLine="720"/>
      </w:pPr>
      <w:r>
        <w:t>Polaris Partners — Follow-Up Responses</w:t>
      </w:r>
    </w:p>
    <w:p w14:paraId="3BB67905" w14:textId="6138B19A" w:rsidR="00E61336" w:rsidRDefault="00000000" w:rsidP="00C62ABA">
      <w:pPr>
        <w:spacing w:after="160" w:line="276" w:lineRule="auto"/>
      </w:pPr>
      <w:r>
        <w:rPr>
          <w:i/>
          <w:iCs/>
          <w:color w:val="666666"/>
        </w:rPr>
        <w:t>Draft  |  June 2026</w:t>
      </w:r>
    </w:p>
    <w:p w14:paraId="3BB67906" w14:textId="77777777" w:rsidR="00E61336" w:rsidRDefault="00E61336">
      <w:pPr>
        <w:pBdr>
          <w:bottom w:val="single" w:sz="6" w:space="1" w:color="B1C8B0"/>
        </w:pBdr>
        <w:spacing w:before="200" w:after="200"/>
      </w:pPr>
    </w:p>
    <w:p w14:paraId="3BB67907" w14:textId="78BAB617" w:rsidR="00E61336" w:rsidRDefault="00000000">
      <w:pPr>
        <w:pStyle w:val="Heading2"/>
      </w:pPr>
      <w:r>
        <w:t xml:space="preserve">1. </w:t>
      </w:r>
      <w:r w:rsidR="00545A8C">
        <w:t xml:space="preserve">Can the raise be downsized, if the focus becomes </w:t>
      </w:r>
      <w:r w:rsidR="00EC35F0">
        <w:t xml:space="preserve">R&amp;D </w:t>
      </w:r>
      <w:r w:rsidR="00C62ABA">
        <w:t xml:space="preserve">through FIH </w:t>
      </w:r>
      <w:r w:rsidR="00EC35F0">
        <w:t>on</w:t>
      </w:r>
      <w:r w:rsidR="00545A8C">
        <w:t xml:space="preserve"> 2</w:t>
      </w:r>
      <w:r w:rsidR="00C62ABA">
        <w:t xml:space="preserve">, </w:t>
      </w:r>
      <w:r w:rsidR="00545A8C">
        <w:t>not 6</w:t>
      </w:r>
      <w:r w:rsidR="00C62ABA">
        <w:t>,</w:t>
      </w:r>
      <w:r w:rsidR="00545A8C">
        <w:t xml:space="preserve"> programs</w:t>
      </w:r>
      <w:r w:rsidR="00EC35F0">
        <w:t>?</w:t>
      </w:r>
    </w:p>
    <w:p w14:paraId="4BFFEE0F" w14:textId="16F16D73" w:rsidR="00EC35F0" w:rsidRPr="0036544E" w:rsidRDefault="00EC35F0">
      <w:pPr>
        <w:spacing w:after="160" w:line="276" w:lineRule="auto"/>
        <w:rPr>
          <w:color w:val="000000" w:themeColor="text1"/>
        </w:rPr>
      </w:pPr>
      <w:r w:rsidRPr="0036544E">
        <w:rPr>
          <w:color w:val="000000" w:themeColor="text1"/>
        </w:rPr>
        <w:t xml:space="preserve">In short, it is likely that we could raise less if we downsized our ambitions, </w:t>
      </w:r>
      <w:r w:rsidR="00A6606D" w:rsidRPr="0036544E">
        <w:rPr>
          <w:color w:val="000000" w:themeColor="text1"/>
        </w:rPr>
        <w:t xml:space="preserve">but downsizing </w:t>
      </w:r>
      <w:r w:rsidR="00E36D0C" w:rsidRPr="0036544E">
        <w:rPr>
          <w:color w:val="000000" w:themeColor="text1"/>
        </w:rPr>
        <w:t xml:space="preserve">introduces risk and jumps ahead of </w:t>
      </w:r>
      <w:r w:rsidR="00960EA6" w:rsidRPr="0036544E">
        <w:rPr>
          <w:color w:val="000000" w:themeColor="text1"/>
        </w:rPr>
        <w:t xml:space="preserve">natural, results-driven decision making. </w:t>
      </w:r>
    </w:p>
    <w:p w14:paraId="620D5F09" w14:textId="5DD331E8" w:rsidR="005C74A4" w:rsidRPr="005A07CA" w:rsidRDefault="005C74A4">
      <w:pPr>
        <w:spacing w:after="160" w:line="276" w:lineRule="auto"/>
        <w:rPr>
          <w:color w:val="FF0000"/>
        </w:rPr>
      </w:pPr>
      <w:r>
        <w:rPr>
          <w:color w:val="333333"/>
        </w:rPr>
        <w:t xml:space="preserve">Targeting </w:t>
      </w:r>
      <w:r>
        <w:rPr>
          <w:color w:val="333333"/>
        </w:rPr>
        <w:t xml:space="preserve">only two programs from the start is a risky proposition, when only ~10% of all assets progress to Ph 1 studies for the drug discovery </w:t>
      </w:r>
      <w:r w:rsidR="009909D9">
        <w:rPr>
          <w:color w:val="333333"/>
        </w:rPr>
        <w:t xml:space="preserve">industry </w:t>
      </w:r>
      <w:r>
        <w:rPr>
          <w:color w:val="333333"/>
        </w:rPr>
        <w:t xml:space="preserve">as a whole. </w:t>
      </w:r>
      <w:r w:rsidR="005A07CA">
        <w:rPr>
          <w:color w:val="333333"/>
        </w:rPr>
        <w:t>We are not interested in becoming a single-asset company, dependent on singular clinical readouts for survival.</w:t>
      </w:r>
    </w:p>
    <w:p w14:paraId="3BB67908" w14:textId="0F3D80D5" w:rsidR="00E61336" w:rsidRDefault="005A07CA">
      <w:pPr>
        <w:spacing w:after="160" w:line="276" w:lineRule="auto"/>
        <w:rPr>
          <w:color w:val="333333"/>
        </w:rPr>
      </w:pPr>
      <w:r>
        <w:rPr>
          <w:color w:val="000000" w:themeColor="text1"/>
        </w:rPr>
        <w:t>Instead</w:t>
      </w:r>
      <w:r w:rsidR="001C335C" w:rsidRPr="00467A88">
        <w:rPr>
          <w:color w:val="000000" w:themeColor="text1"/>
        </w:rPr>
        <w:t>, w</w:t>
      </w:r>
      <w:r w:rsidR="00000000" w:rsidRPr="00467A88">
        <w:rPr>
          <w:color w:val="000000" w:themeColor="text1"/>
        </w:rPr>
        <w:t xml:space="preserve">e will have </w:t>
      </w:r>
      <w:r w:rsidR="00467A88" w:rsidRPr="00467A88">
        <w:rPr>
          <w:color w:val="000000" w:themeColor="text1"/>
        </w:rPr>
        <w:t xml:space="preserve">initial screening results on 4-5 targets within the next three months. This readout </w:t>
      </w:r>
      <w:r>
        <w:rPr>
          <w:color w:val="000000" w:themeColor="text1"/>
        </w:rPr>
        <w:t>will</w:t>
      </w:r>
      <w:r w:rsidR="00467A88" w:rsidRPr="00467A88">
        <w:rPr>
          <w:color w:val="000000" w:themeColor="text1"/>
        </w:rPr>
        <w:t xml:space="preserve"> be a natural place where programs are </w:t>
      </w:r>
      <w:r w:rsidR="00FF33AD">
        <w:rPr>
          <w:color w:val="000000" w:themeColor="text1"/>
        </w:rPr>
        <w:t xml:space="preserve">continued based on evidence of early success or </w:t>
      </w:r>
      <w:r w:rsidR="00467A88" w:rsidRPr="00467A88">
        <w:rPr>
          <w:color w:val="000000" w:themeColor="text1"/>
        </w:rPr>
        <w:t xml:space="preserve">culled for lack of hits and/or execution difficulties. </w:t>
      </w:r>
      <w:r w:rsidR="00000000">
        <w:rPr>
          <w:color w:val="333333"/>
        </w:rPr>
        <w:t xml:space="preserve">Our hit ID campaigns on ACP3, KLK2, CEACAM5, and MUC1-C </w:t>
      </w:r>
      <w:r w:rsidR="00467A88">
        <w:rPr>
          <w:color w:val="333333"/>
        </w:rPr>
        <w:t>are undeway</w:t>
      </w:r>
      <w:r w:rsidR="00000000">
        <w:rPr>
          <w:color w:val="333333"/>
        </w:rPr>
        <w:t>, with CLDN1 trailing</w:t>
      </w:r>
      <w:r w:rsidR="00467A88">
        <w:rPr>
          <w:color w:val="333333"/>
        </w:rPr>
        <w:t xml:space="preserve"> slightly</w:t>
      </w:r>
      <w:r w:rsidR="00000000">
        <w:rPr>
          <w:color w:val="333333"/>
        </w:rPr>
        <w:t xml:space="preserve"> due to transmembrane protein handling requirements. </w:t>
      </w:r>
      <w:r w:rsidR="00467A88">
        <w:rPr>
          <w:color w:val="333333"/>
        </w:rPr>
        <w:t>With this data in hand, we will re-evaluate each program based on:</w:t>
      </w:r>
      <w:r w:rsidR="00000000">
        <w:rPr>
          <w:color w:val="333333"/>
        </w:rPr>
        <w:t xml:space="preserve"> (i) binder affinity and selectivity, (ii) full conjugate performance</w:t>
      </w:r>
      <w:r w:rsidR="00467A88">
        <w:rPr>
          <w:color w:val="333333"/>
        </w:rPr>
        <w:t xml:space="preserve"> (if available)</w:t>
      </w:r>
      <w:r w:rsidR="00000000">
        <w:rPr>
          <w:color w:val="333333"/>
        </w:rPr>
        <w:t>, (iii) clinical positioning vs existing programs, and (iv) indication diversification, likely one prostate and one non-prostate target.</w:t>
      </w:r>
    </w:p>
    <w:p w14:paraId="232B26CF" w14:textId="120B58F8" w:rsidR="00663C9E" w:rsidRPr="00663C9E" w:rsidRDefault="00D62C3B">
      <w:pPr>
        <w:spacing w:after="160" w:line="276" w:lineRule="auto"/>
        <w:rPr>
          <w:color w:val="FF0000"/>
        </w:rPr>
      </w:pPr>
      <w:r w:rsidRPr="00663C9E">
        <w:rPr>
          <w:color w:val="FF0000"/>
        </w:rPr>
        <w:t xml:space="preserve">Financially, </w:t>
      </w:r>
      <w:r w:rsidR="00000000" w:rsidRPr="00663C9E">
        <w:rPr>
          <w:color w:val="FF0000"/>
        </w:rPr>
        <w:t>narrowing to two programs</w:t>
      </w:r>
      <w:r w:rsidRPr="00663C9E">
        <w:rPr>
          <w:color w:val="FF0000"/>
        </w:rPr>
        <w:t xml:space="preserve"> (H2L </w:t>
      </w:r>
      <w:r w:rsidR="00663C9E" w:rsidRPr="00663C9E">
        <w:rPr>
          <w:color w:val="FF0000"/>
        </w:rPr>
        <w:t xml:space="preserve">through FIH) requires a spend of $XXX over the same 2.5 years. We could raise $XXX to give us [runway], but we carry significant risk that one program fails. </w:t>
      </w:r>
      <w:r w:rsidR="00000000" w:rsidRPr="00663C9E">
        <w:rPr>
          <w:color w:val="FF0000"/>
        </w:rPr>
        <w:t xml:space="preserve"> </w:t>
      </w:r>
      <w:r w:rsidR="00663C9E" w:rsidRPr="00663C9E">
        <w:rPr>
          <w:color w:val="FF0000"/>
        </w:rPr>
        <w:t>[insert post LF1 analysis here]</w:t>
      </w:r>
    </w:p>
    <w:p w14:paraId="3BB67909" w14:textId="19BACB46" w:rsidR="00E61336" w:rsidRDefault="00663C9E">
      <w:pPr>
        <w:spacing w:after="160" w:line="276" w:lineRule="auto"/>
      </w:pPr>
      <w:r>
        <w:rPr>
          <w:color w:val="333333"/>
        </w:rPr>
        <w:t xml:space="preserve">We have </w:t>
      </w:r>
      <w:r w:rsidR="00000000">
        <w:rPr>
          <w:color w:val="333333"/>
        </w:rPr>
        <w:t xml:space="preserve">conviction that Phase 0 human dosimetry on multiple targets is the highest-EV use of seed capital. OncoACP3 was acquired by BMS for $1.35B and Aktis was valued at $1.2B at IPO, both on Phase 0 dosimetry of a single lead compound. A multi-target Phase 0 dataset strengthens the Series A negotiating position beyond what a </w:t>
      </w:r>
      <w:r w:rsidR="003A6C56">
        <w:rPr>
          <w:color w:val="333333"/>
        </w:rPr>
        <w:t>minimal</w:t>
      </w:r>
      <w:r w:rsidR="00000000">
        <w:rPr>
          <w:color w:val="333333"/>
        </w:rPr>
        <w:t>-program path can deliver.</w:t>
      </w:r>
    </w:p>
    <w:p w14:paraId="3BB6790B" w14:textId="77777777" w:rsidR="00E61336" w:rsidRDefault="00E61336">
      <w:pPr>
        <w:pBdr>
          <w:bottom w:val="single" w:sz="6" w:space="1" w:color="B1C8B0"/>
        </w:pBdr>
        <w:spacing w:before="200" w:after="200"/>
      </w:pPr>
    </w:p>
    <w:p w14:paraId="3BB6790C" w14:textId="7175D9D4" w:rsidR="00E61336" w:rsidRDefault="00000000">
      <w:pPr>
        <w:pStyle w:val="Heading2"/>
      </w:pPr>
      <w:r>
        <w:t xml:space="preserve">2. Can the </w:t>
      </w:r>
      <w:r w:rsidR="00405170">
        <w:t>full</w:t>
      </w:r>
      <w:r>
        <w:t xml:space="preserve"> build cost be restructured into the TI to reduce the raise?</w:t>
      </w:r>
    </w:p>
    <w:p w14:paraId="3BB6790D" w14:textId="1F105618" w:rsidR="00E61336" w:rsidRDefault="003E3BAB">
      <w:pPr>
        <w:spacing w:after="160" w:line="276" w:lineRule="auto"/>
      </w:pPr>
      <w:r w:rsidRPr="003E3BAB">
        <w:rPr>
          <w:color w:val="FF0000"/>
        </w:rPr>
        <w:t>[Insert summary answer here]</w:t>
      </w:r>
      <w:r w:rsidR="00000000" w:rsidRPr="003E3BAB">
        <w:rPr>
          <w:color w:val="FF0000"/>
        </w:rPr>
        <w:t xml:space="preserve"> </w:t>
      </w:r>
      <w:r w:rsidR="00000000">
        <w:rPr>
          <w:color w:val="333333"/>
        </w:rPr>
        <w:t>The current TI commitment is $6.5M within the building lease, offsetting approximately 40% of the $15M total build cost. Shifting additional build costs</w:t>
      </w:r>
      <w:r w:rsidR="004F2A91">
        <w:rPr>
          <w:color w:val="333333"/>
        </w:rPr>
        <w:t>, for $15M total,</w:t>
      </w:r>
      <w:r w:rsidR="00000000">
        <w:rPr>
          <w:color w:val="333333"/>
        </w:rPr>
        <w:t xml:space="preserve"> into the TI structure would </w:t>
      </w:r>
      <w:r w:rsidR="004F2A91" w:rsidRPr="004F2A91">
        <w:rPr>
          <w:color w:val="FF0000"/>
        </w:rPr>
        <w:t xml:space="preserve">[comment on monthly spend, lifetime cost of TI, </w:t>
      </w:r>
      <w:r w:rsidR="00000000" w:rsidRPr="004F2A91">
        <w:rPr>
          <w:color w:val="FF0000"/>
        </w:rPr>
        <w:t>reduce the equity raise while increasing the lease obligation</w:t>
      </w:r>
      <w:r w:rsidR="004F2A91" w:rsidRPr="004F2A91">
        <w:rPr>
          <w:color w:val="FF0000"/>
        </w:rPr>
        <w:t>]</w:t>
      </w:r>
    </w:p>
    <w:p w14:paraId="3BB6790F" w14:textId="77777777" w:rsidR="00E61336" w:rsidRDefault="00E61336">
      <w:pPr>
        <w:pBdr>
          <w:bottom w:val="single" w:sz="6" w:space="1" w:color="B1C8B0"/>
        </w:pBdr>
        <w:spacing w:before="200" w:after="200"/>
      </w:pPr>
    </w:p>
    <w:p w14:paraId="3BB67910" w14:textId="4ED782B1" w:rsidR="00E61336" w:rsidRDefault="00000000">
      <w:pPr>
        <w:pStyle w:val="Heading2"/>
      </w:pPr>
      <w:r>
        <w:t xml:space="preserve">3. </w:t>
      </w:r>
      <w:r w:rsidR="00C62ABA">
        <w:t>What is the value of internal manufacturing at this early stage? Why not wait to build this capability?</w:t>
      </w:r>
    </w:p>
    <w:p w14:paraId="5A866F8F" w14:textId="6A0CAE30" w:rsidR="005C0828" w:rsidRDefault="00000000">
      <w:pPr>
        <w:spacing w:after="160" w:line="276" w:lineRule="auto"/>
        <w:rPr>
          <w:color w:val="333333"/>
        </w:rPr>
      </w:pPr>
      <w:r>
        <w:rPr>
          <w:color w:val="333333"/>
        </w:rPr>
        <w:lastRenderedPageBreak/>
        <w:t xml:space="preserve">Sego’s Stage 1A manufacturing facility is a value-creating asset, </w:t>
      </w:r>
      <w:r w:rsidR="005C0828">
        <w:rPr>
          <w:color w:val="333333"/>
        </w:rPr>
        <w:t>saving us on manufacturing costs versus externalizing to CDMOs</w:t>
      </w:r>
      <w:r w:rsidR="00B9036F">
        <w:rPr>
          <w:color w:val="333333"/>
        </w:rPr>
        <w:t xml:space="preserve">, </w:t>
      </w:r>
      <w:r w:rsidR="005C0828">
        <w:rPr>
          <w:color w:val="333333"/>
        </w:rPr>
        <w:t>increasing the overall value of the company</w:t>
      </w:r>
      <w:r w:rsidR="00B9036F">
        <w:rPr>
          <w:color w:val="333333"/>
        </w:rPr>
        <w:t xml:space="preserve"> and creating operational efficiency.</w:t>
      </w:r>
    </w:p>
    <w:p w14:paraId="3BB67911" w14:textId="18FCBAEA" w:rsidR="00E61336" w:rsidRDefault="00000000">
      <w:pPr>
        <w:spacing w:after="160" w:line="276" w:lineRule="auto"/>
      </w:pPr>
      <w:r>
        <w:rPr>
          <w:color w:val="333333"/>
        </w:rPr>
        <w:t xml:space="preserve">Internal production </w:t>
      </w:r>
      <w:r w:rsidR="005C0828">
        <w:rPr>
          <w:color w:val="333333"/>
        </w:rPr>
        <w:t xml:space="preserve">for Ph 0 and Ph 1 </w:t>
      </w:r>
      <w:r>
        <w:rPr>
          <w:color w:val="333333"/>
        </w:rPr>
        <w:t>saves approximately 57% versus CDMO outsourcing over the first two years of clinical operations</w:t>
      </w:r>
      <w:r w:rsidR="005C0828">
        <w:rPr>
          <w:color w:val="333333"/>
        </w:rPr>
        <w:t xml:space="preserve">. </w:t>
      </w:r>
      <w:r w:rsidR="005C0828">
        <w:rPr>
          <w:color w:val="333333"/>
        </w:rPr>
        <w:t xml:space="preserve">The breakeven point is taking one molecule to </w:t>
      </w:r>
      <w:r w:rsidR="005C0828">
        <w:rPr>
          <w:color w:val="333333"/>
        </w:rPr>
        <w:t xml:space="preserve">Ph 0 and Ph 1. To support </w:t>
      </w:r>
      <w:r w:rsidR="00B27D45">
        <w:rPr>
          <w:color w:val="333333"/>
        </w:rPr>
        <w:t xml:space="preserve">2 programs through Ph 0 and Ph 1, </w:t>
      </w:r>
      <w:r w:rsidR="00C76318">
        <w:rPr>
          <w:color w:val="333333"/>
        </w:rPr>
        <w:t>radiochemistry manufacturing costs would be</w:t>
      </w:r>
      <w:r w:rsidR="005C0828">
        <w:rPr>
          <w:color w:val="333333"/>
        </w:rPr>
        <w:t xml:space="preserve"> </w:t>
      </w:r>
      <w:r>
        <w:rPr>
          <w:color w:val="333333"/>
        </w:rPr>
        <w:t xml:space="preserve">$6.4M </w:t>
      </w:r>
      <w:r w:rsidR="00C76318">
        <w:rPr>
          <w:color w:val="333333"/>
        </w:rPr>
        <w:t>internally (including GMP suite build costs) vs.</w:t>
      </w:r>
      <w:r w:rsidR="005C0828">
        <w:rPr>
          <w:color w:val="333333"/>
        </w:rPr>
        <w:t xml:space="preserve"> </w:t>
      </w:r>
      <w:r>
        <w:rPr>
          <w:color w:val="333333"/>
        </w:rPr>
        <w:t xml:space="preserve">$15.0M </w:t>
      </w:r>
      <w:r w:rsidR="00C76318">
        <w:rPr>
          <w:color w:val="333333"/>
        </w:rPr>
        <w:t xml:space="preserve">at a reputable </w:t>
      </w:r>
      <w:r>
        <w:rPr>
          <w:color w:val="333333"/>
        </w:rPr>
        <w:t>CDMO</w:t>
      </w:r>
      <w:r w:rsidR="00C76318">
        <w:rPr>
          <w:color w:val="333333"/>
        </w:rPr>
        <w:t>.</w:t>
      </w:r>
    </w:p>
    <w:p w14:paraId="09978BD0" w14:textId="77777777" w:rsidR="00B9036F" w:rsidRDefault="00000000">
      <w:pPr>
        <w:spacing w:after="160" w:line="276" w:lineRule="auto"/>
      </w:pPr>
      <w:r>
        <w:rPr>
          <w:color w:val="333333"/>
        </w:rPr>
        <w:t>The strategic case extends beyond cost savings on individual programs. Radiopharmaceutical acquirers place a premium on integrated manufacturing capability</w:t>
      </w:r>
      <w:r w:rsidR="00B9036F">
        <w:rPr>
          <w:color w:val="333333"/>
        </w:rPr>
        <w:t>, as depicted below. Companies like</w:t>
      </w:r>
      <w:r>
        <w:rPr>
          <w:color w:val="333333"/>
        </w:rPr>
        <w:t xml:space="preserve"> Fusion ($2.4B</w:t>
      </w:r>
      <w:r w:rsidR="00B9036F">
        <w:rPr>
          <w:color w:val="333333"/>
        </w:rPr>
        <w:t xml:space="preserve"> exit value</w:t>
      </w:r>
      <w:r>
        <w:rPr>
          <w:color w:val="333333"/>
        </w:rPr>
        <w:t>), RayzeBio ($4.1B), and POINT Biopharma</w:t>
      </w:r>
      <w:r w:rsidR="00B9036F">
        <w:rPr>
          <w:color w:val="333333"/>
        </w:rPr>
        <w:t xml:space="preserve"> ($1.3B)</w:t>
      </w:r>
      <w:r>
        <w:rPr>
          <w:color w:val="333333"/>
        </w:rPr>
        <w:t xml:space="preserve"> all had internal manufacturing at acquisition. </w:t>
      </w:r>
      <w:r w:rsidR="00B9036F">
        <w:rPr>
          <w:color w:val="333333"/>
        </w:rPr>
        <w:t xml:space="preserve">Deals for without manufacturing capabilities like </w:t>
      </w:r>
      <w:r>
        <w:rPr>
          <w:color w:val="333333"/>
        </w:rPr>
        <w:t>Mariana Oncology</w:t>
      </w:r>
      <w:r w:rsidR="00B9036F">
        <w:rPr>
          <w:color w:val="333333"/>
        </w:rPr>
        <w:t xml:space="preserve">, </w:t>
      </w:r>
      <w:r>
        <w:rPr>
          <w:color w:val="333333"/>
        </w:rPr>
        <w:t xml:space="preserve">3B Pharmaceuticals </w:t>
      </w:r>
      <w:r w:rsidR="00B9036F">
        <w:rPr>
          <w:color w:val="333333"/>
        </w:rPr>
        <w:t>were</w:t>
      </w:r>
      <w:r>
        <w:rPr>
          <w:color w:val="333333"/>
        </w:rPr>
        <w:t xml:space="preserve"> transacted at materially lower valuations</w:t>
      </w:r>
      <w:r w:rsidR="00B9036F">
        <w:rPr>
          <w:color w:val="333333"/>
        </w:rPr>
        <w:t>, 4x to be precise</w:t>
      </w:r>
      <w:r>
        <w:rPr>
          <w:color w:val="333333"/>
        </w:rPr>
        <w:t xml:space="preserve">. In our BD conversations, Roche, Novartis, and AbbVie have each flagged manufacturing infrastructure as a differentiator in their evaluation of potential partners. </w:t>
      </w:r>
    </w:p>
    <w:p w14:paraId="3BB67913" w14:textId="7FE63372" w:rsidR="00E61336" w:rsidRDefault="00B9036F">
      <w:pPr>
        <w:spacing w:after="160" w:line="276" w:lineRule="auto"/>
      </w:pPr>
      <w:r>
        <w:t xml:space="preserve">Lastly, </w:t>
      </w:r>
      <w:r w:rsidR="00000000">
        <w:rPr>
          <w:color w:val="333333"/>
        </w:rPr>
        <w:t xml:space="preserve">Sego’s single-site model, adjacent to Nusano’s isotope production facility, </w:t>
      </w:r>
      <w:r>
        <w:rPr>
          <w:color w:val="333333"/>
        </w:rPr>
        <w:t xml:space="preserve">creates operational efficiency by </w:t>
      </w:r>
      <w:r w:rsidR="00000000">
        <w:rPr>
          <w:color w:val="333333"/>
        </w:rPr>
        <w:t>eliminat</w:t>
      </w:r>
      <w:r>
        <w:rPr>
          <w:color w:val="333333"/>
        </w:rPr>
        <w:t>ing</w:t>
      </w:r>
      <w:r w:rsidR="00000000">
        <w:rPr>
          <w:color w:val="333333"/>
        </w:rPr>
        <w:t xml:space="preserve"> decay-in-transit losses, simplifies the regulatory filing, and gives the team direct control over clinical supply from Phase 0 onward. </w:t>
      </w:r>
      <w:r w:rsidR="00C95A10">
        <w:rPr>
          <w:color w:val="333333"/>
        </w:rPr>
        <w:t>The CDMO alternative adds approximately 12 months to program timelines through tech transfers and scheduling constraints.</w:t>
      </w:r>
      <w:r w:rsidR="00C95A10">
        <w:rPr>
          <w:color w:val="333333"/>
        </w:rPr>
        <w:t xml:space="preserve"> </w:t>
      </w:r>
      <w:r w:rsidR="00000000">
        <w:rPr>
          <w:color w:val="333333"/>
        </w:rPr>
        <w:t xml:space="preserve">The facility build cost is </w:t>
      </w:r>
      <w:r w:rsidR="00C95A10">
        <w:rPr>
          <w:color w:val="333333"/>
        </w:rPr>
        <w:t xml:space="preserve">structured efficiency </w:t>
      </w:r>
      <w:r w:rsidR="00B5567D">
        <w:rPr>
          <w:color w:val="333333"/>
        </w:rPr>
        <w:t>–</w:t>
      </w:r>
      <w:r w:rsidR="00C95A10">
        <w:rPr>
          <w:color w:val="333333"/>
        </w:rPr>
        <w:t xml:space="preserve"> </w:t>
      </w:r>
      <w:r w:rsidR="00B5567D">
        <w:rPr>
          <w:color w:val="333333"/>
        </w:rPr>
        <w:t xml:space="preserve">with </w:t>
      </w:r>
      <w:r w:rsidR="00000000">
        <w:rPr>
          <w:color w:val="333333"/>
        </w:rPr>
        <w:t xml:space="preserve">approximately </w:t>
      </w:r>
      <w:r w:rsidR="00B5567D">
        <w:rPr>
          <w:color w:val="333333"/>
        </w:rPr>
        <w:t>40% of $3M build covered in</w:t>
      </w:r>
      <w:r w:rsidR="00000000">
        <w:rPr>
          <w:color w:val="333333"/>
        </w:rPr>
        <w:t xml:space="preserve"> Wasatch’s TI contribution</w:t>
      </w:r>
      <w:r w:rsidR="00B5567D">
        <w:rPr>
          <w:color w:val="333333"/>
        </w:rPr>
        <w:t xml:space="preserve"> and</w:t>
      </w:r>
      <w:r w:rsidR="00000000">
        <w:rPr>
          <w:color w:val="333333"/>
        </w:rPr>
        <w:t xml:space="preserve"> GMP equipment</w:t>
      </w:r>
      <w:r w:rsidR="00B5567D">
        <w:rPr>
          <w:color w:val="333333"/>
        </w:rPr>
        <w:t xml:space="preserve"> purchases are</w:t>
      </w:r>
      <w:r w:rsidR="00000000">
        <w:rPr>
          <w:color w:val="333333"/>
        </w:rPr>
        <w:t xml:space="preserve"> structured as a lease rather than capital expenditure. The shared HVAC, shielding, and waste handling infrastructure serves both the clinical manufacturing suite and the preclinical hot laboratory, amortizing the investment across all programs. </w:t>
      </w:r>
    </w:p>
    <w:p w14:paraId="3BB67915" w14:textId="3830D363" w:rsidR="00E61336" w:rsidRDefault="00E53FE0">
      <w:pPr>
        <w:pBdr>
          <w:bottom w:val="single" w:sz="6" w:space="1" w:color="B1C8B0"/>
        </w:pBdr>
        <w:spacing w:before="200" w:after="200"/>
      </w:pPr>
      <w:r>
        <w:rPr>
          <w:noProof/>
        </w:rPr>
        <w:drawing>
          <wp:inline distT="0" distB="0" distL="0" distR="0" wp14:anchorId="442A5E26" wp14:editId="5148D679">
            <wp:extent cx="5943600" cy="3343275"/>
            <wp:effectExtent l="0" t="0" r="0" b="9525"/>
            <wp:docPr id="10507861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86187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F133" w14:textId="77777777" w:rsidR="00576C0E" w:rsidRDefault="00000000" w:rsidP="00EF30C7">
      <w:pPr>
        <w:pStyle w:val="Heading2"/>
      </w:pPr>
      <w:r>
        <w:lastRenderedPageBreak/>
        <w:t xml:space="preserve">4. </w:t>
      </w:r>
      <w:r w:rsidR="00EF30C7" w:rsidRPr="00EF30C7">
        <w:t>How does Sego's raise size compare to recent radiopharmaceutical seed and Series A rounds?</w:t>
      </w:r>
      <w:r w:rsidR="00EF30C7">
        <w:t xml:space="preserve"> </w:t>
      </w:r>
    </w:p>
    <w:p w14:paraId="28F08B9B" w14:textId="335020F7" w:rsidR="00576C0E" w:rsidRPr="006D2E03" w:rsidRDefault="006D2E03" w:rsidP="00EF30C7">
      <w:pPr>
        <w:pStyle w:val="Heading2"/>
        <w:rPr>
          <w:b w:val="0"/>
          <w:bCs w:val="0"/>
          <w:color w:val="333333"/>
          <w:sz w:val="21"/>
          <w:szCs w:val="21"/>
        </w:rPr>
      </w:pPr>
      <w:r w:rsidRPr="006D2E03">
        <w:rPr>
          <w:b w:val="0"/>
          <w:bCs w:val="0"/>
          <w:color w:val="333333"/>
          <w:sz w:val="21"/>
          <w:szCs w:val="21"/>
        </w:rPr>
        <w:t>Sego's $80M seed is at the median for first raises in the RLT sector. Convergent ($90M), Mariana ($75M), and Aktis ($72M</w:t>
      </w:r>
      <w:r>
        <w:rPr>
          <w:b w:val="0"/>
          <w:bCs w:val="0"/>
          <w:color w:val="333333"/>
          <w:sz w:val="21"/>
          <w:szCs w:val="21"/>
        </w:rPr>
        <w:t xml:space="preserve"> Series A, with an extension to the A of $</w:t>
      </w:r>
      <w:r w:rsidR="00E67DA7">
        <w:rPr>
          <w:b w:val="0"/>
          <w:bCs w:val="0"/>
          <w:color w:val="333333"/>
          <w:sz w:val="21"/>
          <w:szCs w:val="21"/>
        </w:rPr>
        <w:t>84M</w:t>
      </w:r>
      <w:r w:rsidRPr="006D2E03">
        <w:rPr>
          <w:b w:val="0"/>
          <w:bCs w:val="0"/>
          <w:color w:val="333333"/>
          <w:sz w:val="21"/>
          <w:szCs w:val="21"/>
        </w:rPr>
        <w:t>) all raised at comparable scale. Fusion and RayzeBio raised less initially ($46M and $45M) but neither had manufacturing at first raise, adding it only by their third or fourth financing. Sego's seed funds both pipeline and GMP infrastructure in a single round, where peers required multiple raises over approximately 3 years to reach the same position.</w:t>
      </w:r>
      <w:r w:rsidR="009502D1">
        <w:rPr>
          <w:b w:val="0"/>
          <w:bCs w:val="0"/>
          <w:color w:val="333333"/>
          <w:sz w:val="21"/>
          <w:szCs w:val="21"/>
        </w:rPr>
        <w:t xml:space="preserve"> Further, Sego’s differentiated early Ph 0 strategy of evaluating multiple molecules requires internal GMP capabilities to be maximally cost effective.</w:t>
      </w:r>
    </w:p>
    <w:p w14:paraId="65CE55AB" w14:textId="35EF8157" w:rsidR="00576C0E" w:rsidRPr="009930E4" w:rsidRDefault="009502D1" w:rsidP="00EF30C7">
      <w:pPr>
        <w:pStyle w:val="Heading2"/>
        <w:rPr>
          <w:b w:val="0"/>
          <w:bCs w:val="0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7E63FBBB" wp14:editId="2100B87F">
            <wp:extent cx="5943600" cy="3343275"/>
            <wp:effectExtent l="0" t="0" r="0" b="9525"/>
            <wp:docPr id="13205748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74883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7916" w14:textId="2B2C83F0" w:rsidR="00E61336" w:rsidRDefault="00EF30C7" w:rsidP="00EF30C7">
      <w:pPr>
        <w:pStyle w:val="Heading2"/>
      </w:pPr>
      <w:r w:rsidRPr="00EF30C7">
        <w:t>Given recent RLT transaction values ($1B+), what does the return profile look like for seed investors at this entry point?</w:t>
      </w:r>
    </w:p>
    <w:p w14:paraId="794B95FE" w14:textId="040EC5D8" w:rsidR="00575B18" w:rsidRDefault="00575B18">
      <w:pPr>
        <w:spacing w:after="160" w:line="276" w:lineRule="auto"/>
        <w:rPr>
          <w:color w:val="333333"/>
        </w:rPr>
      </w:pPr>
      <w:r>
        <w:rPr>
          <w:color w:val="333333"/>
        </w:rPr>
        <w:t>5x returns on total investment are common in RL</w:t>
      </w:r>
      <w:r w:rsidR="004003DA">
        <w:rPr>
          <w:color w:val="333333"/>
        </w:rPr>
        <w:t>T</w:t>
      </w:r>
      <w:r>
        <w:rPr>
          <w:color w:val="333333"/>
        </w:rPr>
        <w:t xml:space="preserve">, with first money in achieving returns estimated to be </w:t>
      </w:r>
      <w:r w:rsidR="005C3D49">
        <w:rPr>
          <w:color w:val="333333"/>
        </w:rPr>
        <w:t>&gt;10x (see below).</w:t>
      </w:r>
      <w:r w:rsidR="009930E4" w:rsidRPr="009930E4">
        <w:rPr>
          <w:color w:val="333333"/>
        </w:rPr>
        <w:t xml:space="preserve"> </w:t>
      </w:r>
      <w:r w:rsidR="004003DA">
        <w:rPr>
          <w:color w:val="333333"/>
        </w:rPr>
        <w:t xml:space="preserve">This trend is consistent across 7 major transactions in the last 3 years. </w:t>
      </w:r>
      <w:r w:rsidR="00F64D73">
        <w:rPr>
          <w:color w:val="333333"/>
        </w:rPr>
        <w:t xml:space="preserve">Early round investors captured the largest multiples. Series A participants in RayzeBio, Fusion and Point captured an estimated &gt;10x </w:t>
      </w:r>
      <w:r w:rsidR="00F66AD9">
        <w:rPr>
          <w:color w:val="333333"/>
        </w:rPr>
        <w:t>return on their initial investments, because they backed the company prior to the clinical data that drove the large exit valuations. Sego’s $80M raise gives investors a similar opportunity</w:t>
      </w:r>
      <w:r w:rsidR="00F11E3F">
        <w:rPr>
          <w:color w:val="333333"/>
        </w:rPr>
        <w:t xml:space="preserve">: a multi-billion dollar outcome on seed capital invested. </w:t>
      </w:r>
      <w:r w:rsidR="00F66AD9">
        <w:rPr>
          <w:color w:val="333333"/>
        </w:rPr>
        <w:t xml:space="preserve"> </w:t>
      </w:r>
      <w:r w:rsidR="00F66AD9">
        <w:rPr>
          <w:color w:val="333333"/>
        </w:rPr>
        <w:br/>
      </w:r>
    </w:p>
    <w:p w14:paraId="43933C05" w14:textId="621FA89C" w:rsidR="00575B18" w:rsidRDefault="00575B18">
      <w:pPr>
        <w:spacing w:after="160" w:line="276" w:lineRule="auto"/>
        <w:rPr>
          <w:color w:val="333333"/>
        </w:rPr>
      </w:pPr>
      <w:r>
        <w:rPr>
          <w:noProof/>
        </w:rPr>
        <w:lastRenderedPageBreak/>
        <w:drawing>
          <wp:inline distT="0" distB="0" distL="0" distR="0" wp14:anchorId="73944668" wp14:editId="72C7B7B8">
            <wp:extent cx="5943600" cy="3343275"/>
            <wp:effectExtent l="0" t="0" r="0" b="9525"/>
            <wp:docPr id="1214047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472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791A" w14:textId="77777777" w:rsidR="00E61336" w:rsidRDefault="00E61336">
      <w:pPr>
        <w:pBdr>
          <w:bottom w:val="single" w:sz="6" w:space="1" w:color="B1C8B0"/>
        </w:pBdr>
        <w:spacing w:before="200" w:after="200"/>
      </w:pPr>
    </w:p>
    <w:p w14:paraId="3BB6791B" w14:textId="0E9B1E48" w:rsidR="00E61336" w:rsidRDefault="00000000">
      <w:pPr>
        <w:pStyle w:val="Heading2"/>
      </w:pPr>
      <w:r>
        <w:t xml:space="preserve">5. Wasatch Group </w:t>
      </w:r>
      <w:r w:rsidR="00031888">
        <w:t>is Sego’s founding investor, committed for the long term</w:t>
      </w:r>
    </w:p>
    <w:p w14:paraId="3BB6791C" w14:textId="539E9599" w:rsidR="00E61336" w:rsidRPr="00D202F6" w:rsidRDefault="00000000">
      <w:pPr>
        <w:spacing w:after="160" w:line="276" w:lineRule="auto"/>
        <w:rPr>
          <w:color w:val="333333"/>
        </w:rPr>
      </w:pPr>
      <w:r>
        <w:rPr>
          <w:color w:val="333333"/>
        </w:rPr>
        <w:t xml:space="preserve">Wasatch Group is Sego’s founding investor, providing $20M in equity plus build capital for the seed </w:t>
      </w:r>
      <w:r w:rsidRPr="000B2559">
        <w:t xml:space="preserve">round, </w:t>
      </w:r>
      <w:r w:rsidRPr="00182F59">
        <w:rPr>
          <w:color w:val="FF0000"/>
        </w:rPr>
        <w:t>with an additional $10M committed</w:t>
      </w:r>
      <w:r w:rsidR="000B2559" w:rsidRPr="00182F59">
        <w:rPr>
          <w:color w:val="FF0000"/>
        </w:rPr>
        <w:t xml:space="preserve"> in the form of a SAFE</w:t>
      </w:r>
      <w:r w:rsidRPr="000B2559">
        <w:t xml:space="preserve">. </w:t>
      </w:r>
      <w:r w:rsidR="0002242A">
        <w:rPr>
          <w:color w:val="333333"/>
        </w:rPr>
        <w:t>Wasatch is a multi-billion-dollar diversified investment firm based in Salt Lake City with deep experience in life sciences real estate and infrastructure</w:t>
      </w:r>
      <w:r w:rsidR="00E45A91">
        <w:rPr>
          <w:color w:val="333333"/>
        </w:rPr>
        <w:t xml:space="preserve"> (see below)</w:t>
      </w:r>
      <w:r w:rsidR="0002242A">
        <w:rPr>
          <w:color w:val="333333"/>
        </w:rPr>
        <w:t>.</w:t>
      </w:r>
      <w:r w:rsidR="0002242A">
        <w:rPr>
          <w:color w:val="333333"/>
        </w:rPr>
        <w:t xml:space="preserve"> </w:t>
      </w:r>
      <w:r>
        <w:rPr>
          <w:color w:val="333333"/>
        </w:rPr>
        <w:t>Their total financial commitment includes</w:t>
      </w:r>
      <w:r w:rsidR="00031888">
        <w:rPr>
          <w:color w:val="333333"/>
        </w:rPr>
        <w:t xml:space="preserve">: </w:t>
      </w:r>
      <w:r w:rsidR="00D202F6">
        <w:rPr>
          <w:color w:val="333333"/>
        </w:rPr>
        <w:t>(a) l</w:t>
      </w:r>
      <w:r w:rsidR="00031888">
        <w:rPr>
          <w:color w:val="333333"/>
        </w:rPr>
        <w:t xml:space="preserve">ease for </w:t>
      </w:r>
      <w:r w:rsidR="00D202F6">
        <w:rPr>
          <w:color w:val="333333"/>
        </w:rPr>
        <w:t>Sego’s HQ (c)</w:t>
      </w:r>
      <w:r>
        <w:rPr>
          <w:color w:val="333333"/>
        </w:rPr>
        <w:t xml:space="preserve"> $6.5M in tenant improvements within the building leas</w:t>
      </w:r>
      <w:r w:rsidR="00D202F6">
        <w:rPr>
          <w:color w:val="333333"/>
        </w:rPr>
        <w:t>e (b) equipment purchase support structured as a lease cover</w:t>
      </w:r>
      <w:r w:rsidR="0002242A">
        <w:rPr>
          <w:color w:val="333333"/>
        </w:rPr>
        <w:t>ing the majority of equipment for the Stage 1A build (c) debt facilities</w:t>
      </w:r>
      <w:r>
        <w:rPr>
          <w:color w:val="333333"/>
        </w:rPr>
        <w:t xml:space="preserve"> and </w:t>
      </w:r>
      <w:r w:rsidR="0002242A">
        <w:rPr>
          <w:color w:val="333333"/>
        </w:rPr>
        <w:t xml:space="preserve">(d) </w:t>
      </w:r>
      <w:r>
        <w:rPr>
          <w:color w:val="333333"/>
        </w:rPr>
        <w:t xml:space="preserve">an option in the IRA for an additional $20M equity participation at Series A. </w:t>
      </w:r>
    </w:p>
    <w:p w14:paraId="3BB6791D" w14:textId="2C3F185A" w:rsidR="00E61336" w:rsidRDefault="00000000">
      <w:pPr>
        <w:spacing w:after="160" w:line="276" w:lineRule="auto"/>
      </w:pPr>
      <w:r>
        <w:rPr>
          <w:color w:val="333333"/>
        </w:rPr>
        <w:t>Their involvement goes beyond capital: Wasatch</w:t>
      </w:r>
      <w:r w:rsidR="0002242A">
        <w:rPr>
          <w:color w:val="333333"/>
        </w:rPr>
        <w:t xml:space="preserve"> is designing, building and operating an entire research campus dedicated to medical isotopes. This campus includes Nusano, Ratio and emerging plans for the Hansen Clinical Trials Center, </w:t>
      </w:r>
      <w:r w:rsidR="00E45A91">
        <w:rPr>
          <w:color w:val="333333"/>
        </w:rPr>
        <w:t>a facility that will support early RLT clinical trials and capitalize on Utah’s new Right To Try regulations for early clinical research.</w:t>
      </w:r>
      <w:r w:rsidR="00E45A91">
        <w:rPr>
          <w:color w:val="333333"/>
        </w:rPr>
        <w:br/>
      </w:r>
      <w:r w:rsidR="00E45A91">
        <w:rPr>
          <w:color w:val="333333"/>
        </w:rPr>
        <w:lastRenderedPageBreak/>
        <w:br/>
      </w:r>
      <w:r w:rsidR="00CB7530">
        <w:rPr>
          <w:noProof/>
        </w:rPr>
        <w:drawing>
          <wp:inline distT="0" distB="0" distL="0" distR="0" wp14:anchorId="38588E9A" wp14:editId="3BFFC410">
            <wp:extent cx="5943600" cy="3343275"/>
            <wp:effectExtent l="0" t="0" r="0" b="9525"/>
            <wp:docPr id="191493519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3519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33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DBD78" w14:textId="77777777" w:rsidR="00F971BE" w:rsidRDefault="00F971BE">
      <w:r>
        <w:separator/>
      </w:r>
    </w:p>
  </w:endnote>
  <w:endnote w:type="continuationSeparator" w:id="0">
    <w:p w14:paraId="08571AD9" w14:textId="77777777" w:rsidR="00F971BE" w:rsidRDefault="00F97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7921" w14:textId="359CAAB9" w:rsidR="00E61336" w:rsidRDefault="00000000">
    <w:pPr>
      <w:jc w:val="center"/>
    </w:pPr>
    <w:r>
      <w:rPr>
        <w:color w:val="666666"/>
        <w:sz w:val="16"/>
        <w:szCs w:val="16"/>
      </w:rPr>
      <w:t xml:space="preserve">Confidential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5330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69643" w14:textId="77777777" w:rsidR="00F971BE" w:rsidRDefault="00F971BE">
      <w:r>
        <w:separator/>
      </w:r>
    </w:p>
  </w:footnote>
  <w:footnote w:type="continuationSeparator" w:id="0">
    <w:p w14:paraId="13B4631F" w14:textId="77777777" w:rsidR="00F971BE" w:rsidRDefault="00F971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67920" w14:textId="77777777" w:rsidR="00E61336" w:rsidRDefault="00000000">
    <w:pPr>
      <w:pBdr>
        <w:bottom w:val="single" w:sz="6" w:space="4" w:color="B1C8B0"/>
      </w:pBdr>
    </w:pPr>
    <w:r>
      <w:rPr>
        <w:b/>
        <w:bCs/>
        <w:color w:val="002924"/>
        <w:sz w:val="18"/>
        <w:szCs w:val="18"/>
      </w:rPr>
      <w:t>Sego Therapeutics</w:t>
    </w:r>
    <w:r>
      <w:rPr>
        <w:color w:val="666666"/>
        <w:sz w:val="18"/>
        <w:szCs w:val="18"/>
      </w:rPr>
      <w:t xml:space="preserve">  |  Polaris Partners Follow-Up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C483A"/>
    <w:multiLevelType w:val="hybridMultilevel"/>
    <w:tmpl w:val="1876ACEE"/>
    <w:lvl w:ilvl="0" w:tplc="DBF4C230">
      <w:start w:val="1"/>
      <w:numFmt w:val="bullet"/>
      <w:lvlText w:val="●"/>
      <w:lvlJc w:val="left"/>
      <w:pPr>
        <w:ind w:left="720" w:hanging="360"/>
      </w:pPr>
    </w:lvl>
    <w:lvl w:ilvl="1" w:tplc="35707DEE">
      <w:start w:val="1"/>
      <w:numFmt w:val="bullet"/>
      <w:lvlText w:val="○"/>
      <w:lvlJc w:val="left"/>
      <w:pPr>
        <w:ind w:left="1440" w:hanging="360"/>
      </w:pPr>
    </w:lvl>
    <w:lvl w:ilvl="2" w:tplc="A98CE394">
      <w:start w:val="1"/>
      <w:numFmt w:val="bullet"/>
      <w:lvlText w:val="■"/>
      <w:lvlJc w:val="left"/>
      <w:pPr>
        <w:ind w:left="2160" w:hanging="360"/>
      </w:pPr>
    </w:lvl>
    <w:lvl w:ilvl="3" w:tplc="50E0298A">
      <w:start w:val="1"/>
      <w:numFmt w:val="bullet"/>
      <w:lvlText w:val="●"/>
      <w:lvlJc w:val="left"/>
      <w:pPr>
        <w:ind w:left="2880" w:hanging="360"/>
      </w:pPr>
    </w:lvl>
    <w:lvl w:ilvl="4" w:tplc="F7DC45C8">
      <w:start w:val="1"/>
      <w:numFmt w:val="bullet"/>
      <w:lvlText w:val="○"/>
      <w:lvlJc w:val="left"/>
      <w:pPr>
        <w:ind w:left="3600" w:hanging="360"/>
      </w:pPr>
    </w:lvl>
    <w:lvl w:ilvl="5" w:tplc="85A8DE32">
      <w:start w:val="1"/>
      <w:numFmt w:val="bullet"/>
      <w:lvlText w:val="■"/>
      <w:lvlJc w:val="left"/>
      <w:pPr>
        <w:ind w:left="4320" w:hanging="360"/>
      </w:pPr>
    </w:lvl>
    <w:lvl w:ilvl="6" w:tplc="A21A714A">
      <w:start w:val="1"/>
      <w:numFmt w:val="bullet"/>
      <w:lvlText w:val="●"/>
      <w:lvlJc w:val="left"/>
      <w:pPr>
        <w:ind w:left="5040" w:hanging="360"/>
      </w:pPr>
    </w:lvl>
    <w:lvl w:ilvl="7" w:tplc="978C671A">
      <w:start w:val="1"/>
      <w:numFmt w:val="bullet"/>
      <w:lvlText w:val="●"/>
      <w:lvlJc w:val="left"/>
      <w:pPr>
        <w:ind w:left="5760" w:hanging="360"/>
      </w:pPr>
    </w:lvl>
    <w:lvl w:ilvl="8" w:tplc="EDAEDBA0">
      <w:start w:val="1"/>
      <w:numFmt w:val="bullet"/>
      <w:lvlText w:val="●"/>
      <w:lvlJc w:val="left"/>
      <w:pPr>
        <w:ind w:left="6480" w:hanging="360"/>
      </w:pPr>
    </w:lvl>
  </w:abstractNum>
  <w:num w:numId="1" w16cid:durableId="1599633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36"/>
    <w:rsid w:val="0002242A"/>
    <w:rsid w:val="00031888"/>
    <w:rsid w:val="00042A2F"/>
    <w:rsid w:val="000B2559"/>
    <w:rsid w:val="00182F59"/>
    <w:rsid w:val="001C335C"/>
    <w:rsid w:val="0036544E"/>
    <w:rsid w:val="003A6C56"/>
    <w:rsid w:val="003E3BAB"/>
    <w:rsid w:val="004003DA"/>
    <w:rsid w:val="00405170"/>
    <w:rsid w:val="00467A88"/>
    <w:rsid w:val="004F2A91"/>
    <w:rsid w:val="00545A8C"/>
    <w:rsid w:val="00575B18"/>
    <w:rsid w:val="00576C0E"/>
    <w:rsid w:val="005A07CA"/>
    <w:rsid w:val="005A66BB"/>
    <w:rsid w:val="005C0828"/>
    <w:rsid w:val="005C3D49"/>
    <w:rsid w:val="005C74A4"/>
    <w:rsid w:val="005D0035"/>
    <w:rsid w:val="0066217F"/>
    <w:rsid w:val="00663C9E"/>
    <w:rsid w:val="00664F54"/>
    <w:rsid w:val="006D2E03"/>
    <w:rsid w:val="00745771"/>
    <w:rsid w:val="00753306"/>
    <w:rsid w:val="007966D7"/>
    <w:rsid w:val="008B212E"/>
    <w:rsid w:val="00907604"/>
    <w:rsid w:val="009113D7"/>
    <w:rsid w:val="009502D1"/>
    <w:rsid w:val="00960EA6"/>
    <w:rsid w:val="009909D9"/>
    <w:rsid w:val="009930E4"/>
    <w:rsid w:val="00A46AAA"/>
    <w:rsid w:val="00A6606D"/>
    <w:rsid w:val="00A70BD0"/>
    <w:rsid w:val="00AC68DE"/>
    <w:rsid w:val="00B27D45"/>
    <w:rsid w:val="00B5567D"/>
    <w:rsid w:val="00B83D83"/>
    <w:rsid w:val="00B9036F"/>
    <w:rsid w:val="00C62ABA"/>
    <w:rsid w:val="00C76318"/>
    <w:rsid w:val="00C95A10"/>
    <w:rsid w:val="00CB7530"/>
    <w:rsid w:val="00CF4257"/>
    <w:rsid w:val="00D202F6"/>
    <w:rsid w:val="00D36E44"/>
    <w:rsid w:val="00D62C3B"/>
    <w:rsid w:val="00E36D0C"/>
    <w:rsid w:val="00E45A91"/>
    <w:rsid w:val="00E53FE0"/>
    <w:rsid w:val="00E61336"/>
    <w:rsid w:val="00E67DA7"/>
    <w:rsid w:val="00EC35F0"/>
    <w:rsid w:val="00EF30C7"/>
    <w:rsid w:val="00F11E3F"/>
    <w:rsid w:val="00F64D73"/>
    <w:rsid w:val="00F66AD9"/>
    <w:rsid w:val="00F971BE"/>
    <w:rsid w:val="00FC13E4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7903"/>
  <w15:docId w15:val="{AC72C4B4-3BBE-465B-82FD-D0CD1A4C3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300"/>
      <w:outlineLvl w:val="0"/>
    </w:pPr>
    <w:rPr>
      <w:b/>
      <w:bCs/>
      <w:color w:val="002924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200"/>
      <w:outlineLvl w:val="1"/>
    </w:pPr>
    <w:rPr>
      <w:b/>
      <w:bCs/>
      <w:color w:val="00292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ef4dffa-8c77-49f6-a7ba-d33398e9a997}" enabled="0" method="" siteId="{0ef4dffa-8c77-49f6-a7ba-d33398e9a9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4154</TotalTime>
  <Pages>5</Pages>
  <Words>1042</Words>
  <Characters>5964</Characters>
  <Application>Microsoft Office Word</Application>
  <DocSecurity>0</DocSecurity>
  <Lines>91</Lines>
  <Paragraphs>32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Becca Levin</cp:lastModifiedBy>
  <cp:revision>63</cp:revision>
  <dcterms:created xsi:type="dcterms:W3CDTF">2026-06-05T21:22:00Z</dcterms:created>
  <dcterms:modified xsi:type="dcterms:W3CDTF">2026-06-08T20:09:00Z</dcterms:modified>
</cp:coreProperties>
</file>