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jc w:val="center"/>
      </w:pPr>
      <w:r>
        <w:rPr>
          <w:rFonts w:ascii="Calibri" w:hAnsi="Calibri"/>
          <w:b/>
          <w:i w:val="0"/>
          <w:sz w:val="26"/>
        </w:rPr>
        <w:t>ELIES ECOMMERCE &amp; DIGITAL - FZCO</w:t>
      </w:r>
    </w:p>
    <w:p>
      <w:pPr>
        <w:spacing w:after="20" w:before="0" w:line="240" w:lineRule="auto"/>
        <w:jc w:val="center"/>
      </w:pPr>
      <w:r>
        <w:rPr>
          <w:rFonts w:ascii="Calibri" w:hAnsi="Calibri"/>
          <w:b w:val="0"/>
          <w:i w:val="0"/>
          <w:sz w:val="17"/>
        </w:rPr>
        <w:t>Premises No. DSO-IFZA, IFZA Properties, Dubai Silicon Oasis, Dubai, United Arab Emirates</w:t>
      </w:r>
    </w:p>
    <w:p>
      <w:pPr>
        <w:spacing w:after="160" w:before="0" w:line="240" w:lineRule="auto"/>
        <w:jc w:val="center"/>
      </w:pPr>
      <w:r>
        <w:rPr>
          <w:rFonts w:ascii="Calibri" w:hAnsi="Calibri"/>
          <w:b w:val="0"/>
          <w:i w:val="0"/>
          <w:sz w:val="17"/>
        </w:rPr>
        <w:t>Registration No. DSO-FZCO-39398  |  Trade Licence No. 41532  |  Corporate Tax TRN 104552889800001</w:t>
      </w:r>
    </w:p>
    <w:p>
      <w:pPr>
        <w:spacing w:after="120" w:before="0" w:line="240" w:lineRule="auto"/>
      </w:pPr>
      <w:r>
        <w:rPr>
          <w:rFonts w:ascii="Calibri" w:hAnsi="Calibri"/>
          <w:b w:val="0"/>
          <w:i w:val="0"/>
          <w:sz w:val="19"/>
        </w:rPr>
        <w:t>18 September 2026</w:t>
      </w:r>
    </w:p>
    <w:p>
      <w:pPr>
        <w:spacing w:after="0" w:before="0" w:line="240" w:lineRule="auto"/>
      </w:pPr>
      <w:r>
        <w:rPr>
          <w:rFonts w:ascii="Calibri" w:hAnsi="Calibri"/>
          <w:b/>
          <w:i w:val="0"/>
          <w:sz w:val="19"/>
        </w:rPr>
        <w:t>Federal Tax Authority</w:t>
      </w:r>
    </w:p>
    <w:p>
      <w:pPr>
        <w:spacing w:after="160" w:before="0" w:line="240" w:lineRule="auto"/>
      </w:pPr>
      <w:r>
        <w:rPr>
          <w:rFonts w:ascii="Calibri" w:hAnsi="Calibri"/>
          <w:b w:val="0"/>
          <w:i w:val="0"/>
          <w:sz w:val="19"/>
        </w:rPr>
        <w:t>United Arab Emirates</w:t>
      </w:r>
    </w:p>
    <w:p>
      <w:pPr>
        <w:spacing w:after="40" w:before="0" w:line="240" w:lineRule="auto"/>
      </w:pPr>
      <w:r>
        <w:rPr>
          <w:rFonts w:ascii="Calibri" w:hAnsi="Calibri"/>
          <w:b/>
          <w:i w:val="0"/>
          <w:sz w:val="19"/>
        </w:rPr>
        <w:t>Subject: Declaration of Revenue and Assets for all Tax Periods - Corporate Tax De-Registration</w:t>
      </w:r>
    </w:p>
    <w:p>
      <w:pPr>
        <w:spacing w:after="160" w:before="0" w:line="240" w:lineRule="auto"/>
      </w:pPr>
      <w:r>
        <w:rPr>
          <w:rFonts w:ascii="Calibri" w:hAnsi="Calibri"/>
          <w:b/>
          <w:i w:val="0"/>
          <w:sz w:val="19"/>
        </w:rPr>
        <w:t>Corporate Tax TRN: 104552889800001     De-Registration Application Ref.: 101001430723</w:t>
      </w:r>
    </w:p>
    <w:p>
      <w:pPr>
        <w:spacing w:after="120" w:before="0" w:line="240" w:lineRule="auto"/>
      </w:pPr>
      <w:r>
        <w:rPr>
          <w:rFonts w:ascii="Calibri" w:hAnsi="Calibri"/>
          <w:b w:val="0"/>
          <w:i w:val="0"/>
          <w:sz w:val="19"/>
        </w:rPr>
        <w:t>Dear Sir / Madam,</w:t>
      </w:r>
    </w:p>
    <w:p>
      <w:pPr>
        <w:spacing w:after="160" w:before="0" w:line="240" w:lineRule="auto"/>
        <w:jc w:val="both"/>
      </w:pPr>
      <w:r>
        <w:rPr>
          <w:rFonts w:ascii="Calibri" w:hAnsi="Calibri"/>
          <w:b w:val="0"/>
          <w:i w:val="0"/>
          <w:sz w:val="19"/>
        </w:rPr>
        <w:t>We refer to your requests for additional information dated 30 April 2025, 13 February 2026 and 9 September 2026 in connection with the above de-registration application. We hereby declare the following, which is supported by the audited financial statements and the official documents enclosed with this letter.</w:t>
      </w:r>
    </w:p>
    <w:p>
      <w:pPr>
        <w:spacing w:after="60" w:before="0" w:line="240" w:lineRule="auto"/>
      </w:pPr>
      <w:r>
        <w:rPr>
          <w:rFonts w:ascii="Calibri" w:hAnsi="Calibri"/>
          <w:b/>
          <w:i w:val="0"/>
          <w:sz w:val="19"/>
        </w:rPr>
        <w:t>1.  The Company</w:t>
      </w:r>
    </w:p>
    <w:p>
      <w:pPr>
        <w:spacing w:after="160" w:before="0" w:line="240" w:lineRule="auto"/>
        <w:jc w:val="both"/>
      </w:pPr>
      <w:r>
        <w:rPr>
          <w:rFonts w:ascii="Calibri" w:hAnsi="Calibri"/>
          <w:b w:val="0"/>
          <w:i w:val="0"/>
          <w:sz w:val="19"/>
        </w:rPr>
        <w:t>ELIES ECOMMERCE &amp; DIGITAL - FZCO was registered in Dubai Silicon Oasis on 13 February 2024 under Registration No. DSO-FZCO-39398, Trade Licence No. 41532, as a Free Zone Company with limited liability. Its licensed activity was Ecommerce. The Company is wholly owned and was managed by Elies Bechahed, a French national. The Company is not registered for value added tax.</w:t>
      </w:r>
    </w:p>
    <w:p>
      <w:pPr>
        <w:spacing w:after="60" w:before="0" w:line="240" w:lineRule="auto"/>
      </w:pPr>
      <w:r>
        <w:rPr>
          <w:rFonts w:ascii="Calibri" w:hAnsi="Calibri"/>
          <w:b/>
          <w:i w:val="0"/>
          <w:sz w:val="19"/>
        </w:rPr>
        <w:t>2.  Tax Periods Concerned</w:t>
      </w:r>
    </w:p>
    <w:p>
      <w:pPr>
        <w:spacing w:after="80" w:before="0" w:line="240" w:lineRule="auto"/>
        <w:jc w:val="both"/>
      </w:pPr>
      <w:r>
        <w:rPr>
          <w:rFonts w:ascii="Calibri" w:hAnsi="Calibri"/>
          <w:b w:val="0"/>
          <w:i w:val="0"/>
          <w:sz w:val="19"/>
        </w:rPr>
        <w:t>The Company's financial year is registered with the Authority as January to December. On that basis the Company had two Tax Periods: from 13 February 2024 (date of incorporation) to 31 December 2024, and from 1 January 2025 to 28 February 2025 (date of cessation of business). No Tax Period exists after that date.</w:t>
      </w:r>
    </w:p>
    <w:p>
      <w:pPr>
        <w:spacing w:after="120" w:before="0" w:line="240" w:lineRule="auto"/>
        <w:jc w:val="both"/>
      </w:pPr>
      <w:r>
        <w:rPr>
          <w:rFonts w:ascii="Calibri" w:hAnsi="Calibri"/>
          <w:b w:val="0"/>
          <w:i w:val="0"/>
          <w:sz w:val="19"/>
        </w:rPr>
        <w:t>For the purposes of the liquidation, statutory financial statements were prepared and audited for the period from 13 February 2024 to 31 January 2025, the effective date of liquidation resolved by the shareholder on 30 January 2025. Those statements therefore span the whole of the first Tax Period and the greater part of the final one. As the Company earned no revenue and held no assets at any time, the declaration below is identical under either basis.</w:t>
      </w:r>
    </w:p>
    <w:p>
      <w:pPr>
        <w:spacing w:after="60" w:before="0" w:line="240" w:lineRule="auto"/>
      </w:pPr>
      <w:r>
        <w:rPr>
          <w:rFonts w:ascii="Calibri" w:hAnsi="Calibri"/>
          <w:b/>
          <w:i w:val="0"/>
          <w:sz w:val="19"/>
        </w:rPr>
        <w:t>3.  Declaration of Revenue and Assets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pPr>
              <w:spacing w:after="20" w:before="20"/>
            </w:pPr>
            <w:r/>
            <w:r>
              <w:rPr>
                <w:rFonts w:ascii="Calibri" w:hAnsi="Calibri"/>
                <w:b/>
                <w:sz w:val="17"/>
              </w:rPr>
              <w:t>Tax Period</w:t>
            </w:r>
          </w:p>
        </w:tc>
        <w:tc>
          <w:tcPr>
            <w:tcW w:type="dxa" w:w="2493"/>
          </w:tcPr>
          <w:p>
            <w:pPr>
              <w:spacing w:after="20" w:before="20"/>
              <w:jc w:val="center"/>
            </w:pPr>
            <w:r/>
            <w:r>
              <w:rPr>
                <w:rFonts w:ascii="Calibri" w:hAnsi="Calibri"/>
                <w:b/>
                <w:sz w:val="17"/>
              </w:rPr>
              <w:t>Revenue (AED)</w:t>
            </w:r>
          </w:p>
        </w:tc>
        <w:tc>
          <w:tcPr>
            <w:tcW w:type="dxa" w:w="2493"/>
          </w:tcPr>
          <w:p>
            <w:pPr>
              <w:spacing w:after="20" w:before="20"/>
              <w:jc w:val="center"/>
            </w:pPr>
            <w:r/>
            <w:r>
              <w:rPr>
                <w:rFonts w:ascii="Calibri" w:hAnsi="Calibri"/>
                <w:b/>
                <w:sz w:val="17"/>
              </w:rPr>
              <w:t>Total Assets (AED)</w:t>
            </w:r>
          </w:p>
        </w:tc>
        <w:tc>
          <w:tcPr>
            <w:tcW w:type="dxa" w:w="2493"/>
          </w:tcPr>
          <w:p>
            <w:pPr>
              <w:spacing w:after="20" w:before="20"/>
              <w:jc w:val="center"/>
            </w:pPr>
            <w:r/>
            <w:r>
              <w:rPr>
                <w:rFonts w:ascii="Calibri" w:hAnsi="Calibri"/>
                <w:b/>
                <w:sz w:val="17"/>
              </w:rPr>
              <w:t>Total Liabilities (AED)</w:t>
            </w:r>
          </w:p>
        </w:tc>
      </w:tr>
      <w:tr>
        <w:tc>
          <w:tcPr>
            <w:tcW w:type="dxa" w:w="2493"/>
          </w:tcPr>
          <w:p>
            <w:pPr>
              <w:spacing w:after="20" w:before="20"/>
            </w:pPr>
            <w:r/>
            <w:r>
              <w:rPr>
                <w:rFonts w:ascii="Calibri" w:hAnsi="Calibri"/>
                <w:b w:val="0"/>
                <w:sz w:val="17"/>
              </w:rPr>
              <w:t>13 February 2024 to 31 December 2024</w:t>
            </w:r>
          </w:p>
        </w:tc>
        <w:tc>
          <w:tcPr>
            <w:tcW w:type="dxa" w:w="2493"/>
          </w:tcPr>
          <w:p>
            <w:pPr>
              <w:spacing w:after="20" w:before="20"/>
              <w:jc w:val="center"/>
            </w:pPr>
            <w:r/>
            <w:r>
              <w:rPr>
                <w:rFonts w:ascii="Calibri" w:hAnsi="Calibri"/>
                <w:b w:val="0"/>
                <w:sz w:val="17"/>
              </w:rPr>
              <w:t>NIL (0.00)</w:t>
            </w:r>
          </w:p>
        </w:tc>
        <w:tc>
          <w:tcPr>
            <w:tcW w:type="dxa" w:w="2493"/>
          </w:tcPr>
          <w:p>
            <w:pPr>
              <w:spacing w:after="20" w:before="20"/>
              <w:jc w:val="center"/>
            </w:pPr>
            <w:r/>
            <w:r>
              <w:rPr>
                <w:rFonts w:ascii="Calibri" w:hAnsi="Calibri"/>
                <w:b w:val="0"/>
                <w:sz w:val="17"/>
              </w:rPr>
              <w:t>NIL (0.00)</w:t>
            </w:r>
          </w:p>
        </w:tc>
        <w:tc>
          <w:tcPr>
            <w:tcW w:type="dxa" w:w="2493"/>
          </w:tcPr>
          <w:p>
            <w:pPr>
              <w:spacing w:after="20" w:before="20"/>
              <w:jc w:val="center"/>
            </w:pPr>
            <w:r/>
            <w:r>
              <w:rPr>
                <w:rFonts w:ascii="Calibri" w:hAnsi="Calibri"/>
                <w:b w:val="0"/>
                <w:sz w:val="17"/>
              </w:rPr>
              <w:t>NIL (0.00)</w:t>
            </w:r>
          </w:p>
        </w:tc>
      </w:tr>
      <w:tr>
        <w:tc>
          <w:tcPr>
            <w:tcW w:type="dxa" w:w="2493"/>
          </w:tcPr>
          <w:p>
            <w:pPr>
              <w:spacing w:after="20" w:before="20"/>
            </w:pPr>
            <w:r/>
            <w:r>
              <w:rPr>
                <w:rFonts w:ascii="Calibri" w:hAnsi="Calibri"/>
                <w:b w:val="0"/>
                <w:sz w:val="17"/>
              </w:rPr>
              <w:t>1 January 2025 to 28 February 2025</w:t>
            </w:r>
          </w:p>
        </w:tc>
        <w:tc>
          <w:tcPr>
            <w:tcW w:type="dxa" w:w="2493"/>
          </w:tcPr>
          <w:p>
            <w:pPr>
              <w:spacing w:after="20" w:before="20"/>
              <w:jc w:val="center"/>
            </w:pPr>
            <w:r/>
            <w:r>
              <w:rPr>
                <w:rFonts w:ascii="Calibri" w:hAnsi="Calibri"/>
                <w:b w:val="0"/>
                <w:sz w:val="17"/>
              </w:rPr>
              <w:t>NIL (0.00)</w:t>
            </w:r>
          </w:p>
        </w:tc>
        <w:tc>
          <w:tcPr>
            <w:tcW w:type="dxa" w:w="2493"/>
          </w:tcPr>
          <w:p>
            <w:pPr>
              <w:spacing w:after="20" w:before="20"/>
              <w:jc w:val="center"/>
            </w:pPr>
            <w:r/>
            <w:r>
              <w:rPr>
                <w:rFonts w:ascii="Calibri" w:hAnsi="Calibri"/>
                <w:b w:val="0"/>
                <w:sz w:val="17"/>
              </w:rPr>
              <w:t>NIL (0.00)</w:t>
            </w:r>
          </w:p>
        </w:tc>
        <w:tc>
          <w:tcPr>
            <w:tcW w:type="dxa" w:w="2493"/>
          </w:tcPr>
          <w:p>
            <w:pPr>
              <w:spacing w:after="20" w:before="20"/>
              <w:jc w:val="center"/>
            </w:pPr>
            <w:r/>
            <w:r>
              <w:rPr>
                <w:rFonts w:ascii="Calibri" w:hAnsi="Calibri"/>
                <w:b w:val="0"/>
                <w:sz w:val="17"/>
              </w:rPr>
              <w:t>NIL (0.00)</w:t>
            </w:r>
          </w:p>
        </w:tc>
      </w:tr>
      <w:tr>
        <w:tc>
          <w:tcPr>
            <w:tcW w:type="dxa" w:w="2493"/>
          </w:tcPr>
          <w:p>
            <w:pPr>
              <w:spacing w:after="20" w:before="20"/>
            </w:pPr>
            <w:r/>
            <w:r>
              <w:rPr>
                <w:rFonts w:ascii="Calibri" w:hAnsi="Calibri"/>
                <w:b w:val="0"/>
                <w:sz w:val="17"/>
              </w:rPr>
              <w:t>13 February 2024 to 31 January 2025  (audited financial statements)</w:t>
            </w:r>
          </w:p>
        </w:tc>
        <w:tc>
          <w:tcPr>
            <w:tcW w:type="dxa" w:w="2493"/>
          </w:tcPr>
          <w:p>
            <w:pPr>
              <w:spacing w:after="20" w:before="20"/>
              <w:jc w:val="center"/>
            </w:pPr>
            <w:r/>
            <w:r>
              <w:rPr>
                <w:rFonts w:ascii="Calibri" w:hAnsi="Calibri"/>
                <w:b w:val="0"/>
                <w:sz w:val="17"/>
              </w:rPr>
              <w:t>NIL (0.00)</w:t>
            </w:r>
          </w:p>
        </w:tc>
        <w:tc>
          <w:tcPr>
            <w:tcW w:type="dxa" w:w="2493"/>
          </w:tcPr>
          <w:p>
            <w:pPr>
              <w:spacing w:after="20" w:before="20"/>
              <w:jc w:val="center"/>
            </w:pPr>
            <w:r/>
            <w:r>
              <w:rPr>
                <w:rFonts w:ascii="Calibri" w:hAnsi="Calibri"/>
                <w:b w:val="0"/>
                <w:sz w:val="17"/>
              </w:rPr>
              <w:t>NIL (0.00)</w:t>
            </w:r>
          </w:p>
        </w:tc>
        <w:tc>
          <w:tcPr>
            <w:tcW w:type="dxa" w:w="2493"/>
          </w:tcPr>
          <w:p>
            <w:pPr>
              <w:spacing w:after="20" w:before="20"/>
              <w:jc w:val="center"/>
            </w:pPr>
            <w:r/>
            <w:r>
              <w:rPr>
                <w:rFonts w:ascii="Calibri" w:hAnsi="Calibri"/>
                <w:b w:val="0"/>
                <w:sz w:val="17"/>
              </w:rPr>
              <w:t>NIL (0.00)</w:t>
            </w:r>
          </w:p>
        </w:tc>
      </w:tr>
    </w:tbl>
    <w:p>
      <w:pPr>
        <w:spacing w:after="40" w:before="0" w:line="240" w:lineRule="auto"/>
      </w:pPr>
      <w:r>
        <w:rPr>
          <w:rFonts w:ascii="Calibri" w:hAnsi="Calibri"/>
          <w:b w:val="0"/>
          <w:i w:val="0"/>
          <w:sz w:val="8"/>
        </w:rPr>
      </w:r>
    </w:p>
    <w:p>
      <w:pPr>
        <w:spacing w:after="160" w:before="0" w:line="240" w:lineRule="auto"/>
        <w:jc w:val="both"/>
      </w:pPr>
      <w:r>
        <w:rPr>
          <w:rFonts w:ascii="Calibri" w:hAnsi="Calibri"/>
          <w:b w:val="0"/>
          <w:i w:val="0"/>
          <w:sz w:val="19"/>
        </w:rPr>
        <w:t>The Company earned NIL revenue and held NIL assets throughout its entire existence. It never commenced commercial operations. The only charges recorded were administration expenses of AED 6,260.00, consisting solely of legal and professional fees, which were borne by the shareholder in his personal capacity and are reflected in the shareholder's current account. As at the date of liquidation the Company had no assets and no liabilities.</w:t>
      </w:r>
    </w:p>
    <w:p>
      <w:pPr>
        <w:spacing w:after="60" w:before="0" w:line="240" w:lineRule="auto"/>
      </w:pPr>
      <w:r>
        <w:rPr>
          <w:rFonts w:ascii="Calibri" w:hAnsi="Calibri"/>
          <w:b/>
          <w:i w:val="0"/>
          <w:sz w:val="19"/>
        </w:rPr>
        <w:t>4.  Supporting Facts</w:t>
      </w:r>
    </w:p>
    <w:p>
      <w:pPr>
        <w:pStyle w:val="ListBullet"/>
        <w:spacing w:after="40" w:before="0" w:line="240" w:lineRule="auto"/>
        <w:ind w:left="397"/>
      </w:pPr>
      <w:r>
        <w:rPr>
          <w:rFonts w:ascii="Calibri" w:hAnsi="Calibri"/>
          <w:sz w:val="18"/>
        </w:rPr>
        <w:t>The Company never traded and generated no revenue in any Tax Period.</w:t>
      </w:r>
    </w:p>
    <w:p>
      <w:pPr>
        <w:pStyle w:val="ListBullet"/>
        <w:spacing w:after="40" w:before="0" w:line="240" w:lineRule="auto"/>
        <w:ind w:left="397"/>
      </w:pPr>
      <w:r>
        <w:rPr>
          <w:rFonts w:ascii="Calibri" w:hAnsi="Calibri"/>
          <w:sz w:val="18"/>
        </w:rPr>
        <w:t>The Company held no fixed assets, no inventory and no receivables at any time.</w:t>
      </w:r>
    </w:p>
    <w:p>
      <w:pPr>
        <w:pStyle w:val="ListBullet"/>
        <w:spacing w:after="40" w:before="0" w:line="240" w:lineRule="auto"/>
        <w:ind w:left="397"/>
      </w:pPr>
      <w:r>
        <w:rPr>
          <w:rFonts w:ascii="Calibri" w:hAnsi="Calibri"/>
          <w:sz w:val="18"/>
        </w:rPr>
        <w:t>The two bank accounts held with Wio Bank P.J.S.C (9485724553, AED, and 9451723126, EUR) were closed on 29 January 2025 and carried no balance at closure.</w:t>
      </w:r>
    </w:p>
    <w:p>
      <w:pPr>
        <w:pStyle w:val="ListBullet"/>
        <w:spacing w:after="40" w:before="0" w:line="240" w:lineRule="auto"/>
        <w:ind w:left="397"/>
      </w:pPr>
      <w:r>
        <w:rPr>
          <w:rFonts w:ascii="Calibri" w:hAnsi="Calibri"/>
          <w:sz w:val="18"/>
        </w:rPr>
        <w:t>All employee dues were settled and no claims remain from any employee.</w:t>
      </w:r>
    </w:p>
    <w:p>
      <w:pPr>
        <w:pStyle w:val="ListBullet"/>
        <w:spacing w:after="40" w:before="0" w:line="240" w:lineRule="auto"/>
        <w:ind w:left="397"/>
      </w:pPr>
      <w:r>
        <w:rPr>
          <w:rFonts w:ascii="Calibri" w:hAnsi="Calibri"/>
          <w:sz w:val="18"/>
        </w:rPr>
        <w:t>All creditors were settled and no claims were received from any creditor.</w:t>
      </w:r>
    </w:p>
    <w:p>
      <w:pPr>
        <w:pStyle w:val="ListBullet"/>
        <w:spacing w:after="40" w:before="0" w:line="240" w:lineRule="auto"/>
        <w:ind w:left="397"/>
      </w:pPr>
      <w:r>
        <w:rPr>
          <w:rFonts w:ascii="Calibri" w:hAnsi="Calibri"/>
          <w:sz w:val="18"/>
        </w:rPr>
        <w:t>The issued share capital of AED 10,000.00 was fully accounted for; total equity at the close of liquidation was NIL.</w:t>
      </w:r>
    </w:p>
    <w:p>
      <w:pPr>
        <w:pStyle w:val="ListBullet"/>
        <w:spacing w:after="40" w:before="0" w:line="240" w:lineRule="auto"/>
        <w:ind w:left="397"/>
      </w:pPr>
      <w:r>
        <w:rPr>
          <w:rFonts w:ascii="Calibri" w:hAnsi="Calibri"/>
          <w:sz w:val="18"/>
        </w:rPr>
        <w:t>The liquidation was carried out by Axis Auditing &amp; Accounting L.L.C (Walid Aqil Mohammed Abdulla AlRafi, Registration No. 1104, Dubai, U.A.E), whose Liquidator's Report dated 6 February 2025 confirms that the liquidation proceedings are closed.</w:t>
      </w:r>
    </w:p>
    <w:p>
      <w:pPr>
        <w:pStyle w:val="ListBullet"/>
        <w:spacing w:after="40" w:before="0" w:line="240" w:lineRule="auto"/>
        <w:ind w:left="397"/>
      </w:pPr>
      <w:r>
        <w:rPr>
          <w:rFonts w:ascii="Calibri" w:hAnsi="Calibri"/>
          <w:sz w:val="18"/>
        </w:rPr>
        <w:t>The trade licence was officially cancelled by Dubai Integrated Economic Zones Authority (DIEZ) - Dubai Silicon Oasis on 28 February 2025; the cancellation notice may be verified at https://verify.diez.ae/yFkkaN.</w:t>
      </w:r>
    </w:p>
    <w:p>
      <w:pPr>
        <w:pStyle w:val="ListBullet"/>
        <w:spacing w:after="40" w:before="0" w:line="240" w:lineRule="auto"/>
        <w:ind w:left="397"/>
      </w:pPr>
      <w:r>
        <w:rPr>
          <w:rFonts w:ascii="Calibri" w:hAnsi="Calibri"/>
          <w:sz w:val="18"/>
        </w:rPr>
        <w:t>Between 1 February 2025 and 28 February 2025, that is between the close of the audited financial statements and the date of cessation, the Company was already in liquidation, held no assets, operated no bank account and carried out no activity whatsoever. No transaction was recorded in that interval.</w:t>
      </w:r>
    </w:p>
    <w:p>
      <w:pPr>
        <w:spacing w:after="40" w:before="0" w:line="240" w:lineRule="auto"/>
      </w:pPr>
      <w:r>
        <w:rPr>
          <w:rFonts w:ascii="Calibri" w:hAnsi="Calibri"/>
          <w:b w:val="0"/>
          <w:i w:val="0"/>
          <w:sz w:val="8"/>
        </w:rPr>
      </w:r>
    </w:p>
    <w:p>
      <w:pPr>
        <w:spacing w:after="60" w:before="0" w:line="240" w:lineRule="auto"/>
      </w:pPr>
      <w:r>
        <w:rPr>
          <w:rFonts w:ascii="Calibri" w:hAnsi="Calibri"/>
          <w:b/>
          <w:i w:val="0"/>
          <w:sz w:val="19"/>
        </w:rPr>
        <w:t>5.  Documents Enclosed</w:t>
      </w:r>
    </w:p>
    <w:p>
      <w:pPr>
        <w:spacing w:after="40" w:before="0" w:line="240" w:lineRule="auto"/>
        <w:ind w:left="397"/>
      </w:pPr>
      <w:r>
        <w:rPr>
          <w:rFonts w:ascii="Calibri" w:hAnsi="Calibri"/>
          <w:sz w:val="18"/>
        </w:rPr>
        <w:t>(1)  Notice of Termination / Cancellation of Company issued by Dubai Silicon Oasis dated 28 February 2025 (official cancellation of the trade licence).</w:t>
      </w:r>
    </w:p>
    <w:p>
      <w:pPr>
        <w:spacing w:after="40" w:before="0" w:line="240" w:lineRule="auto"/>
        <w:ind w:left="397"/>
      </w:pPr>
      <w:r>
        <w:rPr>
          <w:rFonts w:ascii="Calibri" w:hAnsi="Calibri"/>
          <w:sz w:val="18"/>
        </w:rPr>
        <w:t>(2)  Liquidator's Report and audited Financial Statements for the period from 13 February 2024 to 31 January 2025, comprising the Statement of Financial Position, the Statement of Comprehensive Income, the Statement of Changes in Equity, the Statement of Cash Flows and the Notes, signed and stamped.</w:t>
      </w:r>
    </w:p>
    <w:p>
      <w:pPr>
        <w:spacing w:after="40" w:before="0" w:line="240" w:lineRule="auto"/>
        <w:ind w:left="397"/>
      </w:pPr>
      <w:r>
        <w:rPr>
          <w:rFonts w:ascii="Calibri" w:hAnsi="Calibri"/>
          <w:sz w:val="18"/>
        </w:rPr>
        <w:t>(3)  Trial Balance as at 31 January 2025, signed and stamped.</w:t>
      </w:r>
    </w:p>
    <w:p>
      <w:pPr>
        <w:spacing w:after="40" w:before="0" w:line="240" w:lineRule="auto"/>
        <w:ind w:left="397"/>
      </w:pPr>
      <w:r>
        <w:rPr>
          <w:rFonts w:ascii="Calibri" w:hAnsi="Calibri"/>
          <w:sz w:val="18"/>
        </w:rPr>
        <w:t>(4)  Trade Licence No. 41532 issued by Dubai Integrated Economic Zones Authority (DIEZ) - Dubai Silicon Oasis.</w:t>
      </w:r>
    </w:p>
    <w:p>
      <w:pPr>
        <w:spacing w:after="40" w:before="0" w:line="240" w:lineRule="auto"/>
        <w:ind w:left="397"/>
      </w:pPr>
      <w:r>
        <w:rPr>
          <w:rFonts w:ascii="Calibri" w:hAnsi="Calibri"/>
          <w:sz w:val="18"/>
        </w:rPr>
        <w:t>(5)  This Declaration Letter, signed and stamped.</w:t>
      </w:r>
    </w:p>
    <w:p>
      <w:pPr>
        <w:spacing w:after="80" w:before="0" w:line="240" w:lineRule="auto"/>
      </w:pPr>
      <w:r>
        <w:rPr>
          <w:rFonts w:ascii="Calibri" w:hAnsi="Calibri"/>
          <w:b w:val="0"/>
          <w:i w:val="0"/>
          <w:sz w:val="8"/>
        </w:rPr>
      </w:r>
    </w:p>
    <w:p>
      <w:pPr>
        <w:spacing w:after="60" w:before="0" w:line="240" w:lineRule="auto"/>
      </w:pPr>
      <w:r>
        <w:rPr>
          <w:rFonts w:ascii="Calibri" w:hAnsi="Calibri"/>
          <w:b/>
          <w:i w:val="0"/>
          <w:sz w:val="19"/>
        </w:rPr>
        <w:t>6.  Request</w:t>
      </w:r>
    </w:p>
    <w:p>
      <w:pPr>
        <w:spacing w:after="120" w:before="0" w:line="240" w:lineRule="auto"/>
        <w:jc w:val="both"/>
      </w:pPr>
      <w:r>
        <w:rPr>
          <w:rFonts w:ascii="Calibri" w:hAnsi="Calibri"/>
          <w:b w:val="0"/>
          <w:i w:val="0"/>
          <w:sz w:val="19"/>
        </w:rPr>
        <w:t>The Company has ceased its business, has been liquidated and its trade licence has been officially cancelled. We therefore respectfully request the Authority to approve the de-registration of the Company from Corporate Tax pursuant to Article 52 of Federal Decree-Law No. 47 of 2022.</w:t>
      </w:r>
    </w:p>
    <w:p>
      <w:pPr>
        <w:spacing w:after="200" w:before="0" w:line="240" w:lineRule="auto"/>
        <w:jc w:val="both"/>
      </w:pPr>
      <w:r>
        <w:rPr>
          <w:rFonts w:ascii="Calibri" w:hAnsi="Calibri"/>
          <w:b w:val="0"/>
          <w:i w:val="0"/>
          <w:sz w:val="19"/>
        </w:rPr>
        <w:t>I confirm that the information given in this letter is true, correct and complete, and that it is consistent in all respects with the audited financial statements enclosed.</w:t>
      </w:r>
    </w:p>
    <w:p>
      <w:pPr>
        <w:spacing w:after="520" w:before="0" w:line="240" w:lineRule="auto"/>
      </w:pPr>
      <w:r>
        <w:rPr>
          <w:rFonts w:ascii="Calibri" w:hAnsi="Calibri"/>
          <w:b w:val="0"/>
          <w:i w:val="0"/>
          <w:sz w:val="19"/>
        </w:rPr>
        <w:t>Yours faithfully,</w:t>
      </w:r>
    </w:p>
    <w:p>
      <w:pPr>
        <w:spacing w:after="40" w:before="0" w:line="240" w:lineRule="auto"/>
      </w:pPr>
      <w:r>
        <w:rPr>
          <w:rFonts w:ascii="Calibri" w:hAnsi="Calibri"/>
          <w:b w:val="0"/>
          <w:i w:val="0"/>
          <w:sz w:val="19"/>
        </w:rPr>
        <w:t>_______________________________</w:t>
      </w:r>
    </w:p>
    <w:p>
      <w:pPr>
        <w:spacing w:after="0" w:before="0" w:line="240" w:lineRule="auto"/>
      </w:pPr>
      <w:r>
        <w:rPr>
          <w:rFonts w:ascii="Calibri" w:hAnsi="Calibri"/>
          <w:b/>
          <w:i w:val="0"/>
          <w:sz w:val="19"/>
        </w:rPr>
        <w:t>Elies Bechahed</w:t>
      </w:r>
    </w:p>
    <w:p>
      <w:pPr>
        <w:spacing w:after="0" w:before="0" w:line="240" w:lineRule="auto"/>
      </w:pPr>
      <w:r>
        <w:rPr>
          <w:rFonts w:ascii="Calibri" w:hAnsi="Calibri"/>
          <w:b w:val="0"/>
          <w:i w:val="0"/>
          <w:sz w:val="19"/>
        </w:rPr>
        <w:t>Shareholder and Manager</w:t>
      </w:r>
    </w:p>
    <w:p>
      <w:pPr>
        <w:spacing w:after="0" w:before="0" w:line="240" w:lineRule="auto"/>
      </w:pPr>
      <w:r>
        <w:rPr>
          <w:rFonts w:ascii="Calibri" w:hAnsi="Calibri"/>
          <w:b w:val="0"/>
          <w:i w:val="0"/>
          <w:sz w:val="19"/>
        </w:rPr>
        <w:t>ELIES ECOMMERCE &amp; DIGITAL - FZCO</w:t>
      </w:r>
    </w:p>
    <w:p>
      <w:pPr>
        <w:spacing w:after="120" w:before="0" w:line="240" w:lineRule="auto"/>
      </w:pPr>
      <w:r>
        <w:rPr>
          <w:rFonts w:ascii="Calibri" w:hAnsi="Calibri"/>
          <w:b w:val="0"/>
          <w:i w:val="0"/>
          <w:sz w:val="17"/>
        </w:rPr>
        <w:t>Email: elies.bechahed@gmail.com  |  Mobile: +971 58 528 1013</w:t>
      </w:r>
    </w:p>
    <w:p>
      <w:pPr>
        <w:spacing w:after="0" w:before="0" w:line="240" w:lineRule="auto"/>
      </w:pPr>
      <w:r>
        <w:rPr>
          <w:rFonts w:ascii="Calibri" w:hAnsi="Calibri"/>
          <w:b w:val="0"/>
          <w:i/>
          <w:sz w:val="17"/>
        </w:rPr>
        <w:t>(Company stamp)</w:t>
      </w:r>
    </w:p>
    <w:sectPr w:rsidR="00FC693F" w:rsidRPr="0006063C" w:rsidSect="00034616">
      <w:pgSz w:w="12240" w:h="15840"/>
      <w:pgMar w:top="680"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