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Bdr>
          <w:bottom w:val="nil"/>
        </w:pBdr>
      </w:pPr>
      <w:r>
        <w:rPr>
          <w:rFonts w:ascii="Aptos" w:hAnsi="Aptos"/>
          <w:b/>
          <w:i w:val="0"/>
          <w:color w:val="000000"/>
          <w:sz w:val="34"/>
        </w:rPr>
        <w:t>CRE Underwriting Source and Methodology Memo</w:t>
      </w:r>
    </w:p>
    <w:p>
      <w:pPr>
        <w:spacing w:after="160"/>
      </w:pPr>
      <w:r>
        <w:rPr>
          <w:rFonts w:ascii="Aptos" w:hAnsi="Aptos"/>
          <w:b w:val="0"/>
          <w:i w:val="0"/>
          <w:color w:val="555555"/>
          <w:sz w:val="17"/>
        </w:rPr>
        <w:t>Prepared for pitch credibility review | Current release reviewed October 21 2026</w:t>
      </w:r>
    </w:p>
    <w:p>
      <w:pPr>
        <w:spacing w:after="140" w:line="254" w:lineRule="auto"/>
      </w:pPr>
      <w:r>
        <w:rPr>
          <w:rFonts w:ascii="Aptos" w:hAnsi="Aptos"/>
          <w:b/>
          <w:i w:val="0"/>
          <w:color w:val="222222"/>
          <w:sz w:val="18"/>
        </w:rPr>
        <w:t xml:space="preserve">Conclusion. </w:t>
      </w:r>
      <w:r>
        <w:rPr>
          <w:rFonts w:ascii="Aptos" w:hAnsi="Aptos"/>
          <w:b w:val="0"/>
          <w:i w:val="0"/>
          <w:color w:val="222222"/>
          <w:sz w:val="18"/>
        </w:rPr>
        <w:t>This application is a transparent underwriting calculator, not a data provider or appraisal. In the current release it does not call CoStar, a public API, or any external property-data feed. Its credibility comes from clearly identified analyst inputs, versioned assumptions, repeatable calculations, and visible safeguards. The quality of any result still depends on the accuracy and appropriateness of the data supplied by the analyst.</w:t>
      </w:r>
    </w:p>
    <w:p>
      <w:pPr>
        <w:pStyle w:val="Heading1"/>
        <w:keepNext/>
        <w:pageBreakBefore w:val="0"/>
        <w:spacing w:before="160" w:after="60" w:line="240" w:lineRule="auto"/>
      </w:pPr>
      <w:r>
        <w:rPr>
          <w:rFonts w:ascii="Aptos" w:hAnsi="Aptos"/>
          <w:b/>
          <w:i w:val="0"/>
          <w:color w:val="000000"/>
          <w:sz w:val="20"/>
        </w:rPr>
        <w:t>Actual Data Inputs and Provenance</w:t>
      </w:r>
    </w:p>
    <w:p>
      <w:pPr>
        <w:keepNext w:val="0"/>
        <w:spacing w:after="80" w:line="250" w:lineRule="auto"/>
      </w:pPr>
      <w:r>
        <w:rPr>
          <w:rFonts w:ascii="Aptos" w:hAnsi="Aptos"/>
          <w:b w:val="0"/>
          <w:i w:val="0"/>
          <w:color w:val="222222"/>
          <w:sz w:val="18"/>
        </w:rPr>
        <w:t>The inventory below covers every category of data that the live application uses. It deliberately separates real analyst-supplied inputs from illustrative application content so a reader is never asked to treat a template as market evidence.</w:t>
      </w:r>
    </w:p>
    <w:tbl>
      <w:tblPr>
        <w:tblW w:type="auto" w:w="0"/>
        <w:tblLayout w:type="fixed"/>
        <w:tblLook w:firstColumn="1" w:firstRow="1" w:lastColumn="0" w:lastRow="0" w:noHBand="0" w:noVBand="1" w:val="04A0"/>
      </w:tblPr>
      <w:tblGrid>
        <w:gridCol w:w="3465"/>
        <w:gridCol w:w="3465"/>
        <w:gridCol w:w="3465"/>
      </w:tblGrid>
      <w:tr>
        <w:trPr>
          <w:tblHeader w:val="true"/>
        </w:trPr>
        <w:tc>
          <w:tcPr>
            <w:tcW w:type="dxa" w:w="18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3D"/>
          </w:tcPr>
          <w:p>
            <w:pPr>
              <w:spacing w:after="0" w:line="240" w:lineRule="auto"/>
            </w:pPr>
            <w:r/>
            <w:r>
              <w:rPr>
                <w:rFonts w:ascii="Aptos" w:hAnsi="Aptos"/>
                <w:b/>
                <w:i w:val="0"/>
                <w:color w:val="FFFFFF"/>
                <w:sz w:val="16"/>
              </w:rPr>
              <w:t>Input category</w:t>
            </w:r>
          </w:p>
        </w:tc>
        <w:tc>
          <w:tcPr>
            <w:tcW w:type="dxa" w:w="496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3D"/>
          </w:tcPr>
          <w:p>
            <w:pPr>
              <w:spacing w:after="0" w:line="240" w:lineRule="auto"/>
            </w:pPr>
            <w:r/>
            <w:r>
              <w:rPr>
                <w:rFonts w:ascii="Aptos" w:hAnsi="Aptos"/>
                <w:b/>
                <w:i w:val="0"/>
                <w:color w:val="FFFFFF"/>
                <w:sz w:val="16"/>
              </w:rPr>
              <w:t>What the application uses</w:t>
            </w:r>
          </w:p>
        </w:tc>
        <w:tc>
          <w:tcPr>
            <w:tcW w:type="dxa" w:w="2347"/>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3D"/>
          </w:tcPr>
          <w:p>
            <w:pPr>
              <w:spacing w:after="0" w:line="240" w:lineRule="auto"/>
            </w:pPr>
            <w:r/>
            <w:r>
              <w:rPr>
                <w:rFonts w:ascii="Aptos" w:hAnsi="Aptos"/>
                <w:b/>
                <w:i w:val="0"/>
                <w:color w:val="FFFFFF"/>
                <w:sz w:val="16"/>
              </w:rPr>
              <w:t>Provenance and date handling</w:t>
            </w:r>
          </w:p>
        </w:tc>
      </w:tr>
      <w:tr>
        <w:tc>
          <w:tcPr>
            <w:tcW w:type="dxa" w:w="18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40" w:lineRule="auto"/>
            </w:pPr>
            <w:r/>
            <w:r>
              <w:rPr>
                <w:rFonts w:ascii="Aptos" w:hAnsi="Aptos"/>
                <w:b/>
                <w:i w:val="0"/>
                <w:color w:val="222222"/>
                <w:sz w:val="16"/>
              </w:rPr>
              <w:t>Deal assumptions</w:t>
            </w:r>
          </w:p>
        </w:tc>
        <w:tc>
          <w:tcPr>
            <w:tcW w:type="dxa" w:w="496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40" w:lineRule="auto"/>
            </w:pPr>
            <w:r/>
            <w:r>
              <w:rPr>
                <w:rFonts w:ascii="Aptos" w:hAnsi="Aptos"/>
                <w:b w:val="0"/>
                <w:i w:val="0"/>
                <w:color w:val="222222"/>
                <w:sz w:val="16"/>
              </w:rPr>
              <w:t>Values entered in the workspace or supplied in the strict one-row underwriting CSV. These include purchase price, closing costs, income, expenses, vacancy, growth, debt terms, hold period, exit assumptions, target IRR, and DSCR.</w:t>
            </w:r>
          </w:p>
        </w:tc>
        <w:tc>
          <w:tcPr>
            <w:tcW w:type="dxa" w:w="2347"/>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40" w:lineRule="auto"/>
            </w:pPr>
            <w:r/>
            <w:r>
              <w:rPr>
                <w:rFonts w:ascii="Aptos" w:hAnsi="Aptos"/>
                <w:b w:val="0"/>
                <w:i w:val="0"/>
                <w:color w:val="222222"/>
                <w:sz w:val="16"/>
              </w:rPr>
              <w:t>Each saved assumption version records a source or document reference, effective date, confidence level, property type, and value bucket. The source is an analyst declaration and should point to the underlying OM, rent roll, public record, lender quote, or analyst estimate.</w:t>
            </w:r>
          </w:p>
        </w:tc>
      </w:tr>
      <w:tr>
        <w:tc>
          <w:tcPr>
            <w:tcW w:type="dxa" w:w="18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4F8F6"/>
          </w:tcPr>
          <w:p>
            <w:pPr>
              <w:spacing w:after="0" w:line="240" w:lineRule="auto"/>
            </w:pPr>
            <w:r/>
            <w:r>
              <w:rPr>
                <w:rFonts w:ascii="Aptos" w:hAnsi="Aptos"/>
                <w:b/>
                <w:i w:val="0"/>
                <w:color w:val="222222"/>
                <w:sz w:val="16"/>
              </w:rPr>
              <w:t>Market calibration upload</w:t>
            </w:r>
          </w:p>
        </w:tc>
        <w:tc>
          <w:tcPr>
            <w:tcW w:type="dxa" w:w="496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4F8F6"/>
          </w:tcPr>
          <w:p>
            <w:pPr>
              <w:spacing w:after="0" w:line="240" w:lineRule="auto"/>
            </w:pPr>
            <w:r/>
            <w:r>
              <w:rPr>
                <w:rFonts w:ascii="Aptos" w:hAnsi="Aptos"/>
                <w:b w:val="0"/>
                <w:i w:val="0"/>
                <w:color w:val="222222"/>
                <w:sz w:val="16"/>
              </w:rPr>
              <w:t>An analyst may upload aggregate periodic history for rent growth, exit cap rate, vacancy, expense growth, and interest rate. The file is used only to calculate correlations and P10 P50 P90 ranges for the selected property type and value bucket.</w:t>
            </w:r>
          </w:p>
        </w:tc>
        <w:tc>
          <w:tcPr>
            <w:tcW w:type="dxa" w:w="2347"/>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4F8F6"/>
          </w:tcPr>
          <w:p>
            <w:pPr>
              <w:spacing w:after="0" w:line="240" w:lineRule="auto"/>
            </w:pPr>
            <w:r/>
            <w:r>
              <w:rPr>
                <w:rFonts w:ascii="Aptos" w:hAnsi="Aptos"/>
                <w:b w:val="0"/>
                <w:i w:val="0"/>
                <w:color w:val="222222"/>
                <w:sz w:val="16"/>
              </w:rPr>
              <w:t>The user must provide a source label and source as-of or pull date. The raw file is not retained; a saved simulation retains the resulting coefficients, segment, period range, count, source label, and source date.</w:t>
            </w:r>
          </w:p>
        </w:tc>
      </w:tr>
      <w:tr>
        <w:tc>
          <w:tcPr>
            <w:tcW w:type="dxa" w:w="18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40" w:lineRule="auto"/>
            </w:pPr>
            <w:r/>
            <w:r>
              <w:rPr>
                <w:rFonts w:ascii="Aptos" w:hAnsi="Aptos"/>
                <w:b/>
                <w:i w:val="0"/>
                <w:color w:val="222222"/>
                <w:sz w:val="16"/>
              </w:rPr>
              <w:t>External and licensed data</w:t>
            </w:r>
          </w:p>
        </w:tc>
        <w:tc>
          <w:tcPr>
            <w:tcW w:type="dxa" w:w="496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40" w:lineRule="auto"/>
            </w:pPr>
            <w:r/>
            <w:r>
              <w:rPr>
                <w:rFonts w:ascii="Aptos" w:hAnsi="Aptos"/>
                <w:b w:val="0"/>
                <w:i w:val="0"/>
                <w:color w:val="222222"/>
                <w:sz w:val="16"/>
              </w:rPr>
              <w:t>None are embedded or called by this release. There are no CoStar comps, CoStar API calls, public API calls, or automatically pulled property records in the application.</w:t>
            </w:r>
          </w:p>
        </w:tc>
        <w:tc>
          <w:tcPr>
            <w:tcW w:type="dxa" w:w="2347"/>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40" w:lineRule="auto"/>
            </w:pPr>
            <w:r/>
            <w:r>
              <w:rPr>
                <w:rFonts w:ascii="Aptos" w:hAnsi="Aptos"/>
                <w:b w:val="0"/>
                <w:i w:val="0"/>
                <w:color w:val="222222"/>
                <w:sz w:val="16"/>
              </w:rPr>
              <w:t>No pull dates apply. If an analyst uploads a licensed export or public record, it remains analyst-supplied data and should be identified by its actual provider and date.</w:t>
            </w:r>
          </w:p>
        </w:tc>
      </w:tr>
      <w:tr>
        <w:tc>
          <w:tcPr>
            <w:tcW w:type="dxa" w:w="182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4F8F6"/>
          </w:tcPr>
          <w:p>
            <w:pPr>
              <w:spacing w:after="0" w:line="240" w:lineRule="auto"/>
            </w:pPr>
            <w:r/>
            <w:r>
              <w:rPr>
                <w:rFonts w:ascii="Aptos" w:hAnsi="Aptos"/>
                <w:b/>
                <w:i w:val="0"/>
                <w:color w:val="222222"/>
                <w:sz w:val="16"/>
              </w:rPr>
              <w:t>Illustrative defaults templates and tests</w:t>
            </w:r>
          </w:p>
        </w:tc>
        <w:tc>
          <w:tcPr>
            <w:tcW w:type="dxa" w:w="4968"/>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4F8F6"/>
          </w:tcPr>
          <w:p>
            <w:pPr>
              <w:spacing w:after="0" w:line="240" w:lineRule="auto"/>
            </w:pPr>
            <w:r/>
            <w:r>
              <w:rPr>
                <w:rFonts w:ascii="Aptos" w:hAnsi="Aptos"/>
                <w:b w:val="0"/>
                <w:i w:val="0"/>
                <w:color w:val="222222"/>
                <w:sz w:val="16"/>
              </w:rPr>
              <w:t>The opening form values, underwriting CSV template, market-calibration CSV template, and automated-test data are synthetic examples. Examples include a $1.0 million purchase price, 60 percent LTV, 5 percent interest, and 5 percent vacancy.</w:t>
            </w:r>
          </w:p>
        </w:tc>
        <w:tc>
          <w:tcPr>
            <w:tcW w:type="dxa" w:w="2347"/>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4F8F6"/>
          </w:tcPr>
          <w:p>
            <w:pPr>
              <w:spacing w:after="0" w:line="240" w:lineRule="auto"/>
            </w:pPr>
            <w:r/>
            <w:r>
              <w:rPr>
                <w:rFonts w:ascii="Aptos" w:hAnsi="Aptos"/>
                <w:b w:val="0"/>
                <w:i w:val="0"/>
                <w:color w:val="222222"/>
                <w:sz w:val="16"/>
              </w:rPr>
              <w:t>These are not market observations or comps. They have no source date and must be replaced or explicitly labeled as estimates before a decision is evaluated.</w:t>
            </w:r>
          </w:p>
        </w:tc>
      </w:tr>
    </w:tbl>
    <w:p>
      <w:pPr>
        <w:pStyle w:val="Heading1"/>
        <w:keepNext/>
        <w:pageBreakBefore w:val="0"/>
        <w:spacing w:before="160" w:after="60" w:line="240" w:lineRule="auto"/>
      </w:pPr>
      <w:r>
        <w:rPr>
          <w:rFonts w:ascii="Aptos" w:hAnsi="Aptos"/>
          <w:b/>
          <w:i w:val="0"/>
          <w:color w:val="000000"/>
          <w:sz w:val="20"/>
        </w:rPr>
        <w:t>Plain English Method</w:t>
      </w:r>
    </w:p>
    <w:p>
      <w:pPr>
        <w:keepNext w:val="0"/>
        <w:spacing w:after="100" w:line="250" w:lineRule="auto"/>
      </w:pPr>
      <w:r>
        <w:rPr>
          <w:rFonts w:ascii="Aptos" w:hAnsi="Aptos"/>
          <w:b w:val="0"/>
          <w:i w:val="0"/>
          <w:color w:val="222222"/>
          <w:sz w:val="18"/>
        </w:rPr>
        <w:t>The tool turns a proposed acquisition into a year-by-year financial story. It starts with potential income, applies vacancy, grows income and expenses, and calculates annual net operating income. It then applies the loan payment and loan balance, estimates a sale at the end of the hold using the exit cap rate, subtracts selling costs and the remaining loan payoff, and follows the cash that is available to equity investors.</w:t>
      </w:r>
    </w:p>
    <w:p>
      <w:pPr>
        <w:keepNext w:val="0"/>
        <w:spacing w:after="100" w:line="250" w:lineRule="auto"/>
      </w:pPr>
      <w:r>
        <w:rPr>
          <w:rFonts w:ascii="Aptos" w:hAnsi="Aptos"/>
          <w:b w:val="0"/>
          <w:i w:val="0"/>
          <w:color w:val="222222"/>
          <w:sz w:val="18"/>
        </w:rPr>
        <w:t>From those cash flows, it calculates levered IRR, equity multiple, cash-on-cash, and DSCR. The reverse-price solver repeatedly tests purchase prices within an analyst-selected range and reports the maximum price that still meets the target return and DSCR constraints. The output is a decision aid, not a valuation opinion or a promise of future performance.</w:t>
      </w:r>
    </w:p>
    <w:p>
      <w:pPr>
        <w:pStyle w:val="Heading1"/>
        <w:keepNext/>
        <w:pageBreakBefore/>
        <w:spacing w:before="160" w:after="60" w:line="240" w:lineRule="auto"/>
      </w:pPr>
      <w:r>
        <w:rPr>
          <w:rFonts w:ascii="Aptos" w:hAnsi="Aptos"/>
          <w:b/>
          <w:i w:val="0"/>
          <w:color w:val="000000"/>
          <w:sz w:val="20"/>
        </w:rPr>
        <w:t>How Risk Analysis Uses the Money Bucket</w:t>
      </w:r>
    </w:p>
    <w:p>
      <w:pPr>
        <w:keepNext w:val="0"/>
        <w:spacing w:after="100" w:line="250" w:lineRule="auto"/>
      </w:pPr>
      <w:r>
        <w:rPr>
          <w:rFonts w:ascii="Aptos" w:hAnsi="Aptos"/>
          <w:b w:val="0"/>
          <w:i w:val="0"/>
          <w:color w:val="222222"/>
          <w:sz w:val="18"/>
        </w:rPr>
        <w:t>The value bucket is a filter, not a price opinion. It selects which rows of the analyst-uploaded market history are used for correlation and range calculations. It does not directly change a deal's cash flow or IRR, and it is not a proxy for a comparable-sale adjustment. After a calibration is loaded, the simulation centers its ranges on the deal's own base assumptions and uses the selected segment only to size the uncertainty and show which drivers historically moved together.</w:t>
      </w:r>
    </w:p>
    <w:p>
      <w:pPr>
        <w:keepNext w:val="0"/>
        <w:spacing w:after="100" w:line="250" w:lineRule="auto"/>
      </w:pPr>
      <w:r>
        <w:rPr>
          <w:rFonts w:ascii="Aptos" w:hAnsi="Aptos"/>
          <w:b w:val="0"/>
          <w:i w:val="0"/>
          <w:color w:val="222222"/>
          <w:sz w:val="18"/>
        </w:rPr>
        <w:t>For clarity, the tool shows two different kinds of risk output. The simulation reports the observed association of sampled drivers with IRR and cumulative operating cash flow. Separately, it performs a controlled one-driver-at-a-time calculation and reports the change in cash flow and IRR for a 100-basis-point move. These are deal-specific explanatory measures, not claims that one market variable causes another.</w:t>
      </w:r>
    </w:p>
    <w:p>
      <w:pPr>
        <w:pStyle w:val="Heading1"/>
        <w:keepNext/>
        <w:pageBreakBefore w:val="0"/>
        <w:spacing w:before="160" w:after="60" w:line="240" w:lineRule="auto"/>
      </w:pPr>
      <w:r>
        <w:rPr>
          <w:rFonts w:ascii="Aptos" w:hAnsi="Aptos"/>
          <w:b/>
          <w:i w:val="0"/>
          <w:color w:val="000000"/>
          <w:sz w:val="20"/>
        </w:rPr>
        <w:t>Controls Edge Cases and Current Scope</w:t>
      </w:r>
    </w:p>
    <w:p>
      <w:pPr>
        <w:spacing w:after="40" w:line="245" w:lineRule="auto"/>
        <w:ind w:left="230" w:hanging="173"/>
      </w:pPr>
      <w:r>
        <w:rPr>
          <w:rFonts w:ascii="Aptos" w:hAnsi="Aptos"/>
          <w:b w:val="0"/>
          <w:i w:val="0"/>
          <w:color w:val="1B5E4B"/>
          <w:sz w:val="17"/>
        </w:rPr>
        <w:t xml:space="preserve">• </w:t>
      </w:r>
      <w:r>
        <w:rPr>
          <w:rFonts w:ascii="Aptos" w:hAnsi="Aptos"/>
          <w:b/>
          <w:i w:val="0"/>
          <w:color w:val="222222"/>
          <w:sz w:val="17"/>
        </w:rPr>
        <w:t xml:space="preserve">Input checks. </w:t>
      </w:r>
      <w:r>
        <w:rPr>
          <w:rFonts w:ascii="Aptos" w:hAnsi="Aptos"/>
          <w:b w:val="0"/>
          <w:i w:val="0"/>
          <w:color w:val="222222"/>
          <w:sz w:val="17"/>
        </w:rPr>
        <w:t>The API rejects invalid ranges and incomplete inputs. The underwriting CSV requires the exact template headers and one complete row. Market history must be UTF-8, use the exact headers, match the selected segment, and include at least eight complete periods; the interface warns that fewer than twenty periods provide a thin sample.</w:t>
      </w:r>
    </w:p>
    <w:p>
      <w:pPr>
        <w:spacing w:after="40" w:line="245" w:lineRule="auto"/>
        <w:ind w:left="230" w:hanging="173"/>
      </w:pPr>
      <w:r>
        <w:rPr>
          <w:rFonts w:ascii="Aptos" w:hAnsi="Aptos"/>
          <w:b w:val="0"/>
          <w:i w:val="0"/>
          <w:color w:val="1B5E4B"/>
          <w:sz w:val="17"/>
        </w:rPr>
        <w:t xml:space="preserve">• </w:t>
      </w:r>
      <w:r>
        <w:rPr>
          <w:rFonts w:ascii="Aptos" w:hAnsi="Aptos"/>
          <w:b/>
          <w:i w:val="0"/>
          <w:color w:val="222222"/>
          <w:sz w:val="17"/>
        </w:rPr>
        <w:t xml:space="preserve">Financial edge cases. </w:t>
      </w:r>
      <w:r>
        <w:rPr>
          <w:rFonts w:ascii="Aptos" w:hAnsi="Aptos"/>
          <w:b w:val="0"/>
          <w:i w:val="0"/>
          <w:color w:val="222222"/>
          <w:sz w:val="17"/>
        </w:rPr>
        <w:t>The engine supports all-cash transactions and reports debt metrics as not applicable. It rejects invalid debt schedules and ambiguous cash-flow streams with more than one valid IRR rather than silently choosing a misleading result. Negative operating cash flow and refinance shortfalls are modeled as additional equity where applicable.</w:t>
      </w:r>
    </w:p>
    <w:p>
      <w:pPr>
        <w:spacing w:after="40" w:line="245" w:lineRule="auto"/>
        <w:ind w:left="230" w:hanging="173"/>
      </w:pPr>
      <w:r>
        <w:rPr>
          <w:rFonts w:ascii="Aptos" w:hAnsi="Aptos"/>
          <w:b w:val="0"/>
          <w:i w:val="0"/>
          <w:color w:val="1B5E4B"/>
          <w:sz w:val="17"/>
        </w:rPr>
        <w:t xml:space="preserve">• </w:t>
      </w:r>
      <w:r>
        <w:rPr>
          <w:rFonts w:ascii="Aptos" w:hAnsi="Aptos"/>
          <w:b/>
          <w:i w:val="0"/>
          <w:color w:val="222222"/>
          <w:sz w:val="17"/>
        </w:rPr>
        <w:t xml:space="preserve">Charter scope checked. </w:t>
      </w:r>
      <w:r>
        <w:rPr>
          <w:rFonts w:ascii="Aptos" w:hAnsi="Aptos"/>
          <w:b w:val="0"/>
          <w:i w:val="0"/>
          <w:color w:val="222222"/>
          <w:sz w:val="17"/>
        </w:rPr>
        <w:t>The current release includes the core 5 to 10 year pro forma, debt and disposition mechanics, return measures, maximum-price solver, one-way sensitivities, explainable risk flags, immutable version and run history, and CSV interchange. It also includes advanced sensitivity, seeded Monte Carlo, waterfall, construction, development, and export workflows. On October 21 2026, the repository test suite completed 63 tests and the frontend lint and production build completed successfully.</w:t>
      </w:r>
    </w:p>
    <w:p>
      <w:pPr>
        <w:spacing w:after="40" w:line="245" w:lineRule="auto"/>
        <w:ind w:left="230" w:hanging="173"/>
      </w:pPr>
      <w:r>
        <w:rPr>
          <w:rFonts w:ascii="Aptos" w:hAnsi="Aptos"/>
          <w:b w:val="0"/>
          <w:i w:val="0"/>
          <w:color w:val="1B5E4B"/>
          <w:sz w:val="17"/>
        </w:rPr>
        <w:t xml:space="preserve">• </w:t>
      </w:r>
      <w:r>
        <w:rPr>
          <w:rFonts w:ascii="Aptos" w:hAnsi="Aptos"/>
          <w:b/>
          <w:i w:val="0"/>
          <w:color w:val="222222"/>
          <w:sz w:val="17"/>
        </w:rPr>
        <w:t xml:space="preserve">Limitations. </w:t>
      </w:r>
      <w:r>
        <w:rPr>
          <w:rFonts w:ascii="Aptos" w:hAnsi="Aptos"/>
          <w:b w:val="0"/>
          <w:i w:val="0"/>
          <w:color w:val="222222"/>
          <w:sz w:val="17"/>
        </w:rPr>
        <w:t>The application does not independently verify a source label, pull date, uploaded history, broker statement, or analyst estimate. It should be used with source documents, review of the underlying assumptions, and appropriate professional judgment. It is educational software and not financial, investment, legal, accounting, or tax advice.</w:t>
      </w:r>
    </w:p>
    <w:sectPr w:rsidR="00FC693F" w:rsidRPr="0006063C" w:rsidSect="00034616">
      <w:footerReference w:type="default" r:id="rId9"/>
      <w:pgSz w:w="12240" w:h="15840"/>
      <w:pgMar w:top="835" w:right="922" w:bottom="79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b w:val="0"/>
        <w:i w:val="0"/>
        <w:color w:val="666666"/>
        <w:sz w:val="15"/>
      </w:rPr>
      <w:t>CRE Underwriting Source and Methodology Memo | October 21 2026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 Underwriting Source and Methodology Memo</dc:title>
  <dc:subject>Data sources methodology and credibility controls</dc:subject>
  <dc:creator>CRE Underwriting App</dc:creator>
  <cp:keywords/>
  <dc:description/>
  <cp:lastModifiedBy/>
  <cp:revision>1</cp:revision>
  <dcterms:created xsi:type="dcterms:W3CDTF">2013-12-23T23:15:00Z</dcterms:created>
  <dcterms:modified xsi:type="dcterms:W3CDTF">2013-12-23T23:15:00Z</dcterms:modified>
  <cp:category/>
</cp:coreProperties>
</file>