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5712" w14:textId="77777777" w:rsidR="008467B0" w:rsidRDefault="00BF3579">
      <w:pPr>
        <w:spacing w:line="240" w:lineRule="auto"/>
        <w:jc w:val="center"/>
      </w:pPr>
      <w:r>
        <w:rPr>
          <w:rFonts w:eastAsia="??"/>
          <w:b/>
          <w:sz w:val="32"/>
        </w:rPr>
        <w:t>稳定双镜法布里</w:t>
      </w:r>
      <w:r>
        <w:rPr>
          <w:rFonts w:eastAsia="??"/>
          <w:b/>
          <w:sz w:val="32"/>
        </w:rPr>
        <w:t>-</w:t>
      </w:r>
      <w:r>
        <w:rPr>
          <w:rFonts w:eastAsia="??"/>
          <w:b/>
          <w:sz w:val="32"/>
        </w:rPr>
        <w:t>珀罗腔中拉盖尔</w:t>
      </w:r>
      <w:r>
        <w:rPr>
          <w:rFonts w:eastAsia="??"/>
          <w:b/>
          <w:sz w:val="32"/>
        </w:rPr>
        <w:t>-</w:t>
      </w:r>
      <w:r>
        <w:rPr>
          <w:rFonts w:eastAsia="??"/>
          <w:b/>
          <w:sz w:val="32"/>
        </w:rPr>
        <w:t>高斯模式分束的统一设计框架及误差机理</w:t>
      </w:r>
    </w:p>
    <w:p w14:paraId="340F3265" w14:textId="77777777" w:rsidR="008467B0" w:rsidRDefault="00BF3579">
      <w:pPr>
        <w:spacing w:after="40" w:line="240" w:lineRule="auto"/>
        <w:jc w:val="center"/>
      </w:pPr>
      <w:r>
        <w:rPr>
          <w:rFonts w:eastAsia="??"/>
          <w:sz w:val="21"/>
        </w:rPr>
        <w:t>作者姓名</w:t>
      </w:r>
      <w:r>
        <w:rPr>
          <w:rFonts w:eastAsia="??"/>
          <w:sz w:val="21"/>
        </w:rPr>
        <w:t>1</w:t>
      </w:r>
      <w:r>
        <w:rPr>
          <w:rFonts w:eastAsia="??"/>
          <w:sz w:val="21"/>
        </w:rPr>
        <w:t>，作者姓名</w:t>
      </w:r>
      <w:r>
        <w:rPr>
          <w:rFonts w:eastAsia="??"/>
          <w:sz w:val="21"/>
        </w:rPr>
        <w:t>2†</w:t>
      </w:r>
      <w:r>
        <w:rPr>
          <w:rFonts w:eastAsia="??"/>
          <w:sz w:val="21"/>
        </w:rPr>
        <w:t>，通讯作者</w:t>
      </w:r>
      <w:r>
        <w:rPr>
          <w:rFonts w:eastAsia="??"/>
          <w:sz w:val="21"/>
        </w:rPr>
        <w:t>‡</w:t>
      </w:r>
      <w:r>
        <w:rPr>
          <w:rFonts w:eastAsia="??"/>
          <w:sz w:val="21"/>
        </w:rPr>
        <w:t>（待补充）</w:t>
      </w:r>
    </w:p>
    <w:p w14:paraId="460D12E6" w14:textId="77777777" w:rsidR="008467B0" w:rsidRDefault="00BF3579">
      <w:pPr>
        <w:spacing w:after="0" w:line="240" w:lineRule="auto"/>
        <w:jc w:val="center"/>
      </w:pPr>
      <w:r>
        <w:rPr>
          <w:rFonts w:eastAsia="??"/>
          <w:sz w:val="18"/>
        </w:rPr>
        <w:t xml:space="preserve">1. </w:t>
      </w:r>
      <w:r>
        <w:rPr>
          <w:rFonts w:eastAsia="??"/>
          <w:sz w:val="18"/>
        </w:rPr>
        <w:t>单位信息待补充，城市，邮编</w:t>
      </w:r>
    </w:p>
    <w:p w14:paraId="7E9AE2F5" w14:textId="77777777" w:rsidR="008467B0" w:rsidRDefault="00BF3579">
      <w:pPr>
        <w:spacing w:after="160" w:line="240" w:lineRule="auto"/>
        <w:jc w:val="center"/>
      </w:pPr>
      <w:r>
        <w:rPr>
          <w:rFonts w:eastAsia="??"/>
          <w:sz w:val="18"/>
        </w:rPr>
        <w:t xml:space="preserve">2. </w:t>
      </w:r>
      <w:r>
        <w:rPr>
          <w:rFonts w:eastAsia="??"/>
          <w:sz w:val="18"/>
        </w:rPr>
        <w:t>单位信息待补充，城市，邮编</w:t>
      </w:r>
    </w:p>
    <w:p w14:paraId="1701D64E" w14:textId="77777777" w:rsidR="008467B0" w:rsidRDefault="00BF3579">
      <w:pPr>
        <w:spacing w:after="80" w:line="240" w:lineRule="auto"/>
        <w:jc w:val="both"/>
      </w:pPr>
      <w:r>
        <w:rPr>
          <w:rFonts w:eastAsia="??"/>
          <w:sz w:val="21"/>
        </w:rPr>
        <w:t>摘要：法布里</w:t>
      </w:r>
      <w:r>
        <w:rPr>
          <w:rFonts w:eastAsia="??"/>
          <w:sz w:val="21"/>
        </w:rPr>
        <w:t>-</w:t>
      </w:r>
      <w:r>
        <w:rPr>
          <w:rFonts w:eastAsia="??"/>
          <w:sz w:val="21"/>
        </w:rPr>
        <w:t>珀罗（</w:t>
      </w:r>
      <w:r>
        <w:rPr>
          <w:rFonts w:eastAsia="??"/>
          <w:sz w:val="21"/>
        </w:rPr>
        <w:t>Fabry-Perot, FP</w:t>
      </w:r>
      <w:r>
        <w:rPr>
          <w:rFonts w:eastAsia="??"/>
          <w:sz w:val="21"/>
        </w:rPr>
        <w:t>）腔可利用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相位依赖共振实现拉盖尔</w:t>
      </w:r>
      <w:r>
        <w:rPr>
          <w:rFonts w:eastAsia="??"/>
          <w:sz w:val="21"/>
        </w:rPr>
        <w:t>-</w:t>
      </w:r>
      <w:r>
        <w:rPr>
          <w:rFonts w:eastAsia="??"/>
          <w:sz w:val="21"/>
        </w:rPr>
        <w:t>高斯（</w:t>
      </w:r>
      <w:r>
        <w:rPr>
          <w:rFonts w:eastAsia="??"/>
          <w:sz w:val="21"/>
        </w:rPr>
        <w:t>Laguerre-Gaussian, LG</w:t>
      </w:r>
      <w:r>
        <w:rPr>
          <w:rFonts w:eastAsia="??"/>
          <w:sz w:val="21"/>
        </w:rPr>
        <w:t>）模式的保态频谱分束。稳定各向同性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腔的横模共振位置由横模阶数</w:t>
      </w:r>
      <w:r>
        <w:rPr>
          <w:rFonts w:eastAsia="??"/>
          <w:sz w:val="21"/>
        </w:rPr>
        <w:t xml:space="preserve"> $N=2p+|l|+1$ </w:t>
      </w:r>
      <w:r>
        <w:rPr>
          <w:rFonts w:eastAsia="??"/>
          <w:sz w:val="21"/>
        </w:rPr>
        <w:t>决定，单腔频谱响应对应按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的模式组选通。本文以有效归一化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步长</w:t>
      </w:r>
      <w:r>
        <w:rPr>
          <w:rFonts w:eastAsia="??"/>
          <w:sz w:val="21"/>
        </w:rPr>
        <w:t xml:space="preserve"> $k_{\mathrm{eff}}$ </w:t>
      </w:r>
      <w:r>
        <w:rPr>
          <w:rFonts w:eastAsia="??"/>
          <w:sz w:val="21"/>
        </w:rPr>
        <w:t>为统一参数，给出稳定双镜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腔中的折叠谱设计方法，并推导平凹腔、对称双凹腔和一般稳定两镜腔的几何回代关系。对于连续模式组</w:t>
      </w:r>
      <w:r>
        <w:rPr>
          <w:rFonts w:eastAsia="??"/>
          <w:sz w:val="21"/>
        </w:rPr>
        <w:t xml:space="preserve"> $S_M=\{1,2,\ldots,M\}$</w:t>
      </w:r>
      <w:r>
        <w:rPr>
          <w:rFonts w:eastAsia="??"/>
          <w:sz w:val="21"/>
        </w:rPr>
        <w:t>，最优排布满足</w:t>
      </w:r>
      <w:r>
        <w:rPr>
          <w:rFonts w:eastAsia="??"/>
          <w:sz w:val="21"/>
        </w:rPr>
        <w:t xml:space="preserve"> $k^\*=m/M$ </w:t>
      </w:r>
      <w:r>
        <w:rPr>
          <w:rFonts w:eastAsia="??"/>
          <w:sz w:val="21"/>
        </w:rPr>
        <w:t>且</w:t>
      </w:r>
      <w:r>
        <w:rPr>
          <w:rFonts w:eastAsia="??"/>
          <w:sz w:val="21"/>
        </w:rPr>
        <w:t xml:space="preserve"> $\gcd(m,M)=1$</w:t>
      </w:r>
      <w:r>
        <w:rPr>
          <w:rFonts w:eastAsia="??"/>
          <w:sz w:val="21"/>
        </w:rPr>
        <w:t>，最小圆周间距为</w:t>
      </w:r>
      <w:r>
        <w:rPr>
          <w:rFonts w:eastAsia="??"/>
          <w:sz w:val="21"/>
        </w:rPr>
        <w:t xml:space="preserve"> $s_{\min}=1/M$</w:t>
      </w:r>
      <w:r>
        <w:rPr>
          <w:rFonts w:eastAsia="??"/>
          <w:sz w:val="21"/>
        </w:rPr>
        <w:t>，其层级结构可由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邻分数骨架组织。在此基础上，周期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透射函数给出有限维串扰求和、条件概率、分选成功率</w:t>
      </w:r>
      <w:r>
        <w:rPr>
          <w:rFonts w:eastAsia="??"/>
          <w:sz w:val="21"/>
        </w:rPr>
        <w:t xml:space="preserve"> $\eta_{\mathrm{sort}}$</w:t>
      </w:r>
      <w:r>
        <w:rPr>
          <w:rFonts w:eastAsia="??"/>
          <w:sz w:val="21"/>
        </w:rPr>
        <w:t>、串扰指标</w:t>
      </w:r>
      <w:r>
        <w:rPr>
          <w:rFonts w:eastAsia="??"/>
          <w:sz w:val="21"/>
        </w:rPr>
        <w:t xml:space="preserve"> $ER_{\mathrm{sum}}$ </w:t>
      </w:r>
      <w:r>
        <w:rPr>
          <w:rFonts w:eastAsia="??"/>
          <w:sz w:val="21"/>
        </w:rPr>
        <w:t>以及容量边界。以</w:t>
      </w:r>
      <w:r>
        <w:rPr>
          <w:rFonts w:eastAsia="??"/>
          <w:sz w:val="21"/>
        </w:rPr>
        <w:t xml:space="preserve"> $M=9$</w:t>
      </w:r>
      <w:r>
        <w:rPr>
          <w:rFonts w:eastAsia="??"/>
          <w:sz w:val="21"/>
        </w:rPr>
        <w:t>、</w:t>
      </w:r>
      <w:r>
        <w:rPr>
          <w:rFonts w:eastAsia="??"/>
          <w:sz w:val="21"/>
        </w:rPr>
        <w:t>$F=32.21$</w:t>
      </w:r>
      <w:r>
        <w:rPr>
          <w:rFonts w:eastAsia="??"/>
          <w:sz w:val="21"/>
        </w:rPr>
        <w:t>、</w:t>
      </w:r>
      <w:r>
        <w:rPr>
          <w:rFonts w:eastAsia="??"/>
          <w:sz w:val="21"/>
        </w:rPr>
        <w:t xml:space="preserve">$k=2/9$ </w:t>
      </w:r>
      <w:r>
        <w:rPr>
          <w:rFonts w:eastAsia="??"/>
          <w:sz w:val="21"/>
        </w:rPr>
        <w:t>为例，理论计算得到</w:t>
      </w:r>
      <w:r>
        <w:rPr>
          <w:rFonts w:eastAsia="??"/>
          <w:sz w:val="21"/>
        </w:rPr>
        <w:t xml:space="preserve"> $\eta_{\mathrm{sort}}=94.1166\%$</w:t>
      </w:r>
      <w:r>
        <w:rPr>
          <w:rFonts w:eastAsia="??"/>
          <w:sz w:val="21"/>
        </w:rPr>
        <w:t>，平均</w:t>
      </w:r>
      <w:r>
        <w:rPr>
          <w:rFonts w:eastAsia="??"/>
          <w:sz w:val="21"/>
        </w:rPr>
        <w:t xml:space="preserve"> $ER_{\m</w:t>
      </w:r>
      <w:r>
        <w:rPr>
          <w:rFonts w:eastAsia="??"/>
          <w:sz w:val="21"/>
        </w:rPr>
        <w:t>athrm{sum}}=12.0404\,\mathrm{dB}$</w:t>
      </w:r>
      <w:r>
        <w:rPr>
          <w:rFonts w:eastAsia="??"/>
          <w:sz w:val="21"/>
        </w:rPr>
        <w:t>。</w:t>
      </w:r>
      <w:r>
        <w:rPr>
          <w:rFonts w:eastAsia="??"/>
          <w:sz w:val="21"/>
        </w:rPr>
        <w:t xml:space="preserve">OAM </w:t>
      </w:r>
      <w:r>
        <w:rPr>
          <w:rFonts w:eastAsia="??"/>
          <w:sz w:val="21"/>
        </w:rPr>
        <w:t>连续序列对应</w:t>
      </w:r>
      <w:r>
        <w:rPr>
          <w:rFonts w:eastAsia="??"/>
          <w:sz w:val="21"/>
        </w:rPr>
        <w:t xml:space="preserve"> $p=0$</w:t>
      </w:r>
      <w:r>
        <w:rPr>
          <w:rFonts w:eastAsia="??"/>
          <w:sz w:val="21"/>
        </w:rPr>
        <w:t>、单符号</w:t>
      </w:r>
      <w:r>
        <w:rPr>
          <w:rFonts w:eastAsia="??"/>
          <w:sz w:val="21"/>
        </w:rPr>
        <w:t xml:space="preserve"> $l$ </w:t>
      </w:r>
      <w:r>
        <w:rPr>
          <w:rFonts w:eastAsia="??"/>
          <w:sz w:val="21"/>
        </w:rPr>
        <w:t>的特例；单个各向同性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腔不区分</w:t>
      </w:r>
      <w:r>
        <w:rPr>
          <w:rFonts w:eastAsia="??"/>
          <w:sz w:val="21"/>
        </w:rPr>
        <w:t xml:space="preserve"> $+l$ </w:t>
      </w:r>
      <w:r>
        <w:rPr>
          <w:rFonts w:eastAsia="??"/>
          <w:sz w:val="21"/>
        </w:rPr>
        <w:t>与</w:t>
      </w:r>
      <w:r>
        <w:rPr>
          <w:rFonts w:eastAsia="??"/>
          <w:sz w:val="21"/>
        </w:rPr>
        <w:t xml:space="preserve"> $-l$</w:t>
      </w:r>
      <w:r>
        <w:rPr>
          <w:rFonts w:eastAsia="??"/>
          <w:sz w:val="21"/>
        </w:rPr>
        <w:t>，实验频谱中的径向寄生峰可由相同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模式简并解释。</w:t>
      </w:r>
    </w:p>
    <w:p w14:paraId="3C872735" w14:textId="77777777" w:rsidR="008467B0" w:rsidRDefault="00BF3579">
      <w:pPr>
        <w:spacing w:after="80" w:line="240" w:lineRule="auto"/>
        <w:jc w:val="both"/>
      </w:pPr>
      <w:r>
        <w:rPr>
          <w:rFonts w:eastAsia="??"/>
          <w:sz w:val="21"/>
        </w:rPr>
        <w:t>关键词：法布里</w:t>
      </w:r>
      <w:r>
        <w:rPr>
          <w:rFonts w:eastAsia="??"/>
          <w:sz w:val="21"/>
        </w:rPr>
        <w:t>-</w:t>
      </w:r>
      <w:r>
        <w:rPr>
          <w:rFonts w:eastAsia="??"/>
          <w:sz w:val="21"/>
        </w:rPr>
        <w:t>珀罗腔；拉盖尔</w:t>
      </w:r>
      <w:r>
        <w:rPr>
          <w:rFonts w:eastAsia="??"/>
          <w:sz w:val="21"/>
        </w:rPr>
        <w:t>-</w:t>
      </w:r>
      <w:r>
        <w:rPr>
          <w:rFonts w:eastAsia="??"/>
          <w:sz w:val="21"/>
        </w:rPr>
        <w:t>高斯模式；</w:t>
      </w:r>
      <w:r>
        <w:rPr>
          <w:rFonts w:eastAsia="??"/>
          <w:sz w:val="21"/>
        </w:rPr>
        <w:t xml:space="preserve">Gouy </w:t>
      </w:r>
      <w:r>
        <w:rPr>
          <w:rFonts w:eastAsia="??"/>
          <w:sz w:val="21"/>
        </w:rPr>
        <w:t>相位；模式分束；</w:t>
      </w:r>
      <w:r>
        <w:rPr>
          <w:rFonts w:eastAsia="??"/>
          <w:sz w:val="21"/>
        </w:rPr>
        <w:t xml:space="preserve">Airy </w:t>
      </w:r>
      <w:r>
        <w:rPr>
          <w:rFonts w:eastAsia="??"/>
          <w:sz w:val="21"/>
        </w:rPr>
        <w:t>透射；径向寄生</w:t>
      </w:r>
    </w:p>
    <w:p w14:paraId="27F7F0ED" w14:textId="77777777" w:rsidR="008467B0" w:rsidRDefault="00BF3579">
      <w:pPr>
        <w:spacing w:after="80" w:line="240" w:lineRule="auto"/>
        <w:jc w:val="both"/>
      </w:pPr>
      <w:r>
        <w:rPr>
          <w:rFonts w:eastAsia="??"/>
          <w:sz w:val="21"/>
        </w:rPr>
        <w:t>中图分类号：待补充</w:t>
      </w:r>
      <w:r>
        <w:rPr>
          <w:rFonts w:eastAsia="??"/>
          <w:sz w:val="21"/>
        </w:rPr>
        <w:t xml:space="preserve">    </w:t>
      </w:r>
      <w:r>
        <w:rPr>
          <w:rFonts w:eastAsia="??"/>
          <w:sz w:val="21"/>
        </w:rPr>
        <w:t>文献标识码：</w:t>
      </w:r>
      <w:r>
        <w:rPr>
          <w:rFonts w:eastAsia="??"/>
          <w:sz w:val="21"/>
        </w:rPr>
        <w:t>A</w:t>
      </w:r>
    </w:p>
    <w:p w14:paraId="6DE27150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 xml:space="preserve">†E-mail: </w:t>
      </w:r>
      <w:r>
        <w:rPr>
          <w:rFonts w:eastAsia="??"/>
          <w:sz w:val="18"/>
        </w:rPr>
        <w:t>待补充</w:t>
      </w:r>
    </w:p>
    <w:p w14:paraId="2321F344" w14:textId="77777777" w:rsidR="008467B0" w:rsidRDefault="00BF3579">
      <w:pPr>
        <w:spacing w:after="160" w:line="240" w:lineRule="auto"/>
        <w:jc w:val="both"/>
      </w:pPr>
      <w:r>
        <w:rPr>
          <w:rFonts w:eastAsia="??"/>
          <w:sz w:val="18"/>
        </w:rPr>
        <w:t xml:space="preserve">‡E-mail: </w:t>
      </w:r>
      <w:r>
        <w:rPr>
          <w:rFonts w:eastAsia="??"/>
          <w:sz w:val="18"/>
        </w:rPr>
        <w:t>待补充</w:t>
      </w:r>
    </w:p>
    <w:p w14:paraId="687E2C13" w14:textId="77777777" w:rsidR="008467B0" w:rsidRDefault="00BF3579">
      <w:pPr>
        <w:spacing w:after="80" w:line="240" w:lineRule="auto"/>
        <w:jc w:val="center"/>
      </w:pPr>
      <w:r>
        <w:rPr>
          <w:rFonts w:eastAsia="??"/>
          <w:b/>
          <w:sz w:val="22"/>
        </w:rPr>
        <w:t>目录</w:t>
      </w:r>
    </w:p>
    <w:p w14:paraId="4B6DD3D5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I. </w:t>
      </w:r>
      <w:r>
        <w:rPr>
          <w:rFonts w:eastAsia="??"/>
          <w:sz w:val="21"/>
        </w:rPr>
        <w:t>引言</w:t>
      </w:r>
    </w:p>
    <w:p w14:paraId="4F6460AE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II. </w:t>
      </w:r>
      <w:r>
        <w:rPr>
          <w:rFonts w:eastAsia="??"/>
          <w:sz w:val="21"/>
        </w:rPr>
        <w:t>稳定双镜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腔的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相位折叠谱框架</w:t>
      </w:r>
    </w:p>
    <w:p w14:paraId="58DDC5EE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III. </w:t>
      </w:r>
      <w:r>
        <w:rPr>
          <w:rFonts w:eastAsia="??"/>
          <w:sz w:val="21"/>
        </w:rPr>
        <w:t>连续模式组的最小间距景观与最优排布</w:t>
      </w:r>
    </w:p>
    <w:p w14:paraId="4EFF29AE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IV. Airy </w:t>
      </w:r>
      <w:r>
        <w:rPr>
          <w:rFonts w:eastAsia="??"/>
          <w:sz w:val="21"/>
        </w:rPr>
        <w:t>透射下的有限维串扰、性能指标与容量边界</w:t>
      </w:r>
    </w:p>
    <w:p w14:paraId="2DEED978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V. OAM </w:t>
      </w:r>
      <w:r>
        <w:rPr>
          <w:rFonts w:eastAsia="??"/>
          <w:sz w:val="21"/>
        </w:rPr>
        <w:t>序列、径向寄生与卫星峰来源</w:t>
      </w:r>
    </w:p>
    <w:p w14:paraId="3F19A197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VI. </w:t>
      </w:r>
      <w:r>
        <w:rPr>
          <w:rFonts w:eastAsia="??"/>
          <w:sz w:val="21"/>
        </w:rPr>
        <w:t>结论</w:t>
      </w:r>
    </w:p>
    <w:p w14:paraId="55590541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>参考文献</w:t>
      </w:r>
    </w:p>
    <w:p w14:paraId="532B81ED" w14:textId="77777777" w:rsidR="008467B0" w:rsidRDefault="00BF3579">
      <w:r>
        <w:br w:type="page"/>
      </w:r>
    </w:p>
    <w:p w14:paraId="47244FD7" w14:textId="77777777" w:rsidR="008467B0" w:rsidRDefault="00BF3579">
      <w:pPr>
        <w:spacing w:after="160" w:line="240" w:lineRule="auto"/>
        <w:jc w:val="center"/>
      </w:pPr>
      <w:r>
        <w:rPr>
          <w:rFonts w:eastAsia="??"/>
          <w:b/>
          <w:sz w:val="28"/>
        </w:rPr>
        <w:lastRenderedPageBreak/>
        <w:t>稳定双镜法布里</w:t>
      </w:r>
      <w:r>
        <w:rPr>
          <w:rFonts w:eastAsia="??"/>
          <w:b/>
          <w:sz w:val="28"/>
        </w:rPr>
        <w:t>-</w:t>
      </w:r>
      <w:r>
        <w:rPr>
          <w:rFonts w:eastAsia="??"/>
          <w:b/>
          <w:sz w:val="28"/>
        </w:rPr>
        <w:t>珀罗腔中拉盖尔</w:t>
      </w:r>
      <w:r>
        <w:rPr>
          <w:rFonts w:eastAsia="??"/>
          <w:b/>
          <w:sz w:val="28"/>
        </w:rPr>
        <w:t>-</w:t>
      </w:r>
      <w:r>
        <w:rPr>
          <w:rFonts w:eastAsia="??"/>
          <w:b/>
          <w:sz w:val="28"/>
        </w:rPr>
        <w:t>高斯模式分束的统一设计框架及误差机理</w:t>
      </w:r>
    </w:p>
    <w:p w14:paraId="5717D6C7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I.</w:t>
      </w:r>
      <w:r>
        <w:rPr>
          <w:rFonts w:eastAsia="??"/>
          <w:b/>
          <w:sz w:val="22"/>
        </w:rPr>
        <w:t>引言</w:t>
      </w:r>
    </w:p>
    <w:p w14:paraId="48976ACE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携带轨道角动量（</w:t>
      </w:r>
      <w:r>
        <w:rPr>
          <w:rFonts w:eastAsia="??"/>
          <w:sz w:val="21"/>
        </w:rPr>
        <w:t>orbital angular momentum, OAM</w:t>
      </w:r>
      <w:r>
        <w:rPr>
          <w:rFonts w:eastAsia="??"/>
          <w:sz w:val="21"/>
        </w:rPr>
        <w:t>）的拉盖尔</w:t>
      </w:r>
      <w:r>
        <w:rPr>
          <w:rFonts w:eastAsia="??"/>
          <w:sz w:val="21"/>
        </w:rPr>
        <w:t>-</w:t>
      </w:r>
      <w:r>
        <w:rPr>
          <w:rFonts w:eastAsia="??"/>
          <w:sz w:val="21"/>
        </w:rPr>
        <w:t>高斯模式为高维光通信、空间模式复用与量子信息处理提供了重要自由度</w:t>
      </w:r>
      <w:r>
        <w:rPr>
          <w:rFonts w:eastAsia="??"/>
          <w:sz w:val="21"/>
        </w:rPr>
        <w:t>[1-8]</w:t>
      </w:r>
      <w:r>
        <w:rPr>
          <w:rFonts w:eastAsia="??"/>
          <w:sz w:val="21"/>
        </w:rPr>
        <w:t>。在这类应用中，输出端既要区分不同空间模式，也常常需要保留输入横向场的振幅与相位结构，以便继续进行干涉、路由或级联处理。现有模式分束技术包括坐标变换、多平面光转换、干涉级联和衍射光学设计等</w:t>
      </w:r>
      <w:r>
        <w:rPr>
          <w:rFonts w:eastAsia="??"/>
          <w:sz w:val="21"/>
        </w:rPr>
        <w:t>[9-13]</w:t>
      </w:r>
      <w:r>
        <w:rPr>
          <w:rFonts w:eastAsia="??"/>
          <w:sz w:val="21"/>
        </w:rPr>
        <w:t>。这些方法在模式判别和容量扩展方面已经得到广泛应用；对部分量子逻辑、相干路由和模块化空间模式处理任务而言，保态分束仍是一个独立需求</w:t>
      </w:r>
      <w:r>
        <w:rPr>
          <w:rFonts w:eastAsia="??"/>
          <w:sz w:val="21"/>
        </w:rPr>
        <w:t>[14]</w:t>
      </w:r>
      <w:r>
        <w:rPr>
          <w:rFonts w:eastAsia="??"/>
          <w:sz w:val="21"/>
        </w:rPr>
        <w:t>。</w:t>
      </w:r>
    </w:p>
    <w:p w14:paraId="73E94ADB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 xml:space="preserve">FP </w:t>
      </w:r>
      <w:r>
        <w:rPr>
          <w:rFonts w:eastAsia="??"/>
          <w:sz w:val="21"/>
        </w:rPr>
        <w:t>腔为保态模式选择提供了频谱路径。稳定腔中横模共振频率由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相位决定</w:t>
      </w:r>
      <w:r>
        <w:rPr>
          <w:rFonts w:eastAsia="??"/>
          <w:sz w:val="21"/>
        </w:rPr>
        <w:t>[15-17]</w:t>
      </w:r>
      <w:r>
        <w:rPr>
          <w:rFonts w:eastAsia="??"/>
          <w:sz w:val="21"/>
        </w:rPr>
        <w:t>，不同横向模式可在频域中被选择性透射，理想情况下横向场分布不被改变。早期研究已经讨论了高精细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</w:t>
      </w:r>
      <w:r>
        <w:rPr>
          <w:rFonts w:eastAsia="??"/>
          <w:sz w:val="21"/>
        </w:rPr>
        <w:t xml:space="preserve"> OAM </w:t>
      </w:r>
      <w:r>
        <w:rPr>
          <w:rFonts w:eastAsia="??"/>
          <w:sz w:val="21"/>
        </w:rPr>
        <w:t>模式简并和镜面效应引起的模式混合</w:t>
      </w:r>
      <w:r>
        <w:rPr>
          <w:rFonts w:eastAsia="??"/>
          <w:sz w:val="21"/>
        </w:rPr>
        <w:t>[18]</w:t>
      </w:r>
      <w:r>
        <w:rPr>
          <w:rFonts w:eastAsia="??"/>
          <w:sz w:val="21"/>
        </w:rPr>
        <w:t>。随后，基于</w:t>
      </w:r>
      <w:r>
        <w:rPr>
          <w:rFonts w:eastAsia="??"/>
          <w:sz w:val="21"/>
        </w:rPr>
        <w:t xml:space="preserve"> MEMS </w:t>
      </w:r>
      <w:r>
        <w:rPr>
          <w:rFonts w:eastAsia="??"/>
          <w:sz w:val="21"/>
        </w:rPr>
        <w:t>可调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滤波器、可调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谐振器和薄膜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滤波器的</w:t>
      </w:r>
      <w:r>
        <w:rPr>
          <w:rFonts w:eastAsia="??"/>
          <w:sz w:val="21"/>
        </w:rPr>
        <w:t xml:space="preserve"> OAM </w:t>
      </w:r>
      <w:r>
        <w:rPr>
          <w:rFonts w:eastAsia="??"/>
          <w:sz w:val="21"/>
        </w:rPr>
        <w:t>或模式组选择得到实验展示</w:t>
      </w:r>
      <w:r>
        <w:rPr>
          <w:rFonts w:eastAsia="??"/>
          <w:sz w:val="21"/>
        </w:rPr>
        <w:t>[19-23]</w:t>
      </w:r>
      <w:r>
        <w:rPr>
          <w:rFonts w:eastAsia="??"/>
          <w:sz w:val="21"/>
        </w:rPr>
        <w:t>，表明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腔可以作为空间模式频谱器件。现有研究多围绕具体器件或少数模式任务展开；面向给定目标模式集，尤其是高维连续模式组时，仍需把腔型选择、容量边界和几何鲁棒性放在同一套设计变量下处理。</w:t>
      </w:r>
    </w:p>
    <w:p w14:paraId="57E9B49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在稳定各向同性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腔中，横模共振频率的基本变量是横模阶数</w:t>
      </w:r>
    </w:p>
    <w:p w14:paraId="3BC1B03D" w14:textId="534BC4B7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N=2p+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l</m:t>
              </m:r>
            </m:e>
          </m:d>
          <m:r>
            <w:rPr>
              <w:rFonts w:ascii="Cambria Math" w:eastAsia="Cambria Math" w:hAnsi="Cambria Math"/>
              <w:sz w:val="21"/>
            </w:rPr>
            <m:t>+1 .</m:t>
          </m:r>
        </m:oMath>
      </m:oMathPara>
    </w:p>
    <w:p w14:paraId="1092F485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同一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下的不同模式（例如不同的</w:t>
      </w:r>
      <w:r>
        <w:rPr>
          <w:rFonts w:eastAsia="??"/>
          <w:sz w:val="21"/>
        </w:rPr>
        <w:t xml:space="preserve"> $p$ </w:t>
      </w:r>
      <w:r>
        <w:rPr>
          <w:rFonts w:eastAsia="??"/>
          <w:sz w:val="21"/>
        </w:rPr>
        <w:t>和</w:t>
      </w:r>
      <w:r>
        <w:rPr>
          <w:rFonts w:eastAsia="??"/>
          <w:sz w:val="21"/>
        </w:rPr>
        <w:t xml:space="preserve"> $l$ </w:t>
      </w:r>
      <w:r>
        <w:rPr>
          <w:rFonts w:eastAsia="??"/>
          <w:sz w:val="21"/>
        </w:rPr>
        <w:t>组合，以及</w:t>
      </w:r>
      <w:r>
        <w:rPr>
          <w:rFonts w:eastAsia="??"/>
          <w:sz w:val="21"/>
        </w:rPr>
        <w:t xml:space="preserve"> $+l$ </w:t>
      </w:r>
      <w:r>
        <w:rPr>
          <w:rFonts w:eastAsia="??"/>
          <w:sz w:val="21"/>
        </w:rPr>
        <w:t>与</w:t>
      </w:r>
      <w:r>
        <w:rPr>
          <w:rFonts w:eastAsia="??"/>
          <w:sz w:val="21"/>
        </w:rPr>
        <w:t xml:space="preserve"> $-l$</w:t>
      </w:r>
      <w:r>
        <w:rPr>
          <w:rFonts w:eastAsia="??"/>
          <w:sz w:val="21"/>
        </w:rPr>
        <w:t>）在理想频谱位置上简并。单个各向同性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腔因而按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对模式成组响应。</w:t>
      </w:r>
      <w:r>
        <w:rPr>
          <w:rFonts w:eastAsia="??"/>
          <w:sz w:val="21"/>
        </w:rPr>
        <w:t xml:space="preserve">LG </w:t>
      </w:r>
      <w:r>
        <w:rPr>
          <w:rFonts w:eastAsia="??"/>
          <w:sz w:val="21"/>
        </w:rPr>
        <w:t>模式分束或</w:t>
      </w:r>
      <w:r>
        <w:rPr>
          <w:rFonts w:eastAsia="??"/>
          <w:sz w:val="21"/>
        </w:rPr>
        <w:t xml:space="preserve"> OAM </w:t>
      </w:r>
      <w:r>
        <w:rPr>
          <w:rFonts w:eastAsia="??"/>
          <w:sz w:val="21"/>
        </w:rPr>
        <w:t>分选在单腔中表现为按横模阶数的模式组选通；决定分束排布的是单自由光谱范围（</w:t>
      </w:r>
      <w:r>
        <w:rPr>
          <w:rFonts w:eastAsia="??"/>
          <w:sz w:val="21"/>
        </w:rPr>
        <w:t>free spectral range, FSR</w:t>
      </w:r>
      <w:r>
        <w:rPr>
          <w:rFonts w:eastAsia="??"/>
          <w:sz w:val="21"/>
        </w:rPr>
        <w:t>）内不同横模共振位置的相对间隔，而不是某一类腔型的名称。将不同稳定双镜腔映射到有效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步长后，平凹腔、对称双凹腔和一般稳定两镜腔可用同一折叠谱描述；腔型差异则体现在有效步长到几何参数的回代关系，以及由此产生的工程鲁棒性排序。</w:t>
      </w:r>
    </w:p>
    <w:p w14:paraId="70BB5C6B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本文以有效归一化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步长</w:t>
      </w:r>
      <w:r>
        <w:rPr>
          <w:rFonts w:eastAsia="??"/>
          <w:sz w:val="21"/>
        </w:rPr>
        <w:t xml:space="preserve"> $k_{\mathrm{eff}}$ </w:t>
      </w:r>
      <w:r>
        <w:rPr>
          <w:rFonts w:eastAsia="??"/>
          <w:sz w:val="21"/>
        </w:rPr>
        <w:t>描述折叠谱排布，并把选定的</w:t>
      </w:r>
      <w:r>
        <w:rPr>
          <w:rFonts w:eastAsia="??"/>
          <w:sz w:val="21"/>
        </w:rPr>
        <w:t xml:space="preserve"> $k_{\mathrm{eff}}$ </w:t>
      </w:r>
      <w:r>
        <w:rPr>
          <w:rFonts w:eastAsia="??"/>
          <w:sz w:val="21"/>
        </w:rPr>
        <w:t>回代到平凹腔、对称双凹腔和一般稳定两镜腔的几何参数。连续模式组的排布优化由最小圆周间距给出，解析最优分支可写成</w:t>
      </w:r>
      <w:r>
        <w:rPr>
          <w:rFonts w:eastAsia="??"/>
          <w:sz w:val="21"/>
        </w:rPr>
        <w:t xml:space="preserve"> $k=m/M$</w:t>
      </w:r>
      <w:r>
        <w:rPr>
          <w:rFonts w:eastAsia="??"/>
          <w:sz w:val="21"/>
        </w:rPr>
        <w:t>，对应的层级结构用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邻分数骨架说明。有限线宽效应进一步通过周期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透射函数转化为有限维串扰求和和条件概率，从而得到分选成功率、串扰抑制指标、容量边界和大维度极限。</w:t>
      </w:r>
      <w:r>
        <w:rPr>
          <w:rFonts w:eastAsia="??"/>
          <w:sz w:val="21"/>
        </w:rPr>
        <w:t xml:space="preserve">OAM </w:t>
      </w:r>
      <w:r>
        <w:rPr>
          <w:rFonts w:eastAsia="??"/>
          <w:sz w:val="21"/>
        </w:rPr>
        <w:t>序列作为</w:t>
      </w:r>
      <w:r>
        <w:rPr>
          <w:rFonts w:eastAsia="??"/>
          <w:sz w:val="21"/>
        </w:rPr>
        <w:t xml:space="preserve"> $p=0$</w:t>
      </w:r>
      <w:r>
        <w:rPr>
          <w:rFonts w:eastAsia="??"/>
          <w:sz w:val="21"/>
        </w:rPr>
        <w:t>、单符号</w:t>
      </w:r>
      <w:r>
        <w:rPr>
          <w:rFonts w:eastAsia="??"/>
          <w:sz w:val="21"/>
        </w:rPr>
        <w:t xml:space="preserve"> $l$ </w:t>
      </w:r>
      <w:r>
        <w:rPr>
          <w:rFonts w:eastAsia="??"/>
          <w:sz w:val="21"/>
        </w:rPr>
        <w:t>的特例处理，径向寄生峰则由轴对称失配和相同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简并给出解释。</w:t>
      </w:r>
    </w:p>
    <w:p w14:paraId="5ED5675C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II.</w:t>
      </w:r>
      <w:r>
        <w:rPr>
          <w:rFonts w:eastAsia="??"/>
          <w:b/>
          <w:sz w:val="22"/>
        </w:rPr>
        <w:t>稳定双镜</w:t>
      </w:r>
      <w:r>
        <w:rPr>
          <w:rFonts w:eastAsia="??"/>
          <w:b/>
          <w:sz w:val="22"/>
        </w:rPr>
        <w:t xml:space="preserve"> FP </w:t>
      </w:r>
      <w:r>
        <w:rPr>
          <w:rFonts w:eastAsia="??"/>
          <w:b/>
          <w:sz w:val="22"/>
        </w:rPr>
        <w:t>腔的</w:t>
      </w:r>
      <w:r>
        <w:rPr>
          <w:rFonts w:eastAsia="??"/>
          <w:b/>
          <w:sz w:val="22"/>
        </w:rPr>
        <w:t xml:space="preserve"> Gouy </w:t>
      </w:r>
      <w:r>
        <w:rPr>
          <w:rFonts w:eastAsia="??"/>
          <w:b/>
          <w:sz w:val="22"/>
        </w:rPr>
        <w:t>相位折叠谱框架</w:t>
      </w:r>
    </w:p>
    <w:p w14:paraId="3BEB233E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A. </w:t>
      </w:r>
      <w:r>
        <w:rPr>
          <w:rFonts w:eastAsia="??"/>
          <w:b/>
          <w:sz w:val="21"/>
        </w:rPr>
        <w:t>横模阶数与有效</w:t>
      </w:r>
      <w:r>
        <w:rPr>
          <w:rFonts w:eastAsia="??"/>
          <w:b/>
          <w:sz w:val="21"/>
        </w:rPr>
        <w:t xml:space="preserve"> Gouy </w:t>
      </w:r>
      <w:r>
        <w:rPr>
          <w:rFonts w:eastAsia="??"/>
          <w:b/>
          <w:sz w:val="21"/>
        </w:rPr>
        <w:t>步长</w:t>
      </w:r>
    </w:p>
    <w:p w14:paraId="46B3CDCD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稳定双镜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腔中的横模共振频率可写为</w:t>
      </w:r>
    </w:p>
    <w:p w14:paraId="7AEB07DD" w14:textId="5C2C19A8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 w:hint="eastAsia"/>
                  <w:sz w:val="21"/>
                </w:rPr>
                <m:t>ν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eastAsia="Cambria Math" w:hAnsi="Cambria Math"/>
                  <w:sz w:val="21"/>
                </w:rPr>
                <m:t>q,N</m:t>
              </m:r>
            </m:sub>
          </m:sSub>
          <m:r>
            <w:rPr>
              <w:rFonts w:ascii="Cambria Math" w:eastAsia="Cambria Math" w:hAnsi="Cambria Math"/>
              <w:sz w:val="21"/>
            </w:rPr>
            <m:t>=FSR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 xml:space="preserve">q+N 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1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/>
                      <w:sz w:val="21"/>
                    </w:rPr>
                    <m:t>eff</m:t>
                  </m:r>
                </m:sub>
              </m:sSub>
            </m:e>
          </m:d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259993AF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其中</w:t>
      </w:r>
      <w:r>
        <w:rPr>
          <w:rFonts w:eastAsia="??"/>
          <w:sz w:val="21"/>
        </w:rPr>
        <w:t xml:space="preserve"> $q$ </w:t>
      </w:r>
      <w:r>
        <w:rPr>
          <w:rFonts w:eastAsia="??"/>
          <w:sz w:val="21"/>
        </w:rPr>
        <w:t>为纵模指标，</w:t>
      </w:r>
      <w:r>
        <w:rPr>
          <w:rFonts w:eastAsia="??"/>
          <w:sz w:val="21"/>
        </w:rPr>
        <w:t xml:space="preserve">$\mathrm{FSR}$ </w:t>
      </w:r>
      <w:r>
        <w:rPr>
          <w:rFonts w:eastAsia="??"/>
          <w:sz w:val="21"/>
        </w:rPr>
        <w:t>为自由光谱范围，</w:t>
      </w:r>
      <w:r>
        <w:rPr>
          <w:rFonts w:eastAsia="??"/>
          <w:sz w:val="21"/>
        </w:rPr>
        <w:t xml:space="preserve">$N=2p+|l|+1$ </w:t>
      </w:r>
      <w:r>
        <w:rPr>
          <w:rFonts w:eastAsia="??"/>
          <w:sz w:val="21"/>
        </w:rPr>
        <w:t>为</w:t>
      </w:r>
      <w:r>
        <w:rPr>
          <w:rFonts w:eastAsia="??"/>
          <w:sz w:val="21"/>
        </w:rPr>
        <w:t xml:space="preserve"> LG </w:t>
      </w:r>
      <w:r>
        <w:rPr>
          <w:rFonts w:eastAsia="??"/>
          <w:sz w:val="21"/>
        </w:rPr>
        <w:t>模式的横模阶数（</w:t>
      </w:r>
      <w:r>
        <w:rPr>
          <w:rFonts w:eastAsia="??"/>
          <w:sz w:val="21"/>
        </w:rPr>
        <w:t xml:space="preserve">$p$ </w:t>
      </w:r>
      <w:r>
        <w:rPr>
          <w:rFonts w:eastAsia="??"/>
          <w:sz w:val="21"/>
        </w:rPr>
        <w:t>为径向指标，</w:t>
      </w:r>
      <w:r>
        <w:rPr>
          <w:rFonts w:eastAsia="??"/>
          <w:sz w:val="21"/>
        </w:rPr>
        <w:t xml:space="preserve">$l$ </w:t>
      </w:r>
      <w:r>
        <w:rPr>
          <w:rFonts w:eastAsia="??"/>
          <w:sz w:val="21"/>
        </w:rPr>
        <w:t>为角向指标），</w:t>
      </w:r>
      <w:r>
        <w:rPr>
          <w:rFonts w:eastAsia="??"/>
          <w:sz w:val="21"/>
        </w:rPr>
        <w:t xml:space="preserve">$k_{\mathrm{eff}}$ </w:t>
      </w:r>
      <w:r>
        <w:rPr>
          <w:rFonts w:eastAsia="??"/>
          <w:sz w:val="21"/>
        </w:rPr>
        <w:t>为相对于一个自由光谱范围归一化后的有效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步长。对一般稳定两镜腔，</w:t>
      </w:r>
    </w:p>
    <w:p w14:paraId="0FC377B8" w14:textId="540D9930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eff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 w:val="21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sz w:val="21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  <w:sz w:val="21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e>
                      </m:rad>
                    </m:e>
                  </m:d>
                </m:e>
              </m:func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58D48AD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lastRenderedPageBreak/>
        <w:t>其中</w:t>
      </w:r>
      <w:r>
        <w:rPr>
          <w:rFonts w:eastAsia="??"/>
          <w:sz w:val="21"/>
        </w:rPr>
        <w:t xml:space="preserve"> $g_1=1-L/R_1$</w:t>
      </w:r>
      <w:r>
        <w:rPr>
          <w:rFonts w:eastAsia="??"/>
          <w:sz w:val="21"/>
        </w:rPr>
        <w:t>，</w:t>
      </w:r>
      <w:r>
        <w:rPr>
          <w:rFonts w:eastAsia="??"/>
          <w:sz w:val="21"/>
        </w:rPr>
        <w:t>$g_2=1-L/R_2$</w:t>
      </w:r>
      <w:r>
        <w:rPr>
          <w:rFonts w:eastAsia="??"/>
          <w:sz w:val="21"/>
        </w:rPr>
        <w:t>，</w:t>
      </w:r>
      <w:r>
        <w:rPr>
          <w:rFonts w:eastAsia="??"/>
          <w:sz w:val="21"/>
        </w:rPr>
        <w:t xml:space="preserve">$L$ </w:t>
      </w:r>
      <w:r>
        <w:rPr>
          <w:rFonts w:eastAsia="??"/>
          <w:sz w:val="21"/>
        </w:rPr>
        <w:t>为腔长，</w:t>
      </w:r>
      <w:r>
        <w:rPr>
          <w:rFonts w:eastAsia="??"/>
          <w:sz w:val="21"/>
        </w:rPr>
        <w:t xml:space="preserve">$R_1$ </w:t>
      </w:r>
      <w:r>
        <w:rPr>
          <w:rFonts w:eastAsia="??"/>
          <w:sz w:val="21"/>
        </w:rPr>
        <w:t>与</w:t>
      </w:r>
      <w:r>
        <w:rPr>
          <w:rFonts w:eastAsia="??"/>
          <w:sz w:val="21"/>
        </w:rPr>
        <w:t xml:space="preserve"> $R_2$ </w:t>
      </w:r>
      <w:r>
        <w:rPr>
          <w:rFonts w:eastAsia="??"/>
          <w:sz w:val="21"/>
        </w:rPr>
        <w:t>为两镜曲率半径。在稳定条件</w:t>
      </w:r>
      <w:r>
        <w:rPr>
          <w:rFonts w:eastAsia="??"/>
          <w:sz w:val="21"/>
        </w:rPr>
        <w:t xml:space="preserve"> $0&lt;g_1g_2&lt;1$ </w:t>
      </w:r>
      <w:r>
        <w:rPr>
          <w:rFonts w:eastAsia="??"/>
          <w:sz w:val="21"/>
        </w:rPr>
        <w:t>下，横模阶数每增加</w:t>
      </w:r>
      <w:r>
        <w:rPr>
          <w:rFonts w:eastAsia="??"/>
          <w:sz w:val="21"/>
        </w:rPr>
        <w:t xml:space="preserve"> 1</w:t>
      </w:r>
      <w:r>
        <w:rPr>
          <w:rFonts w:eastAsia="??"/>
          <w:sz w:val="21"/>
        </w:rPr>
        <w:t>，共振位置在归一化频率上平移</w:t>
      </w:r>
      <w:r>
        <w:rPr>
          <w:rFonts w:eastAsia="??"/>
          <w:sz w:val="21"/>
        </w:rPr>
        <w:t xml:space="preserve"> $k_{\mathrm{eff}}$</w:t>
      </w:r>
      <w:r>
        <w:rPr>
          <w:rFonts w:eastAsia="??"/>
          <w:sz w:val="21"/>
        </w:rPr>
        <w:t>。</w:t>
      </w:r>
    </w:p>
    <w:p w14:paraId="6CDF0809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将不同纵模折叠到单个自由光谱范围内后，阶数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的共振位置由</w:t>
      </w:r>
    </w:p>
    <w:p w14:paraId="4344285F" w14:textId="275DC3AA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N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 xml:space="preserve">N 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1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/>
                      <w:sz w:val="21"/>
                    </w:rPr>
                    <m:t>eff</m:t>
                  </m:r>
                </m:sub>
              </m:sSub>
            </m:e>
          </m:d>
        </m:oMath>
      </m:oMathPara>
    </w:p>
    <w:p w14:paraId="28CD9BF4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给出，其中</w:t>
      </w:r>
      <w:r>
        <w:rPr>
          <w:rFonts w:eastAsia="??"/>
          <w:sz w:val="21"/>
        </w:rPr>
        <w:t xml:space="preserve"> $\{\cdot\}$ </w:t>
      </w:r>
      <w:r>
        <w:rPr>
          <w:rFonts w:eastAsia="??"/>
          <w:sz w:val="21"/>
        </w:rPr>
        <w:t>表示取模</w:t>
      </w:r>
      <w:r>
        <w:rPr>
          <w:rFonts w:eastAsia="??"/>
          <w:sz w:val="21"/>
        </w:rPr>
        <w:t xml:space="preserve"> 1 </w:t>
      </w:r>
      <w:r>
        <w:rPr>
          <w:rFonts w:eastAsia="??"/>
          <w:sz w:val="21"/>
        </w:rPr>
        <w:t>的小数部分。模式分束的几何无关部分由这些折叠位置之间的圆周距离决定。对于给定目标模式组</w:t>
      </w:r>
      <w:r>
        <w:rPr>
          <w:rFonts w:eastAsia="??"/>
          <w:sz w:val="21"/>
        </w:rPr>
        <w:t xml:space="preserve"> $S=\{N_1,N_2,\ldots,N_M\}$</w:t>
      </w:r>
      <w:r>
        <w:rPr>
          <w:rFonts w:eastAsia="??"/>
          <w:sz w:val="21"/>
        </w:rPr>
        <w:t>，最小圆周间距为</w:t>
      </w:r>
    </w:p>
    <w:p w14:paraId="72E4B881" w14:textId="49D99DA3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 xml:space="preserve">s_(min)(k_(eff);S)= </m:t>
          </m:r>
          <m:r>
            <m:rPr>
              <m:sty m:val="p"/>
            </m:rPr>
            <w:rPr>
              <w:rFonts w:ascii="Cambria Math" w:eastAsia="Cambria Math" w:hAnsi="Cambria Math"/>
              <w:sz w:val="21"/>
            </w:rPr>
            <m:t>min⁡</m:t>
          </m:r>
          <m:r>
            <w:rPr>
              <w:rFonts w:ascii="Cambria Math" w:eastAsia="Cambria Math" w:hAnsi="Cambria Math"/>
              <w:sz w:val="21"/>
            </w:rPr>
            <m:t>_(i</m:t>
          </m:r>
          <m:r>
            <w:rPr>
              <w:rFonts w:ascii="Cambria Math" w:eastAsia="Cambria Math" w:hAnsi="Cambria Math" w:hint="eastAsia"/>
              <w:sz w:val="21"/>
            </w:rPr>
            <m:t>≠</m:t>
          </m:r>
          <m:r>
            <w:rPr>
              <w:rFonts w:ascii="Cambria Math" w:eastAsia="Cambria Math" w:hAnsi="Cambria Math"/>
              <w:sz w:val="21"/>
            </w:rPr>
            <m:t xml:space="preserve"> j)</m:t>
          </m:r>
          <m:r>
            <w:rPr>
              <w:rFonts w:ascii="Cambria Math" w:eastAsia="Cambria Math" w:hAnsi="Cambria Math" w:hint="eastAsia"/>
              <w:sz w:val="21"/>
            </w:rPr>
            <m:t>‖</m:t>
          </m:r>
          <m:r>
            <w:rPr>
              <w:rFonts w:ascii="Cambria Math" w:eastAsia="Cambria Math" w:hAnsi="Cambria Math"/>
              <w:sz w:val="21"/>
            </w:rPr>
            <m:t>k_(eff)(N_i-N_j)</m:t>
          </m:r>
          <m:r>
            <w:rPr>
              <w:rFonts w:ascii="Cambria Math" w:eastAsia="Cambria Math" w:hAnsi="Cambria Math" w:hint="eastAsia"/>
              <w:sz w:val="21"/>
            </w:rPr>
            <m:t>‖</m:t>
          </m:r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4B871709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其中</w:t>
      </w:r>
      <w:r>
        <w:rPr>
          <w:rFonts w:eastAsia="??"/>
          <w:sz w:val="21"/>
        </w:rPr>
        <w:t xml:space="preserve"> $\|x\|$ </w:t>
      </w:r>
      <w:r>
        <w:rPr>
          <w:rFonts w:eastAsia="??"/>
          <w:sz w:val="21"/>
        </w:rPr>
        <w:t>表示</w:t>
      </w:r>
      <w:r>
        <w:rPr>
          <w:rFonts w:eastAsia="??"/>
          <w:sz w:val="21"/>
        </w:rPr>
        <w:t xml:space="preserve"> $x$ </w:t>
      </w:r>
      <w:r>
        <w:rPr>
          <w:rFonts w:eastAsia="??"/>
          <w:sz w:val="21"/>
        </w:rPr>
        <w:t>到最近整数的距离。</w:t>
      </w:r>
    </w:p>
    <w:p w14:paraId="188B9CF2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上述关系把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模式分束分为两层。折叠谱设计层只依赖</w:t>
      </w:r>
      <w:r>
        <w:rPr>
          <w:rFonts w:eastAsia="??"/>
          <w:sz w:val="21"/>
        </w:rPr>
        <w:t xml:space="preserve"> $k_{\mathrm{eff}}$ </w:t>
      </w:r>
      <w:r>
        <w:rPr>
          <w:rFonts w:eastAsia="??"/>
          <w:sz w:val="21"/>
        </w:rPr>
        <w:t>与目标模式组之间的算术关系，与具体腔型无关；几何实现层则把选定的</w:t>
      </w:r>
      <w:r>
        <w:rPr>
          <w:rFonts w:eastAsia="??"/>
          <w:sz w:val="21"/>
        </w:rPr>
        <w:t xml:space="preserve"> $k_{\mathrm{eff}}$ </w:t>
      </w:r>
      <w:r>
        <w:rPr>
          <w:rFonts w:eastAsia="??"/>
          <w:sz w:val="21"/>
        </w:rPr>
        <w:t>回代为</w:t>
      </w:r>
      <w:r>
        <w:rPr>
          <w:rFonts w:eastAsia="??"/>
          <w:sz w:val="21"/>
        </w:rPr>
        <w:t xml:space="preserve"> $L/R_i$ </w:t>
      </w:r>
      <w:r>
        <w:rPr>
          <w:rFonts w:eastAsia="??"/>
          <w:sz w:val="21"/>
        </w:rPr>
        <w:t>或等价几何参数。图</w:t>
      </w:r>
      <w:r>
        <w:rPr>
          <w:rFonts w:eastAsia="??"/>
          <w:sz w:val="21"/>
        </w:rPr>
        <w:t xml:space="preserve"> 1 </w:t>
      </w:r>
      <w:r>
        <w:rPr>
          <w:rFonts w:eastAsia="??"/>
          <w:sz w:val="21"/>
        </w:rPr>
        <w:t>概括了这种双层描述。</w:t>
      </w:r>
    </w:p>
    <w:p w14:paraId="3F10C03D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B. </w:t>
      </w:r>
      <w:r>
        <w:rPr>
          <w:rFonts w:eastAsia="??"/>
          <w:b/>
          <w:sz w:val="21"/>
        </w:rPr>
        <w:t>平凹腔与对称双凹腔的几何回代</w:t>
      </w:r>
    </w:p>
    <w:p w14:paraId="00ABB33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平凹腔对应</w:t>
      </w:r>
      <w:r>
        <w:rPr>
          <w:rFonts w:eastAsia="??"/>
          <w:sz w:val="21"/>
        </w:rPr>
        <w:t xml:space="preserve"> $R_1=\infty$</w:t>
      </w:r>
      <w:r>
        <w:rPr>
          <w:rFonts w:eastAsia="??"/>
          <w:sz w:val="21"/>
        </w:rPr>
        <w:t>、</w:t>
      </w:r>
      <w:r>
        <w:rPr>
          <w:rFonts w:eastAsia="??"/>
          <w:sz w:val="21"/>
        </w:rPr>
        <w:t>$R_2=R$</w:t>
      </w:r>
      <w:r>
        <w:rPr>
          <w:rFonts w:eastAsia="??"/>
          <w:sz w:val="21"/>
        </w:rPr>
        <w:t>，此时</w:t>
      </w:r>
    </w:p>
    <w:p w14:paraId="5606EA4B" w14:textId="2D268A2D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eff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 w:val="21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R</m:t>
                              </m:r>
                            </m:den>
                          </m:f>
                        </m:e>
                      </m:rad>
                    </m:e>
                  </m:d>
                </m:e>
              </m:func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62572A9E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回代得到</w:t>
      </w:r>
    </w:p>
    <w:p w14:paraId="450ADFDE" w14:textId="42D9260D" w:rsidR="008467B0" w:rsidRDefault="0066233F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L</m:t>
              </m:r>
            </m:num>
            <m:den>
              <m:r>
                <w:rPr>
                  <w:rFonts w:ascii="Cambria Math" w:eastAsia="Cambria Math" w:hAnsi="Cambria Math"/>
                  <w:sz w:val="21"/>
                </w:rPr>
                <m:t>R</m:t>
              </m:r>
            </m:den>
          </m:f>
          <m:r>
            <w:rPr>
              <w:rFonts w:ascii="Cambria Math" w:eastAsia="Cambria Math" w:hAnsi="Cambria Math"/>
              <w:sz w:val="21"/>
            </w:rPr>
            <m:t>=</m:t>
          </m:r>
          <m:func>
            <m:func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uncPr>
            <m:fName>
              <m:sSup>
                <m:sSup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 w:val="21"/>
                    </w:rPr>
                    <m:t>sin</m:t>
                  </m:r>
                </m:e>
                <m:sup>
                  <m:r>
                    <w:rPr>
                      <w:rFonts w:ascii="Cambria Math" w:eastAsia="Cambria Math" w:hAnsi="Cambria Math"/>
                      <w:sz w:val="21"/>
                    </w:rPr>
                    <m:t>2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 xml:space="preserve">π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eff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sup>
              </m:sSup>
            </m:fName>
            <m:e/>
          </m:func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4D3B13C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对称双凹腔对应</w:t>
      </w:r>
      <w:r>
        <w:rPr>
          <w:rFonts w:eastAsia="??"/>
          <w:sz w:val="21"/>
        </w:rPr>
        <w:t xml:space="preserve"> $R_1=R_2=R$</w:t>
      </w:r>
      <w:r>
        <w:rPr>
          <w:rFonts w:eastAsia="??"/>
          <w:sz w:val="21"/>
        </w:rPr>
        <w:t>，有</w:t>
      </w:r>
    </w:p>
    <w:p w14:paraId="6E7281BF" w14:textId="70ADE225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eff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 w:val="21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39E86F0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回代得到</w:t>
      </w:r>
    </w:p>
    <w:p w14:paraId="24F83616" w14:textId="247EE7AE" w:rsidR="008467B0" w:rsidRDefault="0066233F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L</m:t>
              </m:r>
            </m:num>
            <m:den>
              <m:r>
                <w:rPr>
                  <w:rFonts w:ascii="Cambria Math" w:eastAsia="Cambria Math" w:hAnsi="Cambria Math"/>
                  <w:sz w:val="21"/>
                </w:rPr>
                <m:t>R</m:t>
              </m:r>
            </m:den>
          </m:f>
          <m:r>
            <w:rPr>
              <w:rFonts w:ascii="Cambria Math" w:eastAsia="Cambria Math" w:hAnsi="Cambria Math"/>
              <w:sz w:val="21"/>
            </w:rPr>
            <m:t>=1±</m:t>
          </m:r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/>
                  <w:sz w:val="21"/>
                </w:rPr>
                <m:t>cos</m:t>
              </m: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 xml:space="preserve">π 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eff</m:t>
                      </m:r>
                    </m:sub>
                  </m:sSub>
                </m:e>
              </m:d>
            </m:e>
          </m:func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613FBBF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其中负号分支对应近平面稳定支，正号分支对应近同心稳定支。对称双凹腔不能由平凹腔结果简单作</w:t>
      </w:r>
      <w:r>
        <w:rPr>
          <w:rFonts w:eastAsia="??"/>
          <w:sz w:val="21"/>
        </w:rPr>
        <w:t xml:space="preserve"> $L\rightarrow 2L$ </w:t>
      </w:r>
      <w:r>
        <w:rPr>
          <w:rFonts w:eastAsia="??"/>
          <w:sz w:val="21"/>
        </w:rPr>
        <w:t>得到。不同腔型可以实现相同的</w:t>
      </w:r>
      <w:r>
        <w:rPr>
          <w:rFonts w:eastAsia="??"/>
          <w:sz w:val="21"/>
        </w:rPr>
        <w:t xml:space="preserve"> $k_{\mathrm{eff}}$</w:t>
      </w:r>
      <w:r>
        <w:rPr>
          <w:rFonts w:eastAsia="??"/>
          <w:sz w:val="21"/>
        </w:rPr>
        <w:t>，因而在折叠谱层具有相同的模式组排布；对应的几何工作点、调节灵敏度和实验鲁棒性则不相同。对于更一般的非对称两镜腔，</w:t>
      </w:r>
      <w:r>
        <w:rPr>
          <w:rFonts w:eastAsia="??"/>
          <w:sz w:val="21"/>
        </w:rPr>
        <w:t xml:space="preserve">$k_{\mathrm{eff}}$ </w:t>
      </w:r>
      <w:r>
        <w:rPr>
          <w:rFonts w:eastAsia="??"/>
          <w:sz w:val="21"/>
        </w:rPr>
        <w:t>同样由</w:t>
      </w:r>
      <w:r>
        <w:rPr>
          <w:rFonts w:eastAsia="??"/>
          <w:sz w:val="21"/>
        </w:rPr>
        <w:t xml:space="preserve"> $\sqrt{g_1g_2}$ </w:t>
      </w:r>
      <w:r>
        <w:rPr>
          <w:rFonts w:eastAsia="??"/>
          <w:sz w:val="21"/>
        </w:rPr>
        <w:t>决定，同一</w:t>
      </w:r>
      <w:r>
        <w:rPr>
          <w:rFonts w:eastAsia="??"/>
          <w:sz w:val="21"/>
        </w:rPr>
        <w:t xml:space="preserve"> $k_{\mathrm{eff}}$ </w:t>
      </w:r>
      <w:r>
        <w:rPr>
          <w:rFonts w:eastAsia="??"/>
          <w:sz w:val="21"/>
        </w:rPr>
        <w:t>在</w:t>
      </w:r>
      <w:r>
        <w:rPr>
          <w:rFonts w:eastAsia="??"/>
          <w:sz w:val="21"/>
        </w:rPr>
        <w:t xml:space="preserve"> $(L/R_1, L/R_2)$ </w:t>
      </w:r>
      <w:r>
        <w:rPr>
          <w:rFonts w:eastAsia="??"/>
          <w:sz w:val="21"/>
        </w:rPr>
        <w:t>空间中对应一族几何实现。下文以平凹腔和对称双凹腔作为两类代表构型展开讨论。</w:t>
      </w:r>
    </w:p>
    <w:p w14:paraId="651AC1A1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C. </w:t>
      </w:r>
      <w:r>
        <w:rPr>
          <w:rFonts w:eastAsia="??"/>
          <w:b/>
          <w:sz w:val="21"/>
        </w:rPr>
        <w:t>小几何比极限</w:t>
      </w:r>
    </w:p>
    <w:p w14:paraId="4E832198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在小</w:t>
      </w:r>
      <w:r>
        <w:rPr>
          <w:rFonts w:eastAsia="??"/>
          <w:sz w:val="21"/>
        </w:rPr>
        <w:t xml:space="preserve"> $L/R$ </w:t>
      </w:r>
      <w:r>
        <w:rPr>
          <w:rFonts w:eastAsia="??"/>
          <w:sz w:val="21"/>
        </w:rPr>
        <w:t>极限下，平凹腔满足</w:t>
      </w:r>
    </w:p>
    <w:p w14:paraId="17AC9179" w14:textId="26C350F6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pc</m:t>
              </m:r>
            </m:sub>
          </m:sSub>
          <m:r>
            <w:rPr>
              <w:rFonts w:ascii="Cambria Math" w:eastAsia="Cambria Math" w:hAnsi="Cambria Math" w:hint="eastAsia"/>
              <w:sz w:val="21"/>
            </w:rPr>
            <m:t>≈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  <w:sz w:val="21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  <w:sz w:val="21"/>
                        </w:rPr>
                        <m:t>R</m:t>
                      </m:r>
                    </m:den>
                  </m:f>
                </m:e>
              </m:rad>
            </m:num>
            <m:den>
              <m:r>
                <w:rPr>
                  <w:rFonts w:ascii="Cambria Math" w:eastAsia="Cambria Math" w:hAnsi="Cambria Math"/>
                  <w:sz w:val="21"/>
                </w:rPr>
                <m:t>π</m:t>
              </m:r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52558CD9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而对称双凹腔满足</w:t>
      </w:r>
    </w:p>
    <w:p w14:paraId="37093C05" w14:textId="224A094E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cc</m:t>
              </m:r>
            </m:sub>
          </m:sSub>
          <m:r>
            <w:rPr>
              <w:rFonts w:ascii="Cambria Math" w:eastAsia="Cambria Math" w:hAnsi="Cambria Math" w:hint="eastAsia"/>
              <w:sz w:val="21"/>
            </w:rPr>
            <m:t>≈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  <w:sz w:val="21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  <w:sz w:val="21"/>
                        </w:rPr>
                        <m:t>R</m:t>
                      </m:r>
                    </m:den>
                  </m:f>
                </m:e>
              </m:rad>
            </m:num>
            <m:den>
              <m:r>
                <w:rPr>
                  <w:rFonts w:ascii="Cambria Math" w:eastAsia="Cambria Math" w:hAnsi="Cambria Math"/>
                  <w:sz w:val="21"/>
                </w:rPr>
                <m:t>π</m:t>
              </m:r>
            </m:den>
          </m:f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785067D3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因此</w:t>
      </w:r>
    </w:p>
    <w:p w14:paraId="3FAC0BF4" w14:textId="61425A94" w:rsidR="008467B0" w:rsidRDefault="0066233F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1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/>
                      <w:sz w:val="21"/>
                    </w:rPr>
                    <m:t>cc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pc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/>
                  <w:sz w:val="21"/>
                </w:rPr>
                <m:t>arrow</m:t>
              </m:r>
            </m:den>
          </m:f>
          <m:rad>
            <m:radPr>
              <m:degHide m:val="1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radPr>
            <m:deg/>
            <m:e>
              <m:r>
                <w:rPr>
                  <w:rFonts w:ascii="Cambria Math" w:eastAsia="Cambria Math" w:hAnsi="Cambria Math"/>
                  <w:sz w:val="21"/>
                </w:rPr>
                <m:t>2</m:t>
              </m:r>
            </m:e>
          </m:rad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465364AF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这一增强因子来源于两类边界条件下腔本征模参数与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相位积累方式的共同改变，而非几何程长的简单翻倍。</w:t>
      </w:r>
    </w:p>
    <w:p w14:paraId="084A6DA3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III.</w:t>
      </w:r>
      <w:r>
        <w:rPr>
          <w:rFonts w:eastAsia="??"/>
          <w:b/>
          <w:sz w:val="22"/>
        </w:rPr>
        <w:t>连续模式组的最小间距景观与最优排布</w:t>
      </w:r>
    </w:p>
    <w:p w14:paraId="2A5CB472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A. </w:t>
      </w:r>
      <w:r>
        <w:rPr>
          <w:rFonts w:eastAsia="??"/>
          <w:b/>
          <w:sz w:val="21"/>
        </w:rPr>
        <w:t>最小圆周间距与解析最优</w:t>
      </w:r>
    </w:p>
    <w:p w14:paraId="4183560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考虑连续模式组</w:t>
      </w:r>
    </w:p>
    <w:p w14:paraId="6688117F" w14:textId="29579036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S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M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1,2,…,M</m:t>
              </m:r>
            </m:e>
          </m:d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0D1435DE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这对应于相邻横模阶数差为</w:t>
      </w:r>
      <w:r>
        <w:rPr>
          <w:rFonts w:eastAsia="??"/>
          <w:sz w:val="21"/>
        </w:rPr>
        <w:t xml:space="preserve"> 1 </w:t>
      </w:r>
      <w:r>
        <w:rPr>
          <w:rFonts w:eastAsia="??"/>
          <w:sz w:val="21"/>
        </w:rPr>
        <w:t>的情形，也是实际器件设计中常见的目标集合。任意两个阶数之差覆盖</w:t>
      </w:r>
      <w:r>
        <w:rPr>
          <w:rFonts w:eastAsia="??"/>
          <w:sz w:val="21"/>
        </w:rPr>
        <w:t xml:space="preserve"> $1$ </w:t>
      </w:r>
      <w:r>
        <w:rPr>
          <w:rFonts w:eastAsia="??"/>
          <w:sz w:val="21"/>
        </w:rPr>
        <w:t>到</w:t>
      </w:r>
      <w:r>
        <w:rPr>
          <w:rFonts w:eastAsia="??"/>
          <w:sz w:val="21"/>
        </w:rPr>
        <w:t xml:space="preserve"> $M-1$</w:t>
      </w:r>
      <w:r>
        <w:rPr>
          <w:rFonts w:eastAsia="??"/>
          <w:sz w:val="21"/>
        </w:rPr>
        <w:t>，折叠谱最小圆周间距可写为仅依赖</w:t>
      </w:r>
      <w:r>
        <w:rPr>
          <w:rFonts w:eastAsia="??"/>
          <w:sz w:val="21"/>
        </w:rPr>
        <w:t xml:space="preserve"> $k$ </w:t>
      </w:r>
      <w:r>
        <w:rPr>
          <w:rFonts w:eastAsia="??"/>
          <w:sz w:val="21"/>
        </w:rPr>
        <w:t>的单变量函数</w:t>
      </w:r>
    </w:p>
    <w:p w14:paraId="5B633B5F" w14:textId="419ECE7F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s_(min)(k)=</m:t>
          </m:r>
          <m:r>
            <m:rPr>
              <m:sty m:val="p"/>
            </m:rPr>
            <w:rPr>
              <w:rFonts w:ascii="Cambria Math" w:eastAsia="Cambria Math" w:hAnsi="Cambria Math"/>
              <w:sz w:val="21"/>
            </w:rPr>
            <m:t>min⁡</m:t>
          </m:r>
          <m:r>
            <w:rPr>
              <w:rFonts w:ascii="Cambria Math" w:eastAsia="Cambria Math" w:hAnsi="Cambria Math"/>
              <w:sz w:val="21"/>
            </w:rPr>
            <m:t>_(1</m:t>
          </m:r>
          <m:r>
            <w:rPr>
              <w:rFonts w:ascii="Cambria Math" w:eastAsia="Cambria Math" w:hAnsi="Cambria Math" w:hint="eastAsia"/>
              <w:sz w:val="21"/>
            </w:rPr>
            <m:t>≤</m:t>
          </m:r>
          <m:r>
            <w:rPr>
              <w:rFonts w:ascii="Cambria Math" w:eastAsia="Cambria Math" w:hAnsi="Cambria Math"/>
              <w:sz w:val="21"/>
            </w:rPr>
            <m:t xml:space="preserve"> q</m:t>
          </m:r>
          <m:r>
            <w:rPr>
              <w:rFonts w:ascii="Cambria Math" w:eastAsia="Cambria Math" w:hAnsi="Cambria Math" w:hint="eastAsia"/>
              <w:sz w:val="21"/>
            </w:rPr>
            <m:t>≤</m:t>
          </m:r>
          <m:r>
            <w:rPr>
              <w:rFonts w:ascii="Cambria Math" w:eastAsia="Cambria Math" w:hAnsi="Cambria Math"/>
              <w:sz w:val="21"/>
            </w:rPr>
            <m:t xml:space="preserve"> M-1)</m:t>
          </m:r>
          <m:r>
            <w:rPr>
              <w:rFonts w:ascii="Cambria Math" w:eastAsia="Cambria Math" w:hAnsi="Cambria Math" w:hint="eastAsia"/>
              <w:sz w:val="21"/>
            </w:rPr>
            <m:t>‖</m:t>
          </m:r>
          <m:r>
            <w:rPr>
              <w:rFonts w:ascii="Cambria Math" w:eastAsia="Cambria Math" w:hAnsi="Cambria Math"/>
              <w:sz w:val="21"/>
            </w:rPr>
            <m:t>qk</m:t>
          </m:r>
          <m:r>
            <w:rPr>
              <w:rFonts w:ascii="Cambria Math" w:eastAsia="Cambria Math" w:hAnsi="Cambria Math" w:hint="eastAsia"/>
              <w:sz w:val="21"/>
            </w:rPr>
            <m:t>‖</m:t>
          </m:r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08E98E6C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这个表达式给出了连续模式组分选的核心设计指标。若取</w:t>
      </w:r>
    </w:p>
    <w:p w14:paraId="03096FB9" w14:textId="5B435114" w:rsidR="008467B0" w:rsidRDefault="0066233F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p>
              <m:r>
                <w:rPr>
                  <w:rFonts w:ascii="Cambria Math" w:eastAsia="Cambria Math" w:hAnsi="Cambria Math"/>
                  <w:sz w:val="21"/>
                </w:rPr>
                <m:t>*</m:t>
              </m:r>
            </m:sup>
          </m:sSup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m</m:t>
              </m:r>
            </m:num>
            <m:den>
              <m:r>
                <w:rPr>
                  <w:rFonts w:ascii="Cambria Math" w:eastAsia="Cambria Math" w:hAnsi="Cambria Math"/>
                  <w:sz w:val="21"/>
                </w:rPr>
                <m:t>M</m:t>
              </m:r>
            </m:den>
          </m:f>
          <m:r>
            <w:rPr>
              <w:rFonts w:ascii="Cambria Math" w:eastAsia="Cambria Math" w:hAnsi="Cambria Math"/>
              <w:sz w:val="21"/>
            </w:rPr>
            <m:t>,</m:t>
          </m:r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/>
                  <w:sz w:val="21"/>
                </w:rPr>
                <m:t>gcd</m:t>
              </m: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m,M</m:t>
                  </m:r>
                </m:e>
              </m:d>
            </m:e>
          </m:func>
          <m:r>
            <w:rPr>
              <w:rFonts w:ascii="Cambria Math" w:eastAsia="Cambria Math" w:hAnsi="Cambria Math"/>
              <w:sz w:val="21"/>
            </w:rPr>
            <m:t>=1,</m:t>
          </m:r>
        </m:oMath>
      </m:oMathPara>
    </w:p>
    <w:p w14:paraId="1C0FBF50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则</w:t>
      </w:r>
      <w:r>
        <w:rPr>
          <w:rFonts w:eastAsia="??"/>
          <w:sz w:val="21"/>
        </w:rPr>
        <w:t xml:space="preserve"> $q=1,\ldots,M-1$ </w:t>
      </w:r>
      <w:r>
        <w:rPr>
          <w:rFonts w:eastAsia="??"/>
          <w:sz w:val="21"/>
        </w:rPr>
        <w:t>时，</w:t>
      </w:r>
      <w:r>
        <w:rPr>
          <w:rFonts w:eastAsia="??"/>
          <w:sz w:val="21"/>
        </w:rPr>
        <w:t xml:space="preserve">$qm$ </w:t>
      </w:r>
      <w:r>
        <w:rPr>
          <w:rFonts w:eastAsia="??"/>
          <w:sz w:val="21"/>
        </w:rPr>
        <w:t>在模</w:t>
      </w:r>
      <w:r>
        <w:rPr>
          <w:rFonts w:eastAsia="??"/>
          <w:sz w:val="21"/>
        </w:rPr>
        <w:t xml:space="preserve"> $M$ </w:t>
      </w:r>
      <w:r>
        <w:rPr>
          <w:rFonts w:eastAsia="??"/>
          <w:sz w:val="21"/>
        </w:rPr>
        <w:t>意义下遍历所有非零剩余类，因此最近圆周距离的最小值为</w:t>
      </w:r>
    </w:p>
    <w:p w14:paraId="45E745D3" w14:textId="2EF03DE3" w:rsidR="008467B0" w:rsidRDefault="0066233F">
      <w:pPr>
        <w:spacing w:after="0" w:line="240" w:lineRule="auto"/>
        <w:ind w:firstLine="420"/>
        <w:jc w:val="both"/>
      </w:pPr>
      <m:oMath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eastAsia="Cambria Math" w:hAnsi="Cambria Math"/>
                <w:sz w:val="21"/>
              </w:rPr>
              <m:t>s</m:t>
            </m:r>
          </m:e>
          <m:sub>
            <m:d>
              <m:dPr>
                <m:ctrlPr>
                  <w:rPr>
                    <w:rFonts w:ascii="Cambria Math" w:eastAsia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eastAsia="Cambria Math" w:hAnsi="Cambria Math"/>
                    <w:sz w:val="21"/>
                  </w:rPr>
                  <m:t>min</m:t>
                </m:r>
              </m:e>
            </m:d>
            <m:d>
              <m:dPr>
                <m:ctrlPr>
                  <w:rPr>
                    <w:rFonts w:ascii="Cambria Math" w:eastAsia="Cambria Math" w:hAnsi="Cambria Math"/>
                    <w:i/>
                    <w:sz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1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sz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/>
                        <w:sz w:val="21"/>
                      </w:rPr>
                      <m:t>*</m:t>
                    </m:r>
                  </m:sup>
                </m:sSup>
              </m:e>
            </m:d>
          </m:sub>
        </m:sSub>
        <m:r>
          <w:rPr>
            <w:rFonts w:ascii="Cambria Math" w:eastAsia="Cambria Math" w:hAnsi="Cambria Math"/>
            <w:sz w:val="21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sz w:val="21"/>
              </w:rPr>
            </m:ctrlPr>
          </m:fPr>
          <m:num>
            <m:r>
              <w:rPr>
                <w:rFonts w:ascii="Cambria Math" w:eastAsia="Cambria Math" w:hAnsi="Cambria Math"/>
                <w:sz w:val="21"/>
              </w:rPr>
              <m:t>1</m:t>
            </m:r>
          </m:num>
          <m:den>
            <m:r>
              <w:rPr>
                <w:rFonts w:ascii="Cambria Math" w:eastAsia="Cambria Math" w:hAnsi="Cambria Math"/>
                <w:sz w:val="21"/>
              </w:rPr>
              <m:t>M</m:t>
            </m:r>
          </m:den>
        </m:f>
        <m:r>
          <w:rPr>
            <w:rFonts w:ascii="Cambria Math" w:eastAsia="Cambria Math" w:hAnsi="Cambria Math"/>
            <w:sz w:val="21"/>
          </w:rPr>
          <m:t>.</m:t>
        </m:r>
      </m:oMath>
      <w:r w:rsidR="00BF3579">
        <w:rPr>
          <w:rFonts w:eastAsia="??"/>
          <w:sz w:val="21"/>
        </w:rPr>
        <w:t xml:space="preserve">$M$ </w:t>
      </w:r>
      <w:r w:rsidR="00BF3579">
        <w:rPr>
          <w:rFonts w:eastAsia="??"/>
          <w:sz w:val="21"/>
        </w:rPr>
        <w:t>个点放置在圆周上时，最小间距不可能超过</w:t>
      </w:r>
      <w:r w:rsidR="00BF3579">
        <w:rPr>
          <w:rFonts w:eastAsia="??"/>
          <w:sz w:val="21"/>
        </w:rPr>
        <w:t xml:space="preserve"> $1/M$</w:t>
      </w:r>
      <w:r w:rsidR="00BF3579">
        <w:rPr>
          <w:rFonts w:eastAsia="??"/>
          <w:sz w:val="21"/>
        </w:rPr>
        <w:t>。因此</w:t>
      </w:r>
      <w:r w:rsidR="00BF3579">
        <w:rPr>
          <w:rFonts w:eastAsia="??"/>
          <w:sz w:val="21"/>
        </w:rPr>
        <w:t xml:space="preserve"> $s_{\min}=1/M$ </w:t>
      </w:r>
      <w:r w:rsidR="00BF3579">
        <w:rPr>
          <w:rFonts w:eastAsia="??"/>
          <w:sz w:val="21"/>
        </w:rPr>
        <w:t>是连续模式组的最优值，互素分支</w:t>
      </w:r>
      <w:r w:rsidR="00BF3579">
        <w:rPr>
          <w:rFonts w:eastAsia="??"/>
          <w:sz w:val="21"/>
        </w:rPr>
        <w:t xml:space="preserve"> $m/M$ </w:t>
      </w:r>
      <w:r w:rsidR="00BF3579">
        <w:rPr>
          <w:rFonts w:eastAsia="??"/>
          <w:sz w:val="21"/>
        </w:rPr>
        <w:t>给出达到该值的一组解析最优设计点。</w:t>
      </w:r>
    </w:p>
    <w:p w14:paraId="546E994D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B. Farey </w:t>
      </w:r>
      <w:r>
        <w:rPr>
          <w:rFonts w:eastAsia="??"/>
          <w:b/>
          <w:sz w:val="21"/>
        </w:rPr>
        <w:t>骨架与层级细化</w:t>
      </w:r>
    </w:p>
    <w:p w14:paraId="31FBFD29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函数</w:t>
      </w:r>
      <w:r>
        <w:rPr>
          <w:rFonts w:eastAsia="??"/>
          <w:sz w:val="21"/>
        </w:rPr>
        <w:t xml:space="preserve"> $s_{\min}(k)$ </w:t>
      </w:r>
      <w:r>
        <w:rPr>
          <w:rFonts w:eastAsia="??"/>
          <w:sz w:val="21"/>
        </w:rPr>
        <w:t>是一组锯齿函数</w:t>
      </w:r>
      <w:r>
        <w:rPr>
          <w:rFonts w:eastAsia="??"/>
          <w:sz w:val="21"/>
        </w:rPr>
        <w:t xml:space="preserve"> $\|qk\|$ </w:t>
      </w:r>
      <w:r>
        <w:rPr>
          <w:rFonts w:eastAsia="??"/>
          <w:sz w:val="21"/>
        </w:rPr>
        <w:t>的下包络。随着</w:t>
      </w:r>
      <w:r>
        <w:rPr>
          <w:rFonts w:eastAsia="??"/>
          <w:sz w:val="21"/>
        </w:rPr>
        <w:t xml:space="preserve"> $M$ </w:t>
      </w:r>
      <w:r>
        <w:rPr>
          <w:rFonts w:eastAsia="??"/>
          <w:sz w:val="21"/>
        </w:rPr>
        <w:t>增大，新的差值约束被加入下包络，原有景观不会被抬高，而是在其下方继续形成更细的局部结构。这种层级细化可由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邻分数骨架进行组织。</w:t>
      </w:r>
    </w:p>
    <w:p w14:paraId="2B2BCDBC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在固定</w:t>
      </w:r>
      <w:r>
        <w:rPr>
          <w:rFonts w:eastAsia="??"/>
          <w:sz w:val="21"/>
        </w:rPr>
        <w:t xml:space="preserve"> $M$ </w:t>
      </w:r>
      <w:r>
        <w:rPr>
          <w:rFonts w:eastAsia="??"/>
          <w:sz w:val="21"/>
        </w:rPr>
        <w:t>下，景观可以按分母不超过</w:t>
      </w:r>
      <w:r>
        <w:rPr>
          <w:rFonts w:eastAsia="??"/>
          <w:sz w:val="21"/>
        </w:rPr>
        <w:t xml:space="preserve"> $M-1$ </w:t>
      </w:r>
      <w:r>
        <w:rPr>
          <w:rFonts w:eastAsia="??"/>
          <w:sz w:val="21"/>
        </w:rPr>
        <w:t>的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邻分数区间来划分。设相邻分数为</w:t>
      </w:r>
      <w:r>
        <w:rPr>
          <w:rFonts w:eastAsia="??"/>
          <w:sz w:val="21"/>
        </w:rPr>
        <w:t xml:space="preserve"> $a/b&lt;c/d$</w:t>
      </w:r>
      <w:r>
        <w:rPr>
          <w:rFonts w:eastAsia="??"/>
          <w:sz w:val="21"/>
        </w:rPr>
        <w:t>，局部峰值的位置由二者的</w:t>
      </w:r>
      <w:r>
        <w:rPr>
          <w:rFonts w:eastAsia="??"/>
          <w:sz w:val="21"/>
        </w:rPr>
        <w:t xml:space="preserve"> mediant $(a+c)/(b+d)$ </w:t>
      </w:r>
      <w:r>
        <w:rPr>
          <w:rFonts w:eastAsia="??"/>
          <w:sz w:val="21"/>
        </w:rPr>
        <w:t>决定，峰高由相邻分母之和控制。由此得到的局部峰一般呈现偏斜帐篷形结构。图</w:t>
      </w:r>
      <w:r>
        <w:rPr>
          <w:rFonts w:eastAsia="??"/>
          <w:sz w:val="21"/>
        </w:rPr>
        <w:t xml:space="preserve"> 2 </w:t>
      </w:r>
      <w:r>
        <w:rPr>
          <w:rFonts w:eastAsia="??"/>
          <w:sz w:val="21"/>
        </w:rPr>
        <w:t>展示了</w:t>
      </w:r>
      <w:r>
        <w:rPr>
          <w:rFonts w:eastAsia="??"/>
          <w:sz w:val="21"/>
        </w:rPr>
        <w:t xml:space="preserve"> $s_{\min}(k)$ </w:t>
      </w:r>
      <w:r>
        <w:rPr>
          <w:rFonts w:eastAsia="??"/>
          <w:sz w:val="21"/>
        </w:rPr>
        <w:t>景观及其中的解析最优分支。这种结构不是严格意义上的自相似分形，而是在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骨架约束下的层级细化；更大的目标集不会推翻原有粗轮廓，而是在其下方继续加入算术约束。</w:t>
      </w:r>
    </w:p>
    <w:p w14:paraId="4A8075D8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上述讨论只涉及几何间距。有限线宽下的串扰性能和容量边界还需引入腔的频谱响应函数。</w:t>
      </w:r>
    </w:p>
    <w:p w14:paraId="3D35C36C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 xml:space="preserve">IV.Airy </w:t>
      </w:r>
      <w:r>
        <w:rPr>
          <w:rFonts w:eastAsia="??"/>
          <w:b/>
          <w:sz w:val="22"/>
        </w:rPr>
        <w:t>透射下的有限维串扰、性能指标与容量边界</w:t>
      </w:r>
    </w:p>
    <w:p w14:paraId="5296EBE9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A. Airy </w:t>
      </w:r>
      <w:r>
        <w:rPr>
          <w:rFonts w:eastAsia="??"/>
          <w:b/>
          <w:sz w:val="21"/>
        </w:rPr>
        <w:t>透射函数与有限维串扰</w:t>
      </w:r>
    </w:p>
    <w:p w14:paraId="02E53625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最小间距</w:t>
      </w:r>
      <w:r>
        <w:rPr>
          <w:rFonts w:eastAsia="??"/>
          <w:sz w:val="21"/>
        </w:rPr>
        <w:t xml:space="preserve"> $s_{\min}$ </w:t>
      </w:r>
      <w:r>
        <w:rPr>
          <w:rFonts w:eastAsia="??"/>
          <w:sz w:val="21"/>
        </w:rPr>
        <w:t>描述折叠谱中不同模式组的几何分离程度。实际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腔的透射峰具有有限线宽，圆周距离需要转化为频谱串扰响应。这里采用周期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透射函数作为主响应模型。对于归一化频率偏移</w:t>
      </w:r>
      <w:r>
        <w:rPr>
          <w:rFonts w:eastAsia="??"/>
          <w:sz w:val="21"/>
        </w:rPr>
        <w:t xml:space="preserve"> $\Delta$</w:t>
      </w:r>
      <w:r>
        <w:rPr>
          <w:rFonts w:eastAsia="??"/>
          <w:sz w:val="21"/>
        </w:rPr>
        <w:t>（以</w:t>
      </w:r>
      <w:r>
        <w:rPr>
          <w:rFonts w:eastAsia="??"/>
          <w:sz w:val="21"/>
        </w:rPr>
        <w:t xml:space="preserve"> FSR </w:t>
      </w:r>
      <w:r>
        <w:rPr>
          <w:rFonts w:eastAsia="??"/>
          <w:sz w:val="21"/>
        </w:rPr>
        <w:t>为单位），透射响应为</w:t>
      </w:r>
    </w:p>
    <w:p w14:paraId="2E5ADD85" w14:textId="0E4CB117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 xml:space="preserve">A_F(Δ)= (1)/(1+((2F)/(π))^2 </m:t>
          </m:r>
          <m:r>
            <m:rPr>
              <m:sty m:val="p"/>
            </m:rPr>
            <w:rPr>
              <w:rFonts w:ascii="Cambria Math" w:eastAsia="Cambria Math" w:hAnsi="Cambria Math"/>
              <w:sz w:val="21"/>
            </w:rPr>
            <m:t>sin⁡</m:t>
          </m:r>
          <m:r>
            <w:rPr>
              <w:rFonts w:ascii="Cambria Math" w:eastAsia="Cambria Math" w:hAnsi="Cambria Math"/>
              <w:sz w:val="21"/>
            </w:rPr>
            <m:t>^2(πΔ)),</m:t>
          </m:r>
        </m:oMath>
      </m:oMathPara>
    </w:p>
    <w:p w14:paraId="6EF0F402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lastRenderedPageBreak/>
        <w:t>其中</w:t>
      </w:r>
      <w:r>
        <w:rPr>
          <w:rFonts w:eastAsia="??"/>
          <w:sz w:val="21"/>
        </w:rPr>
        <w:t xml:space="preserve"> $F$ </w:t>
      </w:r>
      <w:r>
        <w:rPr>
          <w:rFonts w:eastAsia="??"/>
          <w:sz w:val="21"/>
        </w:rPr>
        <w:t>为腔精细度。响应以</w:t>
      </w:r>
      <w:r>
        <w:rPr>
          <w:rFonts w:eastAsia="??"/>
          <w:sz w:val="21"/>
        </w:rPr>
        <w:t xml:space="preserve"> 1 </w:t>
      </w:r>
      <w:r>
        <w:rPr>
          <w:rFonts w:eastAsia="??"/>
          <w:sz w:val="21"/>
        </w:rPr>
        <w:t>个</w:t>
      </w:r>
      <w:r>
        <w:rPr>
          <w:rFonts w:eastAsia="??"/>
          <w:sz w:val="21"/>
        </w:rPr>
        <w:t xml:space="preserve"> FSR </w:t>
      </w:r>
      <w:r>
        <w:rPr>
          <w:rFonts w:eastAsia="??"/>
          <w:sz w:val="21"/>
        </w:rPr>
        <w:t>为周期，并在</w:t>
      </w:r>
      <w:r>
        <w:rPr>
          <w:rFonts w:eastAsia="??"/>
          <w:sz w:val="21"/>
        </w:rPr>
        <w:t xml:space="preserve"> $\Delta=0$ </w:t>
      </w:r>
      <w:r>
        <w:rPr>
          <w:rFonts w:eastAsia="??"/>
          <w:sz w:val="21"/>
        </w:rPr>
        <w:t>处取最大值</w:t>
      </w:r>
      <w:r>
        <w:rPr>
          <w:rFonts w:eastAsia="??"/>
          <w:sz w:val="21"/>
        </w:rPr>
        <w:t xml:space="preserve"> 1</w:t>
      </w:r>
      <w:r>
        <w:rPr>
          <w:rFonts w:eastAsia="??"/>
          <w:sz w:val="21"/>
        </w:rPr>
        <w:t>。</w:t>
      </w:r>
    </w:p>
    <w:p w14:paraId="2CCDE684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对目标模式组</w:t>
      </w:r>
      <w:r>
        <w:rPr>
          <w:rFonts w:eastAsia="??"/>
          <w:sz w:val="21"/>
        </w:rPr>
        <w:t xml:space="preserve"> $S=\{N_1,\ldots,N_M\}$</w:t>
      </w:r>
      <w:r>
        <w:rPr>
          <w:rFonts w:eastAsia="??"/>
          <w:sz w:val="21"/>
        </w:rPr>
        <w:t>，当第</w:t>
      </w:r>
      <w:r>
        <w:rPr>
          <w:rFonts w:eastAsia="??"/>
          <w:sz w:val="21"/>
        </w:rPr>
        <w:t xml:space="preserve"> $j$ </w:t>
      </w:r>
      <w:r>
        <w:rPr>
          <w:rFonts w:eastAsia="??"/>
          <w:sz w:val="21"/>
        </w:rPr>
        <w:t>个通道被调至透射中心时，第</w:t>
      </w:r>
      <w:r>
        <w:rPr>
          <w:rFonts w:eastAsia="??"/>
          <w:sz w:val="21"/>
        </w:rPr>
        <w:t xml:space="preserve"> $i$ </w:t>
      </w:r>
      <w:r>
        <w:rPr>
          <w:rFonts w:eastAsia="??"/>
          <w:sz w:val="21"/>
        </w:rPr>
        <w:t>个通道的相对失谐为</w:t>
      </w:r>
    </w:p>
    <w:p w14:paraId="72111E1B" w14:textId="0AE6C803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 w:hint="eastAsia"/>
                  <w:sz w:val="21"/>
                </w:rPr>
                <m:t>Δ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eastAsia="Cambria Math" w:hAnsi="Cambria Math"/>
                  <w:sz w:val="21"/>
                </w:rPr>
                <m:t>ij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1"/>
                    </w:rPr>
                    <m:t>k</m:t>
                  </m:r>
                </m:e>
                <m: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eff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j</m:t>
                          </m:r>
                        </m:sub>
                      </m:sSub>
                    </m:e>
                  </m:d>
                </m:sub>
              </m:sSub>
            </m:e>
          </m:d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15BCEEF1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将所有通道对的失谐代入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函数，得到有限维响应</w:t>
      </w:r>
    </w:p>
    <w:p w14:paraId="0C275438" w14:textId="367A6A53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ij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A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ij</m:t>
                      </m:r>
                    </m:sub>
                  </m:sSub>
                </m:e>
              </m:d>
            </m:sub>
          </m:sSub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5BD69274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将</w:t>
      </w:r>
      <w:r>
        <w:rPr>
          <w:rFonts w:eastAsia="??"/>
          <w:sz w:val="21"/>
        </w:rPr>
        <w:t xml:space="preserve"> $R_{ij}$ </w:t>
      </w:r>
      <w:r>
        <w:rPr>
          <w:rFonts w:eastAsia="??"/>
          <w:sz w:val="21"/>
        </w:rPr>
        <w:t>排成表格或热图可以直观展示串扰结构。它只是有限维计算的组织方式，不引入新的物理对象。相同</w:t>
      </w:r>
      <w:r>
        <w:rPr>
          <w:rFonts w:eastAsia="??"/>
          <w:sz w:val="21"/>
        </w:rPr>
        <w:t xml:space="preserve"> $k_{\mathrm{eff}}$</w:t>
      </w:r>
      <w:r>
        <w:rPr>
          <w:rFonts w:eastAsia="??"/>
          <w:sz w:val="21"/>
        </w:rPr>
        <w:t>、相同</w:t>
      </w:r>
      <w:r>
        <w:rPr>
          <w:rFonts w:eastAsia="??"/>
          <w:sz w:val="21"/>
        </w:rPr>
        <w:t xml:space="preserve"> $F$ </w:t>
      </w:r>
      <w:r>
        <w:rPr>
          <w:rFonts w:eastAsia="??"/>
          <w:sz w:val="21"/>
        </w:rPr>
        <w:t>和相同目标模式组给出相同的</w:t>
      </w:r>
      <w:r>
        <w:rPr>
          <w:rFonts w:eastAsia="??"/>
          <w:sz w:val="21"/>
        </w:rPr>
        <w:t xml:space="preserve"> $R_{ij}$</w:t>
      </w:r>
      <w:r>
        <w:rPr>
          <w:rFonts w:eastAsia="??"/>
          <w:sz w:val="21"/>
        </w:rPr>
        <w:t>，与采用平凹腔或对称双凹腔无关。</w:t>
      </w:r>
    </w:p>
    <w:p w14:paraId="51BD4920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对每个输入通道做列归一化，得到条件概率矩阵</w:t>
      </w:r>
    </w:p>
    <w:p w14:paraId="65AB3A6C" w14:textId="461AE878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P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i</m:t>
              </m:r>
            </m:e>
            <m:e>
              <m:r>
                <w:rPr>
                  <w:rFonts w:ascii="Cambria Math" w:eastAsia="Cambria Math" w:hAnsi="Cambria Math"/>
                  <w:sz w:val="21"/>
                </w:rPr>
                <m:t>j</m:t>
              </m:r>
            </m:e>
          </m:d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1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sz w:val="21"/>
                    </w:rPr>
                    <m:t>ij</m:t>
                  </m:r>
                </m:sub>
              </m:sSub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sSubSup>
                    <m:sSub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i=1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ij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mbria Math" w:hAnsi="Cambria Math"/>
                          <w:sz w:val="21"/>
                        </w:rPr>
                        <m:t>R</m:t>
                      </m:r>
                    </m:sup>
                  </m:sSubSup>
                </m:sub>
                <m:sup/>
                <m:e/>
              </m:nary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74ED2D5A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其中</w:t>
      </w:r>
      <w:r>
        <w:rPr>
          <w:rFonts w:eastAsia="??"/>
          <w:sz w:val="21"/>
        </w:rPr>
        <w:t xml:space="preserve"> $P(i|j)$ </w:t>
      </w:r>
      <w:r>
        <w:rPr>
          <w:rFonts w:eastAsia="??"/>
          <w:sz w:val="21"/>
        </w:rPr>
        <w:t>表示目标通道为</w:t>
      </w:r>
      <w:r>
        <w:rPr>
          <w:rFonts w:eastAsia="??"/>
          <w:sz w:val="21"/>
        </w:rPr>
        <w:t xml:space="preserve"> $j$ </w:t>
      </w:r>
      <w:r>
        <w:rPr>
          <w:rFonts w:eastAsia="??"/>
          <w:sz w:val="21"/>
        </w:rPr>
        <w:t>时，被判入输出通道</w:t>
      </w:r>
      <w:r>
        <w:rPr>
          <w:rFonts w:eastAsia="??"/>
          <w:sz w:val="21"/>
        </w:rPr>
        <w:t xml:space="preserve"> $i$ </w:t>
      </w:r>
      <w:r>
        <w:rPr>
          <w:rFonts w:eastAsia="??"/>
          <w:sz w:val="21"/>
        </w:rPr>
        <w:t>的概率。理想分选要求对角元接近</w:t>
      </w:r>
      <w:r>
        <w:rPr>
          <w:rFonts w:eastAsia="??"/>
          <w:sz w:val="21"/>
        </w:rPr>
        <w:t xml:space="preserve"> 1</w:t>
      </w:r>
      <w:r>
        <w:rPr>
          <w:rFonts w:eastAsia="??"/>
          <w:sz w:val="21"/>
        </w:rPr>
        <w:t>，非对角元接近</w:t>
      </w:r>
      <w:r>
        <w:rPr>
          <w:rFonts w:eastAsia="??"/>
          <w:sz w:val="21"/>
        </w:rPr>
        <w:t xml:space="preserve"> 0</w:t>
      </w:r>
      <w:r>
        <w:rPr>
          <w:rFonts w:eastAsia="??"/>
          <w:sz w:val="21"/>
        </w:rPr>
        <w:t>。</w:t>
      </w:r>
    </w:p>
    <w:p w14:paraId="49F1DA05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B. </w:t>
      </w:r>
      <w:r>
        <w:rPr>
          <w:rFonts w:eastAsia="??"/>
          <w:b/>
          <w:sz w:val="21"/>
        </w:rPr>
        <w:t>性能指标、容量边界与大</w:t>
      </w:r>
      <w:r>
        <w:rPr>
          <w:rFonts w:eastAsia="??"/>
          <w:b/>
          <w:sz w:val="21"/>
        </w:rPr>
        <w:t xml:space="preserve"> $M$ </w:t>
      </w:r>
      <w:r>
        <w:rPr>
          <w:rFonts w:eastAsia="??"/>
          <w:b/>
          <w:sz w:val="21"/>
        </w:rPr>
        <w:t>极限</w:t>
      </w:r>
    </w:p>
    <w:p w14:paraId="5E45C343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基于条件概率矩阵，定义平均分选成功率</w:t>
      </w:r>
    </w:p>
    <w:p w14:paraId="3560CC30" w14:textId="3E20576D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 w:hint="eastAsia"/>
                  <w:sz w:val="21"/>
                </w:rPr>
                <m:t>η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eastAsia="Cambria Math" w:hAnsi="Cambria Math"/>
                  <w:sz w:val="21"/>
                </w:rPr>
                <m:t>sort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  <w:sz w:val="21"/>
                </w:rPr>
                <m:t>M</m:t>
              </m:r>
              <m:nary>
                <m:naryPr>
                  <m:chr m:val="∑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r>
                    <w:rPr>
                      <w:rFonts w:ascii="Cambria Math" w:eastAsia="Cambria Math" w:hAnsi="Cambria Math"/>
                      <w:sz w:val="21"/>
                    </w:rPr>
                    <m:t>j=1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M</m:t>
                      </m:r>
                    </m:e>
                  </m:d>
                  <m:r>
                    <w:rPr>
                      <w:rFonts w:ascii="Cambria Math" w:eastAsia="Cambria Math" w:hAnsi="Cambria Math"/>
                      <w:sz w:val="21"/>
                    </w:rPr>
                    <m:t>P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j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j</m:t>
                      </m:r>
                    </m:e>
                  </m:d>
                </m:sup>
                <m:e/>
              </m:nary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5D86280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以及每通道串扰抑制比</w:t>
      </w:r>
    </w:p>
    <w:p w14:paraId="7EBA5F2B" w14:textId="71F9081F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j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10</m:t>
              </m:r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1"/>
                        </w:rPr>
                        <m:t>log</m:t>
                      </m:r>
                      <m:ctrlPr>
                        <w:rPr>
                          <w:rFonts w:ascii="Cambria Math" w:eastAsia="Cambria Math" w:hAnsi="Cambria Math"/>
                          <w:sz w:val="21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10</m:t>
                      </m:r>
                      <m:ctrlPr>
                        <w:rPr>
                          <w:rFonts w:ascii="Cambria Math" w:eastAsia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j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j</m:t>
                          </m:r>
                        </m:e>
                      </m:d>
                    </m:e>
                  </m:d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i</m:t>
                      </m:r>
                      <m:r>
                        <w:rPr>
                          <w:rFonts w:ascii="Cambria Math" w:eastAsia="Cambria Math" w:hAnsi="Cambria Math" w:hint="eastAsia"/>
                          <w:sz w:val="21"/>
                        </w:rPr>
                        <m:t>≠</m:t>
                      </m:r>
                      <m:r>
                        <w:rPr>
                          <w:rFonts w:ascii="Cambria Math" w:eastAsia="Cambria Math" w:hAnsi="Cambria Math"/>
                          <w:sz w:val="21"/>
                        </w:rPr>
                        <m:t xml:space="preserve"> j</m:t>
                      </m:r>
                    </m:e>
                  </m:d>
                  <m:r>
                    <w:rPr>
                      <w:rFonts w:ascii="Cambria Math" w:eastAsia="Cambria Math" w:hAnsi="Cambria Math"/>
                      <w:sz w:val="21"/>
                    </w:rPr>
                    <m:t>P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i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j</m:t>
                      </m:r>
                    </m:e>
                  </m:d>
                </m:sub>
                <m:sup/>
                <m:e/>
              </m:nary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4EE1F18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对全部通道取平均得到</w:t>
      </w:r>
    </w:p>
    <w:p w14:paraId="4CFB9A17" w14:textId="6FE1789A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sum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  <w:sz w:val="21"/>
                </w:rPr>
                <m:t>M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sSubSup>
                    <m:sSub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j=1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mbria Math" w:hAnsi="Cambria Math"/>
                          <w:sz w:val="21"/>
                        </w:rPr>
                        <m:t>ER</m:t>
                      </m:r>
                    </m:sup>
                  </m:sSubSup>
                </m:sub>
                <m:sup/>
                <m:e/>
              </m:nary>
            </m:den>
          </m:f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6B533A39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这两个指标把折叠谱排布、腔精细度和目标模式组转化为可量化的分选质量评价。</w:t>
      </w:r>
    </w:p>
    <w:p w14:paraId="72ED7CB0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对于连续模式组</w:t>
      </w:r>
      <w:r>
        <w:rPr>
          <w:rFonts w:eastAsia="??"/>
          <w:sz w:val="21"/>
        </w:rPr>
        <w:t xml:space="preserve"> $S_M$ </w:t>
      </w:r>
      <w:r>
        <w:rPr>
          <w:rFonts w:eastAsia="??"/>
          <w:sz w:val="21"/>
        </w:rPr>
        <w:t>在最优分支</w:t>
      </w:r>
      <w:r>
        <w:rPr>
          <w:rFonts w:eastAsia="??"/>
          <w:sz w:val="21"/>
        </w:rPr>
        <w:t xml:space="preserve"> $k^\*=m/M$ </w:t>
      </w:r>
      <w:r>
        <w:rPr>
          <w:rFonts w:eastAsia="??"/>
          <w:sz w:val="21"/>
        </w:rPr>
        <w:t>下，各通道完全等价</w:t>
      </w:r>
      <w:r>
        <w:rPr>
          <w:rFonts w:eastAsia="??"/>
          <w:sz w:val="21"/>
        </w:rPr>
        <w:t>——</w:t>
      </w:r>
      <w:r>
        <w:rPr>
          <w:rFonts w:eastAsia="??"/>
          <w:sz w:val="21"/>
        </w:rPr>
        <w:t>每个通道面对的是同一组失谐</w:t>
      </w:r>
      <w:r>
        <w:rPr>
          <w:rFonts w:eastAsia="??"/>
          <w:sz w:val="21"/>
        </w:rPr>
        <w:t xml:space="preserve"> $\{r/M\}$</w:t>
      </w:r>
      <w:r>
        <w:rPr>
          <w:rFonts w:eastAsia="??"/>
          <w:sz w:val="21"/>
        </w:rPr>
        <w:t>（</w:t>
      </w:r>
      <w:r>
        <w:rPr>
          <w:rFonts w:eastAsia="??"/>
          <w:sz w:val="21"/>
        </w:rPr>
        <w:t>$r=1,\ldots,M-1$</w:t>
      </w:r>
      <w:r>
        <w:rPr>
          <w:rFonts w:eastAsia="??"/>
          <w:sz w:val="21"/>
        </w:rPr>
        <w:t>），仅排列次序不同。对任意通道</w:t>
      </w:r>
      <w:r>
        <w:rPr>
          <w:rFonts w:eastAsia="??"/>
          <w:sz w:val="21"/>
        </w:rPr>
        <w:t xml:space="preserve"> $j$</w:t>
      </w:r>
      <w:r>
        <w:rPr>
          <w:rFonts w:eastAsia="??"/>
          <w:sz w:val="21"/>
        </w:rPr>
        <w:t>，非目标通道的泄漏和为</w:t>
      </w:r>
    </w:p>
    <w:p w14:paraId="1BD56001" w14:textId="0DFA8B0B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 w:hint="eastAsia"/>
              <w:sz w:val="21"/>
            </w:rPr>
            <m:t>ε</m:t>
          </m:r>
          <m:r>
            <w:rPr>
              <w:rFonts w:ascii="Cambria Math" w:eastAsia="Cambria Math" w:hAnsi="Cambria Math"/>
              <w:sz w:val="21"/>
            </w:rPr>
            <m:t>_M=</m:t>
          </m:r>
          <m:r>
            <w:rPr>
              <w:rFonts w:ascii="Cambria Math" w:eastAsia="Cambria Math" w:hAnsi="Cambria Math" w:hint="eastAsia"/>
              <w:sz w:val="21"/>
            </w:rPr>
            <m:t>∑</m:t>
          </m:r>
          <m:r>
            <w:rPr>
              <w:rFonts w:ascii="Cambria Math" w:eastAsia="Cambria Math" w:hAnsi="Cambria Math"/>
              <w:sz w:val="21"/>
            </w:rPr>
            <m:t xml:space="preserve">_(r=1)^(M-1) (1)/(1+((2F)/(π))^2 </m:t>
          </m:r>
          <m:r>
            <m:rPr>
              <m:sty m:val="p"/>
            </m:rPr>
            <w:rPr>
              <w:rFonts w:ascii="Cambria Math" w:eastAsia="Cambria Math" w:hAnsi="Cambria Math"/>
              <w:sz w:val="21"/>
            </w:rPr>
            <m:t>sin⁡</m:t>
          </m:r>
          <m:r>
            <w:rPr>
              <w:rFonts w:ascii="Cambria Math" w:eastAsia="Cambria Math" w:hAnsi="Cambria Math"/>
              <w:sz w:val="21"/>
            </w:rPr>
            <m:t>^2(π r/M)).</m:t>
          </m:r>
        </m:oMath>
      </m:oMathPara>
    </w:p>
    <w:p w14:paraId="63D0C7C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由于各行（列）的归一化因子均为</w:t>
      </w:r>
      <w:r>
        <w:rPr>
          <w:rFonts w:eastAsia="??"/>
          <w:sz w:val="21"/>
        </w:rPr>
        <w:t xml:space="preserve"> $1+\epsilon_M$</w:t>
      </w:r>
      <w:r>
        <w:rPr>
          <w:rFonts w:eastAsia="??"/>
          <w:sz w:val="21"/>
        </w:rPr>
        <w:t>，有</w:t>
      </w:r>
    </w:p>
    <w:p w14:paraId="5B8CE6B9" w14:textId="53C8C929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P(j|j)=(1)/(1+ε_M), η_(sort)=(1)/(1+ε_M), ER_(sum)=10</m:t>
          </m:r>
          <m:r>
            <m:rPr>
              <m:sty m:val="p"/>
            </m:rPr>
            <w:rPr>
              <w:rFonts w:ascii="Cambria Math" w:eastAsia="Cambria Math" w:hAnsi="Cambria Math"/>
              <w:sz w:val="21"/>
            </w:rPr>
            <m:t>log⁡</m:t>
          </m:r>
          <m:r>
            <w:rPr>
              <w:rFonts w:ascii="Cambria Math" w:eastAsia="Cambria Math" w:hAnsi="Cambria Math"/>
              <w:sz w:val="21"/>
            </w:rPr>
            <m:t>_(10)(1)/(ε_M),</m:t>
          </m:r>
        </m:oMath>
      </m:oMathPara>
    </w:p>
    <w:p w14:paraId="477C2158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在上述有限目标集合、均匀先验和周期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响应归一化定义下，三项均精确成立。随着</w:t>
      </w:r>
      <w:r>
        <w:rPr>
          <w:rFonts w:eastAsia="??"/>
          <w:sz w:val="21"/>
        </w:rPr>
        <w:t xml:space="preserve"> $M$ </w:t>
      </w:r>
      <w:r>
        <w:rPr>
          <w:rFonts w:eastAsia="??"/>
          <w:sz w:val="21"/>
        </w:rPr>
        <w:t>增大，</w:t>
      </w:r>
      <w:r>
        <w:rPr>
          <w:rFonts w:eastAsia="??"/>
          <w:sz w:val="21"/>
        </w:rPr>
        <w:t xml:space="preserve">$s_{\min}=1/M$ </w:t>
      </w:r>
      <w:r>
        <w:rPr>
          <w:rFonts w:eastAsia="??"/>
          <w:sz w:val="21"/>
        </w:rPr>
        <w:t>减小，需在给定精细度下评估可达到的分选质量。</w:t>
      </w:r>
    </w:p>
    <w:p w14:paraId="00181A85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为此引入容量条件。设相邻通道的最小线宽归一化间距为</w:t>
      </w:r>
    </w:p>
    <w:p w14:paraId="0F8081A6" w14:textId="0DFCDB33" w:rsidR="008467B0" w:rsidRDefault="0066233F">
      <w:pPr>
        <w:spacing w:after="0" w:line="240" w:lineRule="auto"/>
        <w:ind w:firstLine="420"/>
        <w:jc w:val="both"/>
      </w:pPr>
      <m:oMath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eastAsia="Cambria Math" w:hAnsi="Cambria Math" w:hint="eastAsia"/>
                <w:sz w:val="21"/>
              </w:rPr>
              <m:t>τ</m:t>
            </m:r>
            <m:ctrlPr>
              <w:rPr>
                <w:rFonts w:ascii="Cambria Math" w:eastAsia="Cambria Math" w:hAnsi="Cambria Math" w:hint="eastAsia"/>
                <w:i/>
                <w:sz w:val="21"/>
              </w:rPr>
            </m:ctrlPr>
          </m:e>
          <m:sub>
            <m:r>
              <w:rPr>
                <w:rFonts w:ascii="Cambria Math" w:eastAsia="Cambria Math" w:hAnsi="Cambria Math"/>
                <w:sz w:val="21"/>
              </w:rPr>
              <m:t>min</m:t>
            </m:r>
          </m:sub>
        </m:sSub>
        <m:r>
          <w:rPr>
            <w:rFonts w:ascii="Cambria Math" w:eastAsia="Cambria Math" w:hAnsi="Cambria Math"/>
            <w:sz w:val="21"/>
          </w:rPr>
          <m:t xml:space="preserve">=F </m:t>
        </m:r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eastAsia="Cambria Math" w:hAnsi="Cambria Math"/>
                <w:sz w:val="21"/>
              </w:rPr>
              <m:t>s</m:t>
            </m:r>
          </m:e>
          <m:sub>
            <m:r>
              <w:rPr>
                <w:rFonts w:ascii="Cambria Math" w:eastAsia="Cambria Math" w:hAnsi="Cambria Math"/>
                <w:sz w:val="21"/>
              </w:rPr>
              <m:t>min</m:t>
            </m:r>
          </m:sub>
        </m:sSub>
        <m:r>
          <w:rPr>
            <w:rFonts w:ascii="Cambria Math" w:eastAsia="Cambria Math" w:hAnsi="Cambria Math"/>
            <w:sz w:val="21"/>
          </w:rPr>
          <m:t>.</m:t>
        </m:r>
      </m:oMath>
      <w:r w:rsidR="00BF3579">
        <w:rPr>
          <w:rFonts w:eastAsia="??"/>
          <w:sz w:val="21"/>
        </w:rPr>
        <w:t>$\tau_0$</w:t>
      </w:r>
      <w:r w:rsidR="00BF3579">
        <w:rPr>
          <w:rFonts w:eastAsia="??"/>
          <w:sz w:val="21"/>
        </w:rPr>
        <w:t>（物理上对应可接受的最小通道间隔，以线宽为单位），要求</w:t>
      </w:r>
      <w:r w:rsidR="00BF3579">
        <w:rPr>
          <w:rFonts w:eastAsia="??"/>
          <w:sz w:val="21"/>
        </w:rPr>
        <w:t xml:space="preserve"> $\tau_{\min}\ge\tau_0$</w:t>
      </w:r>
      <w:r w:rsidR="00BF3579">
        <w:rPr>
          <w:rFonts w:eastAsia="??"/>
          <w:sz w:val="21"/>
        </w:rPr>
        <w:t>。代入</w:t>
      </w:r>
      <w:r w:rsidR="00BF3579">
        <w:rPr>
          <w:rFonts w:eastAsia="??"/>
          <w:sz w:val="21"/>
        </w:rPr>
        <w:t xml:space="preserve"> $s_{\min}=1/M$</w:t>
      </w:r>
      <w:r w:rsidR="00BF3579">
        <w:rPr>
          <w:rFonts w:eastAsia="??"/>
          <w:sz w:val="21"/>
        </w:rPr>
        <w:t>，得到连续模式组的容量边界</w:t>
      </w:r>
    </w:p>
    <w:p w14:paraId="4FFA889B" w14:textId="43AD75FF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w:lastRenderedPageBreak/>
            <m:t>M</m:t>
          </m:r>
          <m:r>
            <w:rPr>
              <w:rFonts w:ascii="Cambria Math" w:eastAsia="Cambria Math" w:hAnsi="Cambria Math" w:hint="eastAsia"/>
              <w:sz w:val="21"/>
            </w:rPr>
            <m:t>≤</m:t>
          </m:r>
          <m:r>
            <w:rPr>
              <w:rFonts w:ascii="Cambria Math" w:eastAsia="Cambria Math" w:hAnsi="Cambria Math"/>
              <w:sz w:val="21"/>
            </w:rPr>
            <m:t xml:space="preserve"> lfloor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F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/>
                  <w:sz w:val="21"/>
                </w:rPr>
                <m:t>rfloor</m:t>
              </m:r>
            </m:den>
          </m:f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59579134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这一边界把折叠谱间距和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线宽联系起来，不依赖特定腔型。在边界标度</w:t>
      </w:r>
      <w:r>
        <w:rPr>
          <w:rFonts w:eastAsia="??"/>
          <w:sz w:val="21"/>
        </w:rPr>
        <w:t xml:space="preserve"> $F=\tau_0 M$ </w:t>
      </w:r>
      <w:r>
        <w:rPr>
          <w:rFonts w:eastAsia="??"/>
          <w:sz w:val="21"/>
        </w:rPr>
        <w:t>下取</w:t>
      </w:r>
      <w:r>
        <w:rPr>
          <w:rFonts w:eastAsia="??"/>
          <w:sz w:val="21"/>
        </w:rPr>
        <w:t xml:space="preserve"> $M\to\infty$</w:t>
      </w:r>
      <w:r>
        <w:rPr>
          <w:rFonts w:eastAsia="??"/>
          <w:sz w:val="21"/>
        </w:rPr>
        <w:t>，有限维求和过渡为大</w:t>
      </w:r>
      <w:r>
        <w:rPr>
          <w:rFonts w:eastAsia="??"/>
          <w:sz w:val="21"/>
        </w:rPr>
        <w:t xml:space="preserve"> $M$ </w:t>
      </w:r>
      <w:r>
        <w:rPr>
          <w:rFonts w:eastAsia="??"/>
          <w:sz w:val="21"/>
        </w:rPr>
        <w:t>极限</w:t>
      </w:r>
    </w:p>
    <w:p w14:paraId="0F6A4B24" w14:textId="63757943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 w:hint="eastAsia"/>
                  <w:sz w:val="21"/>
                </w:rPr>
                <m:t>ε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eastAsia="Cambria Math" w:hAnsi="Cambria Math" w:hint="eastAsia"/>
                  <w:sz w:val="21"/>
                </w:rPr>
                <m:t>∞</m:t>
              </m:r>
            </m:sub>
          </m:sSub>
          <m:r>
            <w:rPr>
              <w:rFonts w:ascii="Cambria Math" w:eastAsia="Cambria Math" w:hAnsi="Cambria Math"/>
              <w:sz w:val="21"/>
            </w:rPr>
            <m:t>= 2</m:t>
          </m:r>
          <m:nary>
            <m:naryPr>
              <m:chr m:val="∑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naryPr>
            <m:sub>
              <m:r>
                <w:rPr>
                  <w:rFonts w:ascii="Cambria Math" w:eastAsia="Cambria Math" w:hAnsi="Cambria Math"/>
                  <w:sz w:val="21"/>
                </w:rPr>
                <m:t>r=1</m:t>
              </m:r>
            </m:sub>
            <m:sup>
              <m:r>
                <w:rPr>
                  <w:rFonts w:ascii="Cambria Math" w:eastAsia="Cambria Math" w:hAnsi="Cambria Math" w:hint="eastAsia"/>
                  <w:sz w:val="21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  <w:sz w:val="21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/>
                      <w:sz w:val="21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/>
                          <w:sz w:val="21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7BD14FFC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取</w:t>
      </w:r>
      <w:r>
        <w:rPr>
          <w:rFonts w:eastAsia="??"/>
          <w:sz w:val="21"/>
        </w:rPr>
        <w:t xml:space="preserve"> $\tau_0=3$</w:t>
      </w:r>
      <w:r>
        <w:rPr>
          <w:rFonts w:eastAsia="??"/>
          <w:sz w:val="21"/>
        </w:rPr>
        <w:t>，数值计算得到</w:t>
      </w:r>
      <w:r>
        <w:rPr>
          <w:rFonts w:eastAsia="??"/>
          <w:sz w:val="21"/>
        </w:rPr>
        <w:t xml:space="preserve"> $\eta_{\mathrm{sort}}\approx91.7635\%$</w:t>
      </w:r>
      <w:r>
        <w:rPr>
          <w:rFonts w:eastAsia="??"/>
          <w:sz w:val="21"/>
        </w:rPr>
        <w:t>，</w:t>
      </w:r>
      <w:r>
        <w:rPr>
          <w:rFonts w:eastAsia="??"/>
          <w:sz w:val="21"/>
        </w:rPr>
        <w:t>$ER_{\mathrm{sum}}\approx10.4693\,\mathrm{dB}$</w:t>
      </w:r>
      <w:r>
        <w:rPr>
          <w:rFonts w:eastAsia="??"/>
          <w:sz w:val="21"/>
        </w:rPr>
        <w:t>。这一极限给出了给定阈值标度下连续模式组的渐近分选性能。</w:t>
      </w:r>
    </w:p>
    <w:p w14:paraId="27F66152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以</w:t>
      </w:r>
      <w:r>
        <w:rPr>
          <w:rFonts w:eastAsia="??"/>
          <w:sz w:val="21"/>
        </w:rPr>
        <w:t xml:space="preserve"> $M=9$ </w:t>
      </w:r>
      <w:r>
        <w:rPr>
          <w:rFonts w:eastAsia="??"/>
          <w:sz w:val="21"/>
        </w:rPr>
        <w:t>连续模式组为具体算例，取互素分支</w:t>
      </w:r>
      <w:r>
        <w:rPr>
          <w:rFonts w:eastAsia="??"/>
          <w:sz w:val="21"/>
        </w:rPr>
        <w:t xml:space="preserve"> $k=2/9$</w:t>
      </w:r>
      <w:r>
        <w:rPr>
          <w:rFonts w:eastAsia="??"/>
          <w:sz w:val="21"/>
        </w:rPr>
        <w:t>，最优间距</w:t>
      </w:r>
      <w:r>
        <w:rPr>
          <w:rFonts w:eastAsia="??"/>
          <w:sz w:val="21"/>
        </w:rPr>
        <w:t xml:space="preserve"> $s_{\min}=1/9$</w:t>
      </w:r>
      <w:r>
        <w:rPr>
          <w:rFonts w:eastAsia="??"/>
          <w:sz w:val="21"/>
        </w:rPr>
        <w:t>。当腔精细度</w:t>
      </w:r>
      <w:r>
        <w:rPr>
          <w:rFonts w:eastAsia="??"/>
          <w:sz w:val="21"/>
        </w:rPr>
        <w:t xml:space="preserve"> $F=32.21$ </w:t>
      </w:r>
      <w:r>
        <w:rPr>
          <w:rFonts w:eastAsia="??"/>
          <w:sz w:val="21"/>
        </w:rPr>
        <w:t>时，</w:t>
      </w:r>
      <w:r>
        <w:rPr>
          <w:rFonts w:eastAsia="??"/>
          <w:sz w:val="21"/>
        </w:rPr>
        <w:t>$\tau_{\min}=F s_{\min}\approx3.58$</w:t>
      </w:r>
      <w:r>
        <w:rPr>
          <w:rFonts w:eastAsia="??"/>
          <w:sz w:val="21"/>
        </w:rPr>
        <w:t>，满足</w:t>
      </w:r>
      <w:r>
        <w:rPr>
          <w:rFonts w:eastAsia="??"/>
          <w:sz w:val="21"/>
        </w:rPr>
        <w:t xml:space="preserve"> $\tau_0=3$ </w:t>
      </w:r>
      <w:r>
        <w:rPr>
          <w:rFonts w:eastAsia="??"/>
          <w:sz w:val="21"/>
        </w:rPr>
        <w:t>的阈值要求。有限维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计算给出</w:t>
      </w:r>
    </w:p>
    <w:p w14:paraId="32005A7C" w14:textId="113D03F7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 w:hint="eastAsia"/>
                  <w:sz w:val="21"/>
                </w:rPr>
                <m:t>η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eastAsia="Cambria Math" w:hAnsi="Cambria Math"/>
                  <w:sz w:val="21"/>
                </w:rPr>
                <m:t>sort</m:t>
              </m:r>
            </m:sub>
          </m:sSub>
          <m:r>
            <w:rPr>
              <w:rFonts w:ascii="Cambria Math" w:eastAsia="Cambria Math" w:hAnsi="Cambria Math"/>
              <w:sz w:val="21"/>
            </w:rPr>
            <m:t>=94.1166%, 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sum</m:t>
              </m:r>
            </m:sub>
          </m:sSub>
          <m:r>
            <w:rPr>
              <w:rFonts w:ascii="Cambria Math" w:eastAsia="Cambria Math" w:hAnsi="Cambria Math"/>
              <w:sz w:val="21"/>
            </w:rPr>
            <m:t>=12.0404dB.</m:t>
          </m:r>
        </m:oMath>
      </m:oMathPara>
    </w:p>
    <w:p w14:paraId="529C1CC4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图</w:t>
      </w:r>
      <w:r>
        <w:rPr>
          <w:rFonts w:eastAsia="??"/>
          <w:sz w:val="21"/>
        </w:rPr>
        <w:t xml:space="preserve"> 3 </w:t>
      </w:r>
      <w:r>
        <w:rPr>
          <w:rFonts w:eastAsia="??"/>
          <w:sz w:val="21"/>
        </w:rPr>
        <w:t>给出了该算例的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串扰热图与条件概率分布。表</w:t>
      </w:r>
      <w:r>
        <w:rPr>
          <w:rFonts w:eastAsia="??"/>
          <w:sz w:val="21"/>
        </w:rPr>
        <w:t xml:space="preserve"> 1 </w:t>
      </w:r>
      <w:r>
        <w:rPr>
          <w:rFonts w:eastAsia="??"/>
          <w:sz w:val="21"/>
        </w:rPr>
        <w:t>列出了</w:t>
      </w:r>
      <w:r>
        <w:rPr>
          <w:rFonts w:eastAsia="??"/>
          <w:sz w:val="21"/>
        </w:rPr>
        <w:t xml:space="preserve"> $\tau_0=3$ </w:t>
      </w:r>
      <w:r>
        <w:rPr>
          <w:rFonts w:eastAsia="??"/>
          <w:sz w:val="21"/>
        </w:rPr>
        <w:t>下不同</w:t>
      </w:r>
      <w:r>
        <w:rPr>
          <w:rFonts w:eastAsia="??"/>
          <w:sz w:val="21"/>
        </w:rPr>
        <w:t xml:space="preserve"> $M$ </w:t>
      </w:r>
      <w:r>
        <w:rPr>
          <w:rFonts w:eastAsia="??"/>
          <w:sz w:val="21"/>
        </w:rPr>
        <w:t>的连续模式组设计蓝图及对应性能指标，供器件设计参考。</w:t>
      </w:r>
    </w:p>
    <w:p w14:paraId="4A085D40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C. </w:t>
      </w:r>
      <w:r>
        <w:rPr>
          <w:rFonts w:eastAsia="??"/>
          <w:b/>
          <w:sz w:val="21"/>
        </w:rPr>
        <w:t>构型回代与鲁棒性排序</w:t>
      </w:r>
    </w:p>
    <w:p w14:paraId="3DEE361E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串扰指标和容量边界均在折叠谱设计层获得，与腔型无关。进入几何实现层后，</w:t>
      </w:r>
      <w:r>
        <w:rPr>
          <w:rFonts w:eastAsia="??"/>
          <w:sz w:val="21"/>
        </w:rPr>
        <w:t xml:space="preserve">$k_{\mathrm{eff}}$ </w:t>
      </w:r>
      <w:r>
        <w:rPr>
          <w:rFonts w:eastAsia="??"/>
          <w:sz w:val="21"/>
        </w:rPr>
        <w:t>到几何参数的映射会改变实际工作点的选择。对于</w:t>
      </w:r>
      <w:r>
        <w:rPr>
          <w:rFonts w:eastAsia="??"/>
          <w:sz w:val="21"/>
        </w:rPr>
        <w:t xml:space="preserve"> $M=9$ </w:t>
      </w:r>
      <w:r>
        <w:rPr>
          <w:rFonts w:eastAsia="??"/>
          <w:sz w:val="21"/>
        </w:rPr>
        <w:t>连续模式组，</w:t>
      </w:r>
      <w:r>
        <w:rPr>
          <w:rFonts w:eastAsia="??"/>
          <w:sz w:val="21"/>
        </w:rPr>
        <w:t xml:space="preserve">$m=1,2,4$ </w:t>
      </w:r>
      <w:r>
        <w:rPr>
          <w:rFonts w:eastAsia="??"/>
          <w:sz w:val="21"/>
        </w:rPr>
        <w:t>三条互素分支均能达到理论最优间距</w:t>
      </w:r>
      <w:r>
        <w:rPr>
          <w:rFonts w:eastAsia="??"/>
          <w:sz w:val="21"/>
        </w:rPr>
        <w:t xml:space="preserve"> $s_{\min}=1/9$</w:t>
      </w:r>
      <w:r>
        <w:rPr>
          <w:rFonts w:eastAsia="??"/>
          <w:sz w:val="21"/>
        </w:rPr>
        <w:t>。在平凹腔中，它们分别对应</w:t>
      </w:r>
      <w:r>
        <w:rPr>
          <w:rFonts w:eastAsia="??"/>
          <w:sz w:val="21"/>
        </w:rPr>
        <w:t xml:space="preserve"> $L/R\approx0.117$</w:t>
      </w:r>
      <w:r>
        <w:rPr>
          <w:rFonts w:eastAsia="??"/>
          <w:sz w:val="21"/>
        </w:rPr>
        <w:t>、</w:t>
      </w:r>
      <w:r>
        <w:rPr>
          <w:rFonts w:eastAsia="??"/>
          <w:sz w:val="21"/>
        </w:rPr>
        <w:t xml:space="preserve">$0.413$ </w:t>
      </w:r>
      <w:r>
        <w:rPr>
          <w:rFonts w:eastAsia="??"/>
          <w:sz w:val="21"/>
        </w:rPr>
        <w:t>和</w:t>
      </w:r>
      <w:r>
        <w:rPr>
          <w:rFonts w:eastAsia="??"/>
          <w:sz w:val="21"/>
        </w:rPr>
        <w:t xml:space="preserve"> $0.970$</w:t>
      </w:r>
      <w:r>
        <w:rPr>
          <w:rFonts w:eastAsia="??"/>
          <w:sz w:val="21"/>
        </w:rPr>
        <w:t>。由于</w:t>
      </w:r>
      <w:r>
        <w:rPr>
          <w:rFonts w:eastAsia="??"/>
          <w:sz w:val="21"/>
        </w:rPr>
        <w:t xml:space="preserve"> $L/R$ </w:t>
      </w:r>
      <w:r>
        <w:rPr>
          <w:rFonts w:eastAsia="??"/>
          <w:sz w:val="21"/>
        </w:rPr>
        <w:t>的调节灵敏度在中间区域最低，</w:t>
      </w:r>
      <w:r>
        <w:rPr>
          <w:rFonts w:eastAsia="??"/>
          <w:sz w:val="21"/>
        </w:rPr>
        <w:t xml:space="preserve">$m=2$ </w:t>
      </w:r>
      <w:r>
        <w:rPr>
          <w:rFonts w:eastAsia="??"/>
          <w:sz w:val="21"/>
        </w:rPr>
        <w:t>分支成为平凹腔中较鲁棒的代表支。在对称双凹腔中，近平面支和近同心支分别由</w:t>
      </w:r>
      <w:r>
        <w:rPr>
          <w:rFonts w:eastAsia="??"/>
          <w:sz w:val="21"/>
        </w:rPr>
        <w:t xml:space="preserve"> $L/R=1\mp\cos(\pi k)$ </w:t>
      </w:r>
      <w:r>
        <w:rPr>
          <w:rFonts w:eastAsia="??"/>
          <w:sz w:val="21"/>
        </w:rPr>
        <w:t>给出，低灵敏度区域转移至共焦条件</w:t>
      </w:r>
      <w:r>
        <w:rPr>
          <w:rFonts w:eastAsia="??"/>
          <w:sz w:val="21"/>
        </w:rPr>
        <w:t xml:space="preserve"> $L/R=1$ </w:t>
      </w:r>
      <w:r>
        <w:rPr>
          <w:rFonts w:eastAsia="??"/>
          <w:sz w:val="21"/>
        </w:rPr>
        <w:t>附近，因而</w:t>
      </w:r>
      <w:r>
        <w:rPr>
          <w:rFonts w:eastAsia="??"/>
          <w:sz w:val="21"/>
        </w:rPr>
        <w:t xml:space="preserve"> $m=4$ </w:t>
      </w:r>
      <w:r>
        <w:rPr>
          <w:rFonts w:eastAsia="??"/>
          <w:sz w:val="21"/>
        </w:rPr>
        <w:t>分支具有更好的抗扰动能力。图</w:t>
      </w:r>
      <w:r>
        <w:rPr>
          <w:rFonts w:eastAsia="??"/>
          <w:sz w:val="21"/>
        </w:rPr>
        <w:t xml:space="preserve"> 4 </w:t>
      </w:r>
      <w:r>
        <w:rPr>
          <w:rFonts w:eastAsia="??"/>
          <w:sz w:val="21"/>
        </w:rPr>
        <w:t>比较了两种腔型的几何映射及</w:t>
      </w:r>
      <w:r>
        <w:rPr>
          <w:rFonts w:eastAsia="??"/>
          <w:sz w:val="21"/>
        </w:rPr>
        <w:t xml:space="preserve"> $M=9$ </w:t>
      </w:r>
      <w:r>
        <w:rPr>
          <w:rFonts w:eastAsia="??"/>
          <w:sz w:val="21"/>
        </w:rPr>
        <w:t>鲁棒分支排序。相同</w:t>
      </w:r>
      <w:r>
        <w:rPr>
          <w:rFonts w:eastAsia="??"/>
          <w:sz w:val="21"/>
        </w:rPr>
        <w:t xml:space="preserve"> $k_{\mathrm{eff}}$ </w:t>
      </w:r>
      <w:r>
        <w:rPr>
          <w:rFonts w:eastAsia="??"/>
          <w:sz w:val="21"/>
        </w:rPr>
        <w:t>下串扰性能相同，几何鲁棒性排序则需按腔型重新计算。</w:t>
      </w:r>
    </w:p>
    <w:p w14:paraId="769EFCE1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 xml:space="preserve">V.OAM </w:t>
      </w:r>
      <w:r>
        <w:rPr>
          <w:rFonts w:eastAsia="??"/>
          <w:b/>
          <w:sz w:val="22"/>
        </w:rPr>
        <w:t>序列、径向寄生与卫星峰来源</w:t>
      </w:r>
    </w:p>
    <w:p w14:paraId="4C5837BA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A. OAM </w:t>
      </w:r>
      <w:r>
        <w:rPr>
          <w:rFonts w:eastAsia="??"/>
          <w:b/>
          <w:sz w:val="21"/>
        </w:rPr>
        <w:t>序列作为横模阶数的特例</w:t>
      </w:r>
    </w:p>
    <w:p w14:paraId="6F5EBB4D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若目标模式限制在</w:t>
      </w:r>
      <w:r>
        <w:rPr>
          <w:rFonts w:eastAsia="??"/>
          <w:sz w:val="21"/>
        </w:rPr>
        <w:t xml:space="preserve"> $p=0$ </w:t>
      </w:r>
      <w:r>
        <w:rPr>
          <w:rFonts w:eastAsia="??"/>
          <w:sz w:val="21"/>
        </w:rPr>
        <w:t>且只取单符号</w:t>
      </w:r>
      <w:r>
        <w:rPr>
          <w:rFonts w:eastAsia="??"/>
          <w:sz w:val="21"/>
        </w:rPr>
        <w:t xml:space="preserve"> $l$ </w:t>
      </w:r>
      <w:r>
        <w:rPr>
          <w:rFonts w:eastAsia="??"/>
          <w:sz w:val="21"/>
        </w:rPr>
        <w:t>序列（例如</w:t>
      </w:r>
      <w:r>
        <w:rPr>
          <w:rFonts w:eastAsia="??"/>
          <w:sz w:val="21"/>
        </w:rPr>
        <w:t xml:space="preserve"> $l=1,2,\ldots$</w:t>
      </w:r>
      <w:r>
        <w:rPr>
          <w:rFonts w:eastAsia="??"/>
          <w:sz w:val="21"/>
        </w:rPr>
        <w:t>），则</w:t>
      </w:r>
    </w:p>
    <w:p w14:paraId="204465EC" w14:textId="486CFD07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N=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l</m:t>
              </m:r>
            </m:e>
          </m:d>
          <m:r>
            <w:rPr>
              <w:rFonts w:ascii="Cambria Math" w:eastAsia="Cambria Math" w:hAnsi="Cambria Math"/>
              <w:sz w:val="21"/>
            </w:rPr>
            <m:t>+1.</m:t>
          </m:r>
        </m:oMath>
      </m:oMathPara>
    </w:p>
    <w:p w14:paraId="7B06C66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此时</w:t>
      </w:r>
      <w:r>
        <w:rPr>
          <w:rFonts w:eastAsia="??"/>
          <w:sz w:val="21"/>
        </w:rPr>
        <w:t xml:space="preserve"> OAM </w:t>
      </w:r>
      <w:r>
        <w:rPr>
          <w:rFonts w:eastAsia="??"/>
          <w:sz w:val="21"/>
        </w:rPr>
        <w:t>连续序列映射为连续模式组</w:t>
      </w:r>
      <w:r>
        <w:rPr>
          <w:rFonts w:eastAsia="??"/>
          <w:sz w:val="21"/>
        </w:rPr>
        <w:t xml:space="preserve"> $S_M$</w:t>
      </w:r>
      <w:r>
        <w:rPr>
          <w:rFonts w:eastAsia="??"/>
          <w:sz w:val="21"/>
        </w:rPr>
        <w:t>，第</w:t>
      </w:r>
      <w:r>
        <w:rPr>
          <w:rFonts w:eastAsia="??"/>
          <w:sz w:val="21"/>
        </w:rPr>
        <w:t xml:space="preserve"> 3–4 </w:t>
      </w:r>
      <w:r>
        <w:rPr>
          <w:rFonts w:eastAsia="??"/>
          <w:sz w:val="21"/>
        </w:rPr>
        <w:t>节的排布优化和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串扰分析可直接沿用。这一情形是横模阶数响应的一个物理特例。</w:t>
      </w:r>
    </w:p>
    <w:p w14:paraId="4DF65C0C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稳定各向同性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腔的共振频率依赖</w:t>
      </w:r>
      <w:r>
        <w:rPr>
          <w:rFonts w:eastAsia="??"/>
          <w:sz w:val="21"/>
        </w:rPr>
        <w:t xml:space="preserve"> $|l|$ </w:t>
      </w:r>
      <w:r>
        <w:rPr>
          <w:rFonts w:eastAsia="??"/>
          <w:sz w:val="21"/>
        </w:rPr>
        <w:t>而非</w:t>
      </w:r>
      <w:r>
        <w:rPr>
          <w:rFonts w:eastAsia="??"/>
          <w:sz w:val="21"/>
        </w:rPr>
        <w:t xml:space="preserve"> $l$ </w:t>
      </w:r>
      <w:r>
        <w:rPr>
          <w:rFonts w:eastAsia="??"/>
          <w:sz w:val="21"/>
        </w:rPr>
        <w:t>的符号，单个腔不能将</w:t>
      </w:r>
      <w:r>
        <w:rPr>
          <w:rFonts w:eastAsia="??"/>
          <w:sz w:val="21"/>
        </w:rPr>
        <w:t xml:space="preserve"> $+l$ </w:t>
      </w:r>
      <w:r>
        <w:rPr>
          <w:rFonts w:eastAsia="??"/>
          <w:sz w:val="21"/>
        </w:rPr>
        <w:t>与</w:t>
      </w:r>
      <w:r>
        <w:rPr>
          <w:rFonts w:eastAsia="??"/>
          <w:sz w:val="21"/>
        </w:rPr>
        <w:t xml:space="preserve"> $-l$ </w:t>
      </w:r>
      <w:r>
        <w:rPr>
          <w:rFonts w:eastAsia="??"/>
          <w:sz w:val="21"/>
        </w:rPr>
        <w:t>分配到不同频谱通道。若实验任务需要区分符号，则需引入破坏圆对称性的附加元件、像散或各向异性模式变换，或干涉式模式转换等外部机制。这里讨论的单腔频谱分束对应按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的模式组选通能力。</w:t>
      </w:r>
    </w:p>
    <w:p w14:paraId="7F36114C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B. </w:t>
      </w:r>
      <w:r>
        <w:rPr>
          <w:rFonts w:eastAsia="??"/>
          <w:b/>
          <w:sz w:val="21"/>
        </w:rPr>
        <w:t>轴对称失配与径向泄漏</w:t>
      </w:r>
    </w:p>
    <w:p w14:paraId="584281C0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当入射场保持绕腔轴的圆对称形式</w:t>
      </w:r>
    </w:p>
    <w:p w14:paraId="0A788762" w14:textId="4B5B05CC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in</m:t>
                  </m:r>
                </m:e>
              </m:d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r,φ</m:t>
                  </m:r>
                </m:e>
              </m:d>
            </m:sub>
          </m:sSub>
          <m:r>
            <w:rPr>
              <w:rFonts w:ascii="Cambria Math" w:eastAsia="Cambria Math" w:hAnsi="Cambria Math"/>
              <w:sz w:val="21"/>
            </w:rPr>
            <m:t>=f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r</m:t>
              </m:r>
            </m:e>
          </m:d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/>
                  <w:sz w:val="21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ilφ</m:t>
                  </m:r>
                </m:e>
              </m:d>
            </m:e>
          </m:func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4CEE6BE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其对腔模基</w:t>
      </w:r>
      <w:r>
        <w:rPr>
          <w:rFonts w:eastAsia="??"/>
          <w:sz w:val="21"/>
        </w:rPr>
        <w:t xml:space="preserve"> $LG_p^{l'}$ </w:t>
      </w:r>
      <w:r>
        <w:rPr>
          <w:rFonts w:eastAsia="??"/>
          <w:sz w:val="21"/>
        </w:rPr>
        <w:t>的投影在角向积分后满足</w:t>
      </w:r>
      <w:r>
        <w:rPr>
          <w:rFonts w:eastAsia="??"/>
          <w:sz w:val="21"/>
        </w:rPr>
        <w:t xml:space="preserve"> $l'=l$</w:t>
      </w:r>
      <w:r>
        <w:rPr>
          <w:rFonts w:eastAsia="??"/>
          <w:sz w:val="21"/>
        </w:rPr>
        <w:t>。因此，束腰大小失配、束腰位置偏差、波前曲率失配以及以腔轴为中心的圆对称截断，主要改变同一</w:t>
      </w:r>
      <w:r>
        <w:rPr>
          <w:rFonts w:eastAsia="??"/>
          <w:sz w:val="21"/>
        </w:rPr>
        <w:t xml:space="preserve"> $l$ </w:t>
      </w:r>
      <w:r>
        <w:rPr>
          <w:rFonts w:eastAsia="??"/>
          <w:sz w:val="21"/>
        </w:rPr>
        <w:t>子空间内的径向展开系数，在理想条件下不引入不同</w:t>
      </w:r>
      <w:r>
        <w:rPr>
          <w:rFonts w:eastAsia="??"/>
          <w:sz w:val="21"/>
        </w:rPr>
        <w:t xml:space="preserve"> $l$ </w:t>
      </w:r>
      <w:r>
        <w:rPr>
          <w:rFonts w:eastAsia="??"/>
          <w:sz w:val="21"/>
        </w:rPr>
        <w:t>之间的混合。</w:t>
      </w:r>
    </w:p>
    <w:p w14:paraId="71AE6AAF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lastRenderedPageBreak/>
        <w:t>对于仅含束腰大小失配的典型情形，设入射场为</w:t>
      </w:r>
      <w:r>
        <w:rPr>
          <w:rFonts w:eastAsia="??"/>
          <w:sz w:val="21"/>
        </w:rPr>
        <w:t xml:space="preserve"> $LG_0^l$</w:t>
      </w:r>
      <w:r>
        <w:rPr>
          <w:rFonts w:eastAsia="??"/>
          <w:sz w:val="21"/>
        </w:rPr>
        <w:t>，</w:t>
      </w:r>
      <w:r>
        <w:rPr>
          <w:rFonts w:eastAsia="??"/>
          <w:sz w:val="21"/>
        </w:rPr>
        <w:t xml:space="preserve">$\eta=w_{\mathrm{in}}/w_0$ </w:t>
      </w:r>
      <w:r>
        <w:rPr>
          <w:rFonts w:eastAsia="??"/>
          <w:sz w:val="21"/>
        </w:rPr>
        <w:t>为束腰比，则同一</w:t>
      </w:r>
      <w:r>
        <w:rPr>
          <w:rFonts w:eastAsia="??"/>
          <w:sz w:val="21"/>
        </w:rPr>
        <w:t xml:space="preserve"> $l$ </w:t>
      </w:r>
      <w:r>
        <w:rPr>
          <w:rFonts w:eastAsia="??"/>
          <w:sz w:val="21"/>
        </w:rPr>
        <w:t>子空间内的径向展开权重为</w:t>
      </w:r>
    </w:p>
    <w:p w14:paraId="4B3FBFBF" w14:textId="10584ECA" w:rsidR="008467B0" w:rsidRDefault="0066233F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p,l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Cambria Math" w:hAnsi="Cambria Math"/>
                  <w:sz w:val="21"/>
                </w:rPr>
                <m:t>2</m:t>
              </m:r>
            </m:sup>
          </m:sSup>
          <m:r>
            <w:rPr>
              <w:rFonts w:ascii="Cambria Math" w:eastAsia="Cambria Math" w:hAnsi="Cambria Math"/>
              <w:sz w:val="21"/>
            </w:rPr>
            <m:t>= binom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p+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l</m:t>
                  </m:r>
                </m:e>
              </m:d>
              <m:r>
                <w:rPr>
                  <w:rFonts w:ascii="Cambria Math" w:eastAsia="Cambria Math" w:hAnsi="Cambria Math"/>
                  <w:sz w:val="21"/>
                </w:rPr>
                <m:t>,p</m:t>
              </m:r>
            </m:e>
          </m:d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  <w:sz w:val="21"/>
                        </w:rPr>
                        <m:t>2η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  <w:sz w:val="21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Cambria Math" w:hAnsi="Cambria Math"/>
                  <w:sz w:val="21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l</m:t>
                  </m:r>
                </m:e>
              </m:d>
              <m:r>
                <w:rPr>
                  <w:rFonts w:ascii="Cambria Math" w:eastAsia="Cambria Math" w:hAnsi="Cambria Math"/>
                  <w:sz w:val="21"/>
                </w:rPr>
                <m:t>+2</m:t>
              </m:r>
            </m:sup>
          </m:sSup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  <w:sz w:val="21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mbria Math" w:hAnsi="Cambria Math"/>
                          <w:sz w:val="21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Cambria Math" w:hAnsi="Cambria Math"/>
                  <w:sz w:val="21"/>
                </w:rPr>
                <m:t>2p</m:t>
              </m:r>
            </m:sup>
          </m:sSup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67ABEC1C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每增加一个径向阶，权重额外乘以失配小参数</w:t>
      </w:r>
      <w:r>
        <w:rPr>
          <w:rFonts w:eastAsia="??"/>
          <w:sz w:val="21"/>
        </w:rPr>
        <w:t xml:space="preserve"> $s=(1-\eta^2)/(1+\eta^2)$ </w:t>
      </w:r>
      <w:r>
        <w:rPr>
          <w:rFonts w:eastAsia="??"/>
          <w:sz w:val="21"/>
        </w:rPr>
        <w:t>的平方因子。因此，在轻微失配下，</w:t>
      </w:r>
      <w:r>
        <w:rPr>
          <w:rFonts w:eastAsia="??"/>
          <w:sz w:val="21"/>
        </w:rPr>
        <w:t xml:space="preserve">$p=1$ </w:t>
      </w:r>
      <w:r>
        <w:rPr>
          <w:rFonts w:eastAsia="??"/>
          <w:sz w:val="21"/>
        </w:rPr>
        <w:t>是首要可观测寄生项，更高</w:t>
      </w:r>
      <w:r>
        <w:rPr>
          <w:rFonts w:eastAsia="??"/>
          <w:sz w:val="21"/>
        </w:rPr>
        <w:t xml:space="preserve"> $p$ </w:t>
      </w:r>
      <w:r>
        <w:rPr>
          <w:rFonts w:eastAsia="??"/>
          <w:sz w:val="21"/>
        </w:rPr>
        <w:t>项按更高阶幂次迅速衰减。以</w:t>
      </w:r>
      <w:r>
        <w:rPr>
          <w:rFonts w:eastAsia="??"/>
          <w:sz w:val="21"/>
        </w:rPr>
        <w:t xml:space="preserve"> $|l|=8$</w:t>
      </w:r>
      <w:r>
        <w:rPr>
          <w:rFonts w:eastAsia="??"/>
          <w:sz w:val="21"/>
        </w:rPr>
        <w:t>、</w:t>
      </w:r>
      <w:r>
        <w:rPr>
          <w:rFonts w:eastAsia="??"/>
          <w:sz w:val="21"/>
        </w:rPr>
        <w:t xml:space="preserve">$\eta=0.95$ </w:t>
      </w:r>
      <w:r>
        <w:rPr>
          <w:rFonts w:eastAsia="??"/>
          <w:sz w:val="21"/>
        </w:rPr>
        <w:t>为例，</w:t>
      </w:r>
      <w:r>
        <w:rPr>
          <w:rFonts w:eastAsia="??"/>
          <w:sz w:val="21"/>
        </w:rPr>
        <w:t xml:space="preserve">$p=1$ </w:t>
      </w:r>
      <w:r>
        <w:rPr>
          <w:rFonts w:eastAsia="??"/>
          <w:sz w:val="21"/>
        </w:rPr>
        <w:t>的功率权重约为</w:t>
      </w:r>
      <w:r>
        <w:rPr>
          <w:rFonts w:eastAsia="??"/>
          <w:sz w:val="21"/>
        </w:rPr>
        <w:t xml:space="preserve"> $2.308\%$</w:t>
      </w:r>
      <w:r>
        <w:rPr>
          <w:rFonts w:eastAsia="??"/>
          <w:sz w:val="21"/>
        </w:rPr>
        <w:t>，而</w:t>
      </w:r>
      <w:r>
        <w:rPr>
          <w:rFonts w:eastAsia="??"/>
          <w:sz w:val="21"/>
        </w:rPr>
        <w:t xml:space="preserve"> $p\ge2$ </w:t>
      </w:r>
      <w:r>
        <w:rPr>
          <w:rFonts w:eastAsia="??"/>
          <w:sz w:val="21"/>
        </w:rPr>
        <w:t>的总权重保持在更低水平。横向偏移、相位倾斜、像散和偏心截断等破坏圆对称的误差会将</w:t>
      </w:r>
      <w:r>
        <w:rPr>
          <w:rFonts w:eastAsia="??"/>
          <w:sz w:val="21"/>
        </w:rPr>
        <w:t xml:space="preserve"> $\exp(il\phi)$ </w:t>
      </w:r>
      <w:r>
        <w:rPr>
          <w:rFonts w:eastAsia="??"/>
          <w:sz w:val="21"/>
        </w:rPr>
        <w:t>耦合到多个</w:t>
      </w:r>
      <w:r>
        <w:rPr>
          <w:rFonts w:eastAsia="??"/>
          <w:sz w:val="21"/>
        </w:rPr>
        <w:t xml:space="preserve"> $l+m$ </w:t>
      </w:r>
      <w:r>
        <w:rPr>
          <w:rFonts w:eastAsia="??"/>
          <w:sz w:val="21"/>
        </w:rPr>
        <w:t>分量中，从而抬升</w:t>
      </w:r>
      <w:r>
        <w:rPr>
          <w:rFonts w:eastAsia="??"/>
          <w:sz w:val="21"/>
        </w:rPr>
        <w:t xml:space="preserve"> other-$l$ </w:t>
      </w:r>
      <w:r>
        <w:rPr>
          <w:rFonts w:eastAsia="??"/>
          <w:sz w:val="21"/>
        </w:rPr>
        <w:t>混模水平。</w:t>
      </w:r>
    </w:p>
    <w:p w14:paraId="498DD353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C. </w:t>
      </w:r>
      <w:r>
        <w:rPr>
          <w:rFonts w:eastAsia="??"/>
          <w:b/>
          <w:sz w:val="21"/>
        </w:rPr>
        <w:t>相同横模阶数简并与卫星峰</w:t>
      </w:r>
    </w:p>
    <w:p w14:paraId="60F0F93B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在稳定各向同性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腔中，横模共振位置由</w:t>
      </w:r>
      <w:r>
        <w:rPr>
          <w:rFonts w:eastAsia="??"/>
          <w:sz w:val="21"/>
        </w:rPr>
        <w:t xml:space="preserve"> $N=2p+|l|+1$ </w:t>
      </w:r>
      <w:r>
        <w:rPr>
          <w:rFonts w:eastAsia="??"/>
          <w:sz w:val="21"/>
        </w:rPr>
        <w:t>决定。因此，即使输入端名义上制备的是</w:t>
      </w:r>
      <w:r>
        <w:rPr>
          <w:rFonts w:eastAsia="??"/>
          <w:sz w:val="21"/>
        </w:rPr>
        <w:t xml:space="preserve"> $LG_0^l$</w:t>
      </w:r>
      <w:r>
        <w:rPr>
          <w:rFonts w:eastAsia="??"/>
          <w:sz w:val="21"/>
        </w:rPr>
        <w:t>，只要其相对于腔本征模基存在少量</w:t>
      </w:r>
      <w:r>
        <w:rPr>
          <w:rFonts w:eastAsia="??"/>
          <w:sz w:val="21"/>
        </w:rPr>
        <w:t xml:space="preserve"> $LG_1^l$ </w:t>
      </w:r>
      <w:r>
        <w:rPr>
          <w:rFonts w:eastAsia="??"/>
          <w:sz w:val="21"/>
        </w:rPr>
        <w:t>或更高</w:t>
      </w:r>
      <w:r>
        <w:rPr>
          <w:rFonts w:eastAsia="??"/>
          <w:sz w:val="21"/>
        </w:rPr>
        <w:t xml:space="preserve"> $p$ </w:t>
      </w:r>
      <w:r>
        <w:rPr>
          <w:rFonts w:eastAsia="??"/>
          <w:sz w:val="21"/>
        </w:rPr>
        <w:t>的分量，这些分量在扫频过程中也会在对应的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共振位置透射出来，形成卫星峰。以</w:t>
      </w:r>
      <w:r>
        <w:rPr>
          <w:rFonts w:eastAsia="??"/>
          <w:sz w:val="21"/>
        </w:rPr>
        <w:t xml:space="preserve"> $LG_0^4$ </w:t>
      </w:r>
      <w:r>
        <w:rPr>
          <w:rFonts w:eastAsia="??"/>
          <w:sz w:val="21"/>
        </w:rPr>
        <w:t>为例，其横模阶数为</w:t>
      </w:r>
      <w:r>
        <w:rPr>
          <w:rFonts w:eastAsia="??"/>
          <w:sz w:val="21"/>
        </w:rPr>
        <w:t xml:space="preserve"> $N=5$</w:t>
      </w:r>
      <w:r>
        <w:rPr>
          <w:rFonts w:eastAsia="??"/>
          <w:sz w:val="21"/>
        </w:rPr>
        <w:t>。若存在少量</w:t>
      </w:r>
      <w:r>
        <w:rPr>
          <w:rFonts w:eastAsia="??"/>
          <w:sz w:val="21"/>
        </w:rPr>
        <w:t xml:space="preserve"> $LG_1^4$ </w:t>
      </w:r>
      <w:r>
        <w:rPr>
          <w:rFonts w:eastAsia="??"/>
          <w:sz w:val="21"/>
        </w:rPr>
        <w:t>寄生分量，其阶数为</w:t>
      </w:r>
    </w:p>
    <w:p w14:paraId="179643B9" w14:textId="305BD314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N=2×1+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4</m:t>
              </m:r>
            </m:e>
          </m:d>
          <m:r>
            <w:rPr>
              <w:rFonts w:ascii="Cambria Math" w:eastAsia="Cambria Math" w:hAnsi="Cambria Math"/>
              <w:sz w:val="21"/>
            </w:rPr>
            <m:t>+1=7,</m:t>
          </m:r>
        </m:oMath>
      </m:oMathPara>
    </w:p>
    <w:p w14:paraId="7AB0CA4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而</w:t>
      </w:r>
      <w:r>
        <w:rPr>
          <w:rFonts w:eastAsia="??"/>
          <w:sz w:val="21"/>
        </w:rPr>
        <w:t xml:space="preserve"> $LG_0^6$ </w:t>
      </w:r>
      <w:r>
        <w:rPr>
          <w:rFonts w:eastAsia="??"/>
          <w:sz w:val="21"/>
        </w:rPr>
        <w:t>同样具有</w:t>
      </w:r>
      <w:r>
        <w:rPr>
          <w:rFonts w:eastAsia="??"/>
          <w:sz w:val="21"/>
        </w:rPr>
        <w:t xml:space="preserve"> $N=2\times0+|6|+1=7$</w:t>
      </w:r>
      <w:r>
        <w:rPr>
          <w:rFonts w:eastAsia="??"/>
          <w:sz w:val="21"/>
        </w:rPr>
        <w:t>。因此，频谱中出现在</w:t>
      </w:r>
      <w:r>
        <w:rPr>
          <w:rFonts w:eastAsia="??"/>
          <w:sz w:val="21"/>
        </w:rPr>
        <w:t xml:space="preserve"> $LG_0^6$ </w:t>
      </w:r>
      <w:r>
        <w:rPr>
          <w:rFonts w:eastAsia="??"/>
          <w:sz w:val="21"/>
        </w:rPr>
        <w:t>共振位置附近的弱峰，可由</w:t>
      </w:r>
      <w:r>
        <w:rPr>
          <w:rFonts w:eastAsia="??"/>
          <w:sz w:val="21"/>
        </w:rPr>
        <w:t xml:space="preserve"> $LG_1^4$ </w:t>
      </w:r>
      <w:r>
        <w:rPr>
          <w:rFonts w:eastAsia="??"/>
          <w:sz w:val="21"/>
        </w:rPr>
        <w:t>径向寄生分量被腔选择性透射来解释，而不必将其理解为角向指数真正从</w:t>
      </w:r>
      <w:r>
        <w:rPr>
          <w:rFonts w:eastAsia="??"/>
          <w:sz w:val="21"/>
        </w:rPr>
        <w:t xml:space="preserve"> $l=4$ </w:t>
      </w:r>
      <w:r>
        <w:rPr>
          <w:rFonts w:eastAsia="??"/>
          <w:sz w:val="21"/>
        </w:rPr>
        <w:t>转换成了</w:t>
      </w:r>
      <w:r>
        <w:rPr>
          <w:rFonts w:eastAsia="??"/>
          <w:sz w:val="21"/>
        </w:rPr>
        <w:t xml:space="preserve"> $l=6$</w:t>
      </w:r>
      <w:r>
        <w:rPr>
          <w:rFonts w:eastAsia="??"/>
          <w:sz w:val="21"/>
        </w:rPr>
        <w:t>。图</w:t>
      </w:r>
      <w:r>
        <w:rPr>
          <w:rFonts w:eastAsia="??"/>
          <w:sz w:val="21"/>
        </w:rPr>
        <w:t xml:space="preserve"> 5 </w:t>
      </w:r>
      <w:r>
        <w:rPr>
          <w:rFonts w:eastAsia="??"/>
          <w:sz w:val="21"/>
        </w:rPr>
        <w:t>展示了轴对称束腰失配下的径向泄漏分布以及卫星峰的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简并来源。</w:t>
      </w:r>
    </w:p>
    <w:p w14:paraId="6B4CD6DD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这一解释与第</w:t>
      </w:r>
      <w:r>
        <w:rPr>
          <w:rFonts w:eastAsia="??"/>
          <w:sz w:val="21"/>
        </w:rPr>
        <w:t xml:space="preserve"> 2–4 </w:t>
      </w:r>
      <w:r>
        <w:rPr>
          <w:rFonts w:eastAsia="??"/>
          <w:sz w:val="21"/>
        </w:rPr>
        <w:t>节的折叠谱描述一致：折叠谱设计决定不同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在单</w:t>
      </w:r>
      <w:r>
        <w:rPr>
          <w:rFonts w:eastAsia="??"/>
          <w:sz w:val="21"/>
        </w:rPr>
        <w:t xml:space="preserve"> FSR </w:t>
      </w:r>
      <w:r>
        <w:rPr>
          <w:rFonts w:eastAsia="??"/>
          <w:sz w:val="21"/>
        </w:rPr>
        <w:t>内的共振排布，</w:t>
      </w:r>
      <w:r>
        <w:rPr>
          <w:rFonts w:eastAsia="??"/>
          <w:sz w:val="21"/>
        </w:rPr>
        <w:t xml:space="preserve">Airy </w:t>
      </w:r>
      <w:r>
        <w:rPr>
          <w:rFonts w:eastAsia="??"/>
          <w:sz w:val="21"/>
        </w:rPr>
        <w:t>串扰分析给出有限线宽下的通道泄漏水平，空间模式匹配误差则决定各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位置上实际可被腔选出的权重。主峰位置、容量边界与寄生卫星峰由此处在同一物理图像中。</w:t>
      </w:r>
    </w:p>
    <w:p w14:paraId="7DDBCACD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VI.</w:t>
      </w:r>
      <w:r>
        <w:rPr>
          <w:rFonts w:eastAsia="??"/>
          <w:b/>
          <w:sz w:val="22"/>
        </w:rPr>
        <w:t>结论</w:t>
      </w:r>
    </w:p>
    <w:p w14:paraId="740017AD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本文以有效归一化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步长</w:t>
      </w:r>
      <w:r>
        <w:rPr>
          <w:rFonts w:eastAsia="??"/>
          <w:sz w:val="21"/>
        </w:rPr>
        <w:t xml:space="preserve"> $k_{\mathrm{eff}}$ </w:t>
      </w:r>
      <w:r>
        <w:rPr>
          <w:rFonts w:eastAsia="??"/>
          <w:sz w:val="21"/>
        </w:rPr>
        <w:t>描述稳定双镜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腔中的</w:t>
      </w:r>
      <w:r>
        <w:rPr>
          <w:rFonts w:eastAsia="??"/>
          <w:sz w:val="21"/>
        </w:rPr>
        <w:t xml:space="preserve"> LG </w:t>
      </w:r>
      <w:r>
        <w:rPr>
          <w:rFonts w:eastAsia="??"/>
          <w:sz w:val="21"/>
        </w:rPr>
        <w:t>模式分束。单</w:t>
      </w:r>
      <w:r>
        <w:rPr>
          <w:rFonts w:eastAsia="??"/>
          <w:sz w:val="21"/>
        </w:rPr>
        <w:t xml:space="preserve"> FSR </w:t>
      </w:r>
      <w:r>
        <w:rPr>
          <w:rFonts w:eastAsia="??"/>
          <w:sz w:val="21"/>
        </w:rPr>
        <w:t>内的模式组排布、最小间距和容量条件由</w:t>
      </w:r>
      <w:r>
        <w:rPr>
          <w:rFonts w:eastAsia="??"/>
          <w:sz w:val="21"/>
        </w:rPr>
        <w:t xml:space="preserve"> $k_{\mathrm{eff}}$ </w:t>
      </w:r>
      <w:r>
        <w:rPr>
          <w:rFonts w:eastAsia="??"/>
          <w:sz w:val="21"/>
        </w:rPr>
        <w:t>控制；平凹腔和对称双凹腔的差异体现在</w:t>
      </w:r>
      <w:r>
        <w:rPr>
          <w:rFonts w:eastAsia="??"/>
          <w:sz w:val="21"/>
        </w:rPr>
        <w:t xml:space="preserve"> $k_{\mathrm{eff}}$ </w:t>
      </w:r>
      <w:r>
        <w:rPr>
          <w:rFonts w:eastAsia="??"/>
          <w:sz w:val="21"/>
        </w:rPr>
        <w:t>到</w:t>
      </w:r>
      <w:r>
        <w:rPr>
          <w:rFonts w:eastAsia="??"/>
          <w:sz w:val="21"/>
        </w:rPr>
        <w:t xml:space="preserve"> $L/R$ </w:t>
      </w:r>
      <w:r>
        <w:rPr>
          <w:rFonts w:eastAsia="??"/>
          <w:sz w:val="21"/>
        </w:rPr>
        <w:t>的回代关系以及相应的鲁棒性排序上。小几何比极限下，对称双凹腔相对于平凹腔的步长增强因子为</w:t>
      </w:r>
      <w:r>
        <w:rPr>
          <w:rFonts w:eastAsia="??"/>
          <w:sz w:val="21"/>
        </w:rPr>
        <w:t xml:space="preserve"> $\sqrt{2}$</w:t>
      </w:r>
      <w:r>
        <w:rPr>
          <w:rFonts w:eastAsia="??"/>
          <w:sz w:val="21"/>
        </w:rPr>
        <w:t>，这一结果来自两类边界条件下腔本征模参数与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相位积累方式的共同改变。</w:t>
      </w:r>
    </w:p>
    <w:p w14:paraId="429935C5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对于连续模式组</w:t>
      </w:r>
      <w:r>
        <w:rPr>
          <w:rFonts w:eastAsia="??"/>
          <w:sz w:val="21"/>
        </w:rPr>
        <w:t xml:space="preserve"> $S_M$</w:t>
      </w:r>
      <w:r>
        <w:rPr>
          <w:rFonts w:eastAsia="??"/>
          <w:sz w:val="21"/>
        </w:rPr>
        <w:t>，解析最优分支为</w:t>
      </w:r>
      <w:r>
        <w:rPr>
          <w:rFonts w:eastAsia="??"/>
          <w:sz w:val="21"/>
        </w:rPr>
        <w:t xml:space="preserve"> $k^\*=m/M$</w:t>
      </w:r>
      <w:r>
        <w:rPr>
          <w:rFonts w:eastAsia="??"/>
          <w:sz w:val="21"/>
        </w:rPr>
        <w:t>（</w:t>
      </w:r>
      <w:r>
        <w:rPr>
          <w:rFonts w:eastAsia="??"/>
          <w:sz w:val="21"/>
        </w:rPr>
        <w:t>$\gcd(m,M)=1$</w:t>
      </w:r>
      <w:r>
        <w:rPr>
          <w:rFonts w:eastAsia="??"/>
          <w:sz w:val="21"/>
        </w:rPr>
        <w:t>），对应最优间距</w:t>
      </w:r>
      <w:r>
        <w:rPr>
          <w:rFonts w:eastAsia="??"/>
          <w:sz w:val="21"/>
        </w:rPr>
        <w:t xml:space="preserve"> $s_{\min}=1/M$</w:t>
      </w:r>
      <w:r>
        <w:rPr>
          <w:rFonts w:eastAsia="??"/>
          <w:sz w:val="21"/>
        </w:rPr>
        <w:t>。最小间距景观可由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邻分数骨架组织，目标模式数增加时，高阶差值约束在既有粗轮廓下方继续细化。引入周期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透射函数后，有限维串扰求和给出条件概率矩阵、分选成功率</w:t>
      </w:r>
      <w:r>
        <w:rPr>
          <w:rFonts w:eastAsia="??"/>
          <w:sz w:val="21"/>
        </w:rPr>
        <w:t xml:space="preserve"> $\eta_{\mathrm{sort}}$ </w:t>
      </w:r>
      <w:r>
        <w:rPr>
          <w:rFonts w:eastAsia="??"/>
          <w:sz w:val="21"/>
        </w:rPr>
        <w:t>和串扰指标</w:t>
      </w:r>
      <w:r>
        <w:rPr>
          <w:rFonts w:eastAsia="??"/>
          <w:sz w:val="21"/>
        </w:rPr>
        <w:t xml:space="preserve"> $ER_{\mathrm{sum}}$</w:t>
      </w:r>
      <w:r>
        <w:rPr>
          <w:rFonts w:eastAsia="??"/>
          <w:sz w:val="21"/>
        </w:rPr>
        <w:t>，并推出容量边界</w:t>
      </w:r>
      <w:r>
        <w:rPr>
          <w:rFonts w:eastAsia="??"/>
          <w:sz w:val="21"/>
        </w:rPr>
        <w:t xml:space="preserve"> $M\le\lfloor F/\tau_0\rfloor$</w:t>
      </w:r>
      <w:r>
        <w:rPr>
          <w:rFonts w:eastAsia="??"/>
          <w:sz w:val="21"/>
        </w:rPr>
        <w:t>。以</w:t>
      </w:r>
      <w:r>
        <w:rPr>
          <w:rFonts w:eastAsia="??"/>
          <w:sz w:val="21"/>
        </w:rPr>
        <w:t xml:space="preserve"> $M=9$</w:t>
      </w:r>
      <w:r>
        <w:rPr>
          <w:rFonts w:eastAsia="??"/>
          <w:sz w:val="21"/>
        </w:rPr>
        <w:t>、</w:t>
      </w:r>
      <w:r>
        <w:rPr>
          <w:rFonts w:eastAsia="??"/>
          <w:sz w:val="21"/>
        </w:rPr>
        <w:t>$F=32.21$</w:t>
      </w:r>
      <w:r>
        <w:rPr>
          <w:rFonts w:eastAsia="??"/>
          <w:sz w:val="21"/>
        </w:rPr>
        <w:t>、</w:t>
      </w:r>
      <w:r>
        <w:rPr>
          <w:rFonts w:eastAsia="??"/>
          <w:sz w:val="21"/>
        </w:rPr>
        <w:t xml:space="preserve">$k=2/9$ </w:t>
      </w:r>
      <w:r>
        <w:rPr>
          <w:rFonts w:eastAsia="??"/>
          <w:sz w:val="21"/>
        </w:rPr>
        <w:t>为例，理论值为</w:t>
      </w:r>
      <w:r>
        <w:rPr>
          <w:rFonts w:eastAsia="??"/>
          <w:sz w:val="21"/>
        </w:rPr>
        <w:t xml:space="preserve"> $\eta_{\mathrm{sort}}=94.1166\%$</w:t>
      </w:r>
      <w:r>
        <w:rPr>
          <w:rFonts w:eastAsia="??"/>
          <w:sz w:val="21"/>
        </w:rPr>
        <w:t>、</w:t>
      </w:r>
      <w:r>
        <w:rPr>
          <w:rFonts w:eastAsia="??"/>
          <w:sz w:val="21"/>
        </w:rPr>
        <w:t>$ER_{\mathrm{sum}}=12.0404\,\mathrm{dB}$</w:t>
      </w:r>
      <w:r>
        <w:rPr>
          <w:rFonts w:eastAsia="??"/>
          <w:sz w:val="21"/>
        </w:rPr>
        <w:t>；在</w:t>
      </w:r>
      <w:r>
        <w:rPr>
          <w:rFonts w:eastAsia="??"/>
          <w:sz w:val="21"/>
        </w:rPr>
        <w:t xml:space="preserve"> $\tau_0=3$ </w:t>
      </w:r>
      <w:r>
        <w:rPr>
          <w:rFonts w:eastAsia="??"/>
          <w:sz w:val="21"/>
        </w:rPr>
        <w:t>边界标度下，大</w:t>
      </w:r>
      <w:r>
        <w:rPr>
          <w:rFonts w:eastAsia="??"/>
          <w:sz w:val="21"/>
        </w:rPr>
        <w:t xml:space="preserve"> $M$ </w:t>
      </w:r>
      <w:r>
        <w:rPr>
          <w:rFonts w:eastAsia="??"/>
          <w:sz w:val="21"/>
        </w:rPr>
        <w:t>极限值为</w:t>
      </w:r>
      <w:r>
        <w:rPr>
          <w:rFonts w:eastAsia="??"/>
          <w:sz w:val="21"/>
        </w:rPr>
        <w:t xml:space="preserve"> $\eta_{\mathrm{sort}}\approx91.7635\%$</w:t>
      </w:r>
      <w:r>
        <w:rPr>
          <w:rFonts w:eastAsia="??"/>
          <w:sz w:val="21"/>
        </w:rPr>
        <w:t>、</w:t>
      </w:r>
      <w:r>
        <w:rPr>
          <w:rFonts w:eastAsia="??"/>
          <w:sz w:val="21"/>
        </w:rPr>
        <w:t>$ER_{\mathrm{sum}}\approx10.4693\,\mathrm{dB}$</w:t>
      </w:r>
      <w:r>
        <w:rPr>
          <w:rFonts w:eastAsia="??"/>
          <w:sz w:val="21"/>
        </w:rPr>
        <w:t>。</w:t>
      </w:r>
    </w:p>
    <w:p w14:paraId="0AB08C0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 xml:space="preserve">OAM </w:t>
      </w:r>
      <w:r>
        <w:rPr>
          <w:rFonts w:eastAsia="??"/>
          <w:sz w:val="21"/>
        </w:rPr>
        <w:t>连续序列对应</w:t>
      </w:r>
      <w:r>
        <w:rPr>
          <w:rFonts w:eastAsia="??"/>
          <w:sz w:val="21"/>
        </w:rPr>
        <w:t xml:space="preserve"> $p=0$</w:t>
      </w:r>
      <w:r>
        <w:rPr>
          <w:rFonts w:eastAsia="??"/>
          <w:sz w:val="21"/>
        </w:rPr>
        <w:t>、单符号</w:t>
      </w:r>
      <w:r>
        <w:rPr>
          <w:rFonts w:eastAsia="??"/>
          <w:sz w:val="21"/>
        </w:rPr>
        <w:t xml:space="preserve"> $l$ </w:t>
      </w:r>
      <w:r>
        <w:rPr>
          <w:rFonts w:eastAsia="??"/>
          <w:sz w:val="21"/>
        </w:rPr>
        <w:t>的特例。单个各向同性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腔按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对模式成组响应，不能单独区分</w:t>
      </w:r>
      <w:r>
        <w:rPr>
          <w:rFonts w:eastAsia="??"/>
          <w:sz w:val="21"/>
        </w:rPr>
        <w:t xml:space="preserve"> $+l$ </w:t>
      </w:r>
      <w:r>
        <w:rPr>
          <w:rFonts w:eastAsia="??"/>
          <w:sz w:val="21"/>
        </w:rPr>
        <w:t>与</w:t>
      </w:r>
      <w:r>
        <w:rPr>
          <w:rFonts w:eastAsia="??"/>
          <w:sz w:val="21"/>
        </w:rPr>
        <w:t xml:space="preserve"> $-l$</w:t>
      </w:r>
      <w:r>
        <w:rPr>
          <w:rFonts w:eastAsia="??"/>
          <w:sz w:val="21"/>
        </w:rPr>
        <w:t>。轴对称模式失配主要激发同一</w:t>
      </w:r>
      <w:r>
        <w:rPr>
          <w:rFonts w:eastAsia="??"/>
          <w:sz w:val="21"/>
        </w:rPr>
        <w:t xml:space="preserve"> $l$ </w:t>
      </w:r>
      <w:r>
        <w:rPr>
          <w:rFonts w:eastAsia="??"/>
          <w:sz w:val="21"/>
        </w:rPr>
        <w:t>子空间内的径向高阶分量，其中</w:t>
      </w:r>
      <w:r>
        <w:rPr>
          <w:rFonts w:eastAsia="??"/>
          <w:sz w:val="21"/>
        </w:rPr>
        <w:t xml:space="preserve"> $p=1$ </w:t>
      </w:r>
      <w:r>
        <w:rPr>
          <w:rFonts w:eastAsia="??"/>
          <w:sz w:val="21"/>
        </w:rPr>
        <w:t>是首要可观测寄生项；破坏圆对称的误差则会引入角向混模。卫星峰可由径向寄生项与目标模式共享同一</w:t>
      </w:r>
      <w:r>
        <w:rPr>
          <w:rFonts w:eastAsia="??"/>
          <w:sz w:val="21"/>
        </w:rPr>
        <w:t xml:space="preserve"> $N$ </w:t>
      </w:r>
      <w:r>
        <w:rPr>
          <w:rFonts w:eastAsia="??"/>
          <w:sz w:val="21"/>
        </w:rPr>
        <w:t>的简并关系解释。由此，</w:t>
      </w:r>
      <w:r>
        <w:rPr>
          <w:rFonts w:eastAsia="??"/>
          <w:sz w:val="21"/>
        </w:rPr>
        <w:t xml:space="preserve">Gouy </w:t>
      </w:r>
      <w:r>
        <w:rPr>
          <w:rFonts w:eastAsia="??"/>
          <w:sz w:val="21"/>
        </w:rPr>
        <w:t>相位折叠谱、</w:t>
      </w:r>
      <w:r>
        <w:rPr>
          <w:rFonts w:eastAsia="??"/>
          <w:sz w:val="21"/>
        </w:rPr>
        <w:t xml:space="preserve">Airy </w:t>
      </w:r>
      <w:r>
        <w:rPr>
          <w:rFonts w:eastAsia="??"/>
          <w:sz w:val="21"/>
        </w:rPr>
        <w:t>串扰、腔型回代和空间模式误差共同给出稳定双镜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</w:t>
      </w:r>
      <w:r>
        <w:rPr>
          <w:rFonts w:eastAsia="??"/>
          <w:sz w:val="21"/>
        </w:rPr>
        <w:t xml:space="preserve"> LG </w:t>
      </w:r>
      <w:r>
        <w:rPr>
          <w:rFonts w:eastAsia="??"/>
          <w:sz w:val="21"/>
        </w:rPr>
        <w:t>模式分束的设计依据。</w:t>
      </w:r>
    </w:p>
    <w:p w14:paraId="31F8AAA2" w14:textId="77777777" w:rsidR="008467B0" w:rsidRDefault="00BF3579">
      <w:pPr>
        <w:jc w:val="center"/>
      </w:pPr>
      <w:r>
        <w:rPr>
          <w:noProof/>
        </w:rPr>
        <w:lastRenderedPageBreak/>
        <w:drawing>
          <wp:inline distT="0" distB="0" distL="0" distR="0" wp14:anchorId="717CFFDB" wp14:editId="63705A29">
            <wp:extent cx="5303520" cy="2171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general_cavity_framew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C445" w14:textId="77777777" w:rsidR="008467B0" w:rsidRDefault="00BF3579">
      <w:pPr>
        <w:spacing w:before="60" w:after="0" w:line="240" w:lineRule="auto"/>
        <w:jc w:val="center"/>
      </w:pPr>
      <w:r>
        <w:rPr>
          <w:rFonts w:eastAsia="??"/>
          <w:sz w:val="18"/>
        </w:rPr>
        <w:t>图</w:t>
      </w:r>
      <w:r>
        <w:rPr>
          <w:rFonts w:eastAsia="??"/>
          <w:sz w:val="18"/>
        </w:rPr>
        <w:t xml:space="preserve"> 1. </w:t>
      </w:r>
      <w:r>
        <w:rPr>
          <w:rFonts w:eastAsia="??"/>
          <w:sz w:val="18"/>
        </w:rPr>
        <w:t>稳定双镜</w:t>
      </w:r>
      <w:r>
        <w:rPr>
          <w:rFonts w:eastAsia="??"/>
          <w:sz w:val="18"/>
        </w:rPr>
        <w:t xml:space="preserve"> FP </w:t>
      </w:r>
      <w:r>
        <w:rPr>
          <w:rFonts w:eastAsia="??"/>
          <w:sz w:val="18"/>
        </w:rPr>
        <w:t>腔中</w:t>
      </w:r>
      <w:r>
        <w:rPr>
          <w:rFonts w:eastAsia="??"/>
          <w:sz w:val="18"/>
        </w:rPr>
        <w:t xml:space="preserve"> LG </w:t>
      </w:r>
      <w:r>
        <w:rPr>
          <w:rFonts w:eastAsia="??"/>
          <w:sz w:val="18"/>
        </w:rPr>
        <w:t>模式分束的统一折叠谱框架。</w:t>
      </w:r>
    </w:p>
    <w:p w14:paraId="1D94667B" w14:textId="77777777" w:rsidR="008467B0" w:rsidRDefault="00BF3579">
      <w:pPr>
        <w:spacing w:after="120" w:line="240" w:lineRule="auto"/>
        <w:jc w:val="center"/>
      </w:pPr>
      <w:r>
        <w:rPr>
          <w:rFonts w:eastAsia="??"/>
          <w:sz w:val="18"/>
        </w:rPr>
        <w:t>Fig. 1. Unified folded-spectrum framework for LG mode sorting in stable two-mirror FP cavities.</w:t>
      </w:r>
    </w:p>
    <w:p w14:paraId="612C473C" w14:textId="77777777" w:rsidR="008467B0" w:rsidRDefault="00BF3579">
      <w:pPr>
        <w:jc w:val="center"/>
      </w:pPr>
      <w:r>
        <w:rPr>
          <w:noProof/>
        </w:rPr>
        <w:drawing>
          <wp:inline distT="0" distB="0" distL="0" distR="0" wp14:anchorId="683FBC6C" wp14:editId="702C59CB">
            <wp:extent cx="5303520" cy="2046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continuous_N_landsc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BEBB" w14:textId="77777777" w:rsidR="008467B0" w:rsidRDefault="00BF3579">
      <w:pPr>
        <w:spacing w:before="60" w:after="0" w:line="240" w:lineRule="auto"/>
        <w:jc w:val="center"/>
      </w:pPr>
      <w:r>
        <w:rPr>
          <w:rFonts w:eastAsia="??"/>
          <w:sz w:val="18"/>
        </w:rPr>
        <w:t>图</w:t>
      </w:r>
      <w:r>
        <w:rPr>
          <w:rFonts w:eastAsia="??"/>
          <w:sz w:val="18"/>
        </w:rPr>
        <w:t xml:space="preserve"> 2. </w:t>
      </w:r>
      <w:r>
        <w:rPr>
          <w:rFonts w:eastAsia="??"/>
          <w:sz w:val="18"/>
        </w:rPr>
        <w:t>连续模式组的最小间距景观与解析最优分支。</w:t>
      </w:r>
    </w:p>
    <w:p w14:paraId="29630864" w14:textId="77777777" w:rsidR="008467B0" w:rsidRDefault="00BF3579">
      <w:pPr>
        <w:spacing w:after="120" w:line="240" w:lineRule="auto"/>
        <w:jc w:val="center"/>
      </w:pPr>
      <w:r>
        <w:rPr>
          <w:rFonts w:eastAsia="??"/>
          <w:sz w:val="18"/>
        </w:rPr>
        <w:t>Fig. 2. Minimum-spacing landscape and analytic optimal branches for consecutive mode groups.</w:t>
      </w:r>
    </w:p>
    <w:p w14:paraId="5745B2ED" w14:textId="77777777" w:rsidR="008467B0" w:rsidRDefault="00BF3579">
      <w:pPr>
        <w:jc w:val="center"/>
      </w:pPr>
      <w:r>
        <w:rPr>
          <w:noProof/>
        </w:rPr>
        <w:drawing>
          <wp:inline distT="0" distB="0" distL="0" distR="0" wp14:anchorId="707DA36D" wp14:editId="1EF36EFB">
            <wp:extent cx="5303520" cy="24625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airy_response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1CB2" w14:textId="77777777" w:rsidR="008467B0" w:rsidRDefault="00BF3579">
      <w:pPr>
        <w:spacing w:before="60" w:after="0" w:line="240" w:lineRule="auto"/>
        <w:jc w:val="center"/>
      </w:pPr>
      <w:r>
        <w:rPr>
          <w:rFonts w:eastAsia="??"/>
          <w:sz w:val="18"/>
        </w:rPr>
        <w:t>图</w:t>
      </w:r>
      <w:r>
        <w:rPr>
          <w:rFonts w:eastAsia="??"/>
          <w:sz w:val="18"/>
        </w:rPr>
        <w:t xml:space="preserve"> 3. $M=9$ </w:t>
      </w:r>
      <w:r>
        <w:rPr>
          <w:rFonts w:eastAsia="??"/>
          <w:sz w:val="18"/>
        </w:rPr>
        <w:t>连续模式组的</w:t>
      </w:r>
      <w:r>
        <w:rPr>
          <w:rFonts w:eastAsia="??"/>
          <w:sz w:val="18"/>
        </w:rPr>
        <w:t xml:space="preserve"> Airy </w:t>
      </w:r>
      <w:r>
        <w:rPr>
          <w:rFonts w:eastAsia="??"/>
          <w:sz w:val="18"/>
        </w:rPr>
        <w:t>串扰热图与条件概率分布。</w:t>
      </w:r>
    </w:p>
    <w:p w14:paraId="74CF9008" w14:textId="77777777" w:rsidR="008467B0" w:rsidRDefault="00BF3579">
      <w:pPr>
        <w:spacing w:after="120" w:line="240" w:lineRule="auto"/>
        <w:jc w:val="center"/>
      </w:pPr>
      <w:r>
        <w:rPr>
          <w:rFonts w:eastAsia="??"/>
          <w:sz w:val="18"/>
        </w:rPr>
        <w:lastRenderedPageBreak/>
        <w:t>Fig. 3. Airy crosstalk maps and conditional probabilities for a consecutive mode group with $M=9$.</w:t>
      </w:r>
    </w:p>
    <w:p w14:paraId="59D58C06" w14:textId="77777777" w:rsidR="008467B0" w:rsidRDefault="00BF3579">
      <w:pPr>
        <w:spacing w:before="120" w:after="40"/>
        <w:jc w:val="center"/>
      </w:pPr>
      <w:r>
        <w:rPr>
          <w:rFonts w:eastAsia="??"/>
          <w:sz w:val="18"/>
        </w:rPr>
        <w:t>表</w:t>
      </w:r>
      <w:r>
        <w:rPr>
          <w:rFonts w:eastAsia="??"/>
          <w:sz w:val="18"/>
        </w:rPr>
        <w:t xml:space="preserve"> 1. τ_0=3 </w:t>
      </w:r>
      <w:r>
        <w:rPr>
          <w:rFonts w:eastAsia="??"/>
          <w:sz w:val="18"/>
        </w:rPr>
        <w:t>下连续模式组设计蓝图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078"/>
        <w:gridCol w:w="1079"/>
        <w:gridCol w:w="1079"/>
        <w:gridCol w:w="1079"/>
        <w:gridCol w:w="1079"/>
        <w:gridCol w:w="1080"/>
        <w:gridCol w:w="1079"/>
      </w:tblGrid>
      <w:tr w:rsidR="008467B0" w14:paraId="567B51D3" w14:textId="77777777">
        <w:trPr>
          <w:jc w:val="center"/>
        </w:trPr>
        <w:tc>
          <w:tcPr>
            <w:tcW w:w="1080" w:type="dxa"/>
            <w:vAlign w:val="center"/>
          </w:tcPr>
          <w:p w14:paraId="7069AB9A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M</w:t>
            </w:r>
          </w:p>
        </w:tc>
        <w:tc>
          <w:tcPr>
            <w:tcW w:w="1080" w:type="dxa"/>
            <w:vAlign w:val="center"/>
          </w:tcPr>
          <w:p w14:paraId="20E92297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m</w:t>
            </w:r>
          </w:p>
        </w:tc>
        <w:tc>
          <w:tcPr>
            <w:tcW w:w="1080" w:type="dxa"/>
            <w:vAlign w:val="center"/>
          </w:tcPr>
          <w:p w14:paraId="2AE0C736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k*</w:t>
            </w:r>
          </w:p>
        </w:tc>
        <w:tc>
          <w:tcPr>
            <w:tcW w:w="1080" w:type="dxa"/>
            <w:vAlign w:val="center"/>
          </w:tcPr>
          <w:p w14:paraId="0C47199E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s_min</w:t>
            </w:r>
          </w:p>
        </w:tc>
        <w:tc>
          <w:tcPr>
            <w:tcW w:w="1080" w:type="dxa"/>
            <w:vAlign w:val="center"/>
          </w:tcPr>
          <w:p w14:paraId="1EAE8251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F_min</w:t>
            </w:r>
          </w:p>
        </w:tc>
        <w:tc>
          <w:tcPr>
            <w:tcW w:w="1080" w:type="dxa"/>
            <w:vAlign w:val="center"/>
          </w:tcPr>
          <w:p w14:paraId="27CA0E95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L/R</w:t>
            </w:r>
          </w:p>
        </w:tc>
        <w:tc>
          <w:tcPr>
            <w:tcW w:w="1080" w:type="dxa"/>
            <w:vAlign w:val="center"/>
          </w:tcPr>
          <w:p w14:paraId="0D9E239A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ER_sum/dB</w:t>
            </w:r>
          </w:p>
        </w:tc>
        <w:tc>
          <w:tcPr>
            <w:tcW w:w="1080" w:type="dxa"/>
            <w:vAlign w:val="center"/>
          </w:tcPr>
          <w:p w14:paraId="06C88AA3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eta_sort</w:t>
            </w:r>
          </w:p>
        </w:tc>
      </w:tr>
      <w:tr w:rsidR="008467B0" w14:paraId="3F7DDB06" w14:textId="77777777">
        <w:trPr>
          <w:jc w:val="center"/>
        </w:trPr>
        <w:tc>
          <w:tcPr>
            <w:tcW w:w="1080" w:type="dxa"/>
            <w:vAlign w:val="center"/>
          </w:tcPr>
          <w:p w14:paraId="53FEF7D9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4</w:t>
            </w:r>
          </w:p>
        </w:tc>
        <w:tc>
          <w:tcPr>
            <w:tcW w:w="1080" w:type="dxa"/>
            <w:vAlign w:val="center"/>
          </w:tcPr>
          <w:p w14:paraId="777724C2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30CA1A04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0.2500</w:t>
            </w:r>
          </w:p>
        </w:tc>
        <w:tc>
          <w:tcPr>
            <w:tcW w:w="1080" w:type="dxa"/>
            <w:vAlign w:val="center"/>
          </w:tcPr>
          <w:p w14:paraId="5454E8E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0.2500</w:t>
            </w:r>
          </w:p>
        </w:tc>
        <w:tc>
          <w:tcPr>
            <w:tcW w:w="1080" w:type="dxa"/>
            <w:vAlign w:val="center"/>
          </w:tcPr>
          <w:p w14:paraId="587739B6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12.0000</w:t>
            </w:r>
          </w:p>
        </w:tc>
        <w:tc>
          <w:tcPr>
            <w:tcW w:w="1080" w:type="dxa"/>
            <w:vAlign w:val="center"/>
          </w:tcPr>
          <w:p w14:paraId="70EDCE82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0.5000</w:t>
            </w:r>
          </w:p>
        </w:tc>
        <w:tc>
          <w:tcPr>
            <w:tcW w:w="1080" w:type="dxa"/>
            <w:vAlign w:val="center"/>
          </w:tcPr>
          <w:p w14:paraId="6E1857CC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10.803</w:t>
            </w:r>
          </w:p>
        </w:tc>
        <w:tc>
          <w:tcPr>
            <w:tcW w:w="1080" w:type="dxa"/>
            <w:vAlign w:val="center"/>
          </w:tcPr>
          <w:p w14:paraId="36ED0FA4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92.326%</w:t>
            </w:r>
          </w:p>
        </w:tc>
      </w:tr>
      <w:tr w:rsidR="008467B0" w14:paraId="010999D9" w14:textId="77777777">
        <w:trPr>
          <w:jc w:val="center"/>
        </w:trPr>
        <w:tc>
          <w:tcPr>
            <w:tcW w:w="1080" w:type="dxa"/>
            <w:vAlign w:val="center"/>
          </w:tcPr>
          <w:p w14:paraId="5A4843D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6</w:t>
            </w:r>
          </w:p>
        </w:tc>
        <w:tc>
          <w:tcPr>
            <w:tcW w:w="1080" w:type="dxa"/>
            <w:vAlign w:val="center"/>
          </w:tcPr>
          <w:p w14:paraId="215FF7C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79B0A716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0.1667</w:t>
            </w:r>
          </w:p>
        </w:tc>
        <w:tc>
          <w:tcPr>
            <w:tcW w:w="1080" w:type="dxa"/>
            <w:vAlign w:val="center"/>
          </w:tcPr>
          <w:p w14:paraId="0907007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0.1667</w:t>
            </w:r>
          </w:p>
        </w:tc>
        <w:tc>
          <w:tcPr>
            <w:tcW w:w="1080" w:type="dxa"/>
            <w:vAlign w:val="center"/>
          </w:tcPr>
          <w:p w14:paraId="6CAA7ADF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18.0000</w:t>
            </w:r>
          </w:p>
        </w:tc>
        <w:tc>
          <w:tcPr>
            <w:tcW w:w="1080" w:type="dxa"/>
            <w:vAlign w:val="center"/>
          </w:tcPr>
          <w:p w14:paraId="6338B771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0.2500</w:t>
            </w:r>
          </w:p>
        </w:tc>
        <w:tc>
          <w:tcPr>
            <w:tcW w:w="1080" w:type="dxa"/>
            <w:vAlign w:val="center"/>
          </w:tcPr>
          <w:p w14:paraId="11E262C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10.616</w:t>
            </w:r>
          </w:p>
        </w:tc>
        <w:tc>
          <w:tcPr>
            <w:tcW w:w="1080" w:type="dxa"/>
            <w:vAlign w:val="center"/>
          </w:tcPr>
          <w:p w14:paraId="34F39E38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92.015%</w:t>
            </w:r>
          </w:p>
        </w:tc>
      </w:tr>
      <w:tr w:rsidR="008467B0" w14:paraId="4C81E585" w14:textId="77777777">
        <w:trPr>
          <w:jc w:val="center"/>
        </w:trPr>
        <w:tc>
          <w:tcPr>
            <w:tcW w:w="1080" w:type="dxa"/>
            <w:vAlign w:val="center"/>
          </w:tcPr>
          <w:p w14:paraId="685FC29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</w:t>
            </w:r>
          </w:p>
        </w:tc>
        <w:tc>
          <w:tcPr>
            <w:tcW w:w="1080" w:type="dxa"/>
            <w:vAlign w:val="center"/>
          </w:tcPr>
          <w:p w14:paraId="3CB913DE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2</w:t>
            </w:r>
          </w:p>
        </w:tc>
        <w:tc>
          <w:tcPr>
            <w:tcW w:w="1080" w:type="dxa"/>
            <w:vAlign w:val="center"/>
          </w:tcPr>
          <w:p w14:paraId="233BF801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0.2222</w:t>
            </w:r>
          </w:p>
        </w:tc>
        <w:tc>
          <w:tcPr>
            <w:tcW w:w="1080" w:type="dxa"/>
            <w:vAlign w:val="center"/>
          </w:tcPr>
          <w:p w14:paraId="4EA5F55C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0.1111</w:t>
            </w:r>
          </w:p>
        </w:tc>
        <w:tc>
          <w:tcPr>
            <w:tcW w:w="1080" w:type="dxa"/>
            <w:vAlign w:val="center"/>
          </w:tcPr>
          <w:p w14:paraId="4FC2B0B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27.0000</w:t>
            </w:r>
          </w:p>
        </w:tc>
        <w:tc>
          <w:tcPr>
            <w:tcW w:w="1080" w:type="dxa"/>
            <w:vAlign w:val="center"/>
          </w:tcPr>
          <w:p w14:paraId="7B019A8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0.4132</w:t>
            </w:r>
          </w:p>
        </w:tc>
        <w:tc>
          <w:tcPr>
            <w:tcW w:w="1080" w:type="dxa"/>
            <w:vAlign w:val="center"/>
          </w:tcPr>
          <w:p w14:paraId="0792A655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10.534</w:t>
            </w:r>
          </w:p>
        </w:tc>
        <w:tc>
          <w:tcPr>
            <w:tcW w:w="1080" w:type="dxa"/>
            <w:vAlign w:val="center"/>
          </w:tcPr>
          <w:p w14:paraId="2003CAA5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91.875%</w:t>
            </w:r>
          </w:p>
        </w:tc>
      </w:tr>
      <w:tr w:rsidR="008467B0" w14:paraId="3BCCA40A" w14:textId="77777777">
        <w:trPr>
          <w:jc w:val="center"/>
        </w:trPr>
        <w:tc>
          <w:tcPr>
            <w:tcW w:w="1080" w:type="dxa"/>
            <w:vAlign w:val="center"/>
          </w:tcPr>
          <w:p w14:paraId="2E4F0765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12</w:t>
            </w:r>
          </w:p>
        </w:tc>
        <w:tc>
          <w:tcPr>
            <w:tcW w:w="1080" w:type="dxa"/>
            <w:vAlign w:val="center"/>
          </w:tcPr>
          <w:p w14:paraId="28DB6CA2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04E34C8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0.0833</w:t>
            </w:r>
          </w:p>
        </w:tc>
        <w:tc>
          <w:tcPr>
            <w:tcW w:w="1080" w:type="dxa"/>
            <w:vAlign w:val="center"/>
          </w:tcPr>
          <w:p w14:paraId="1EFADFE9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0.0833</w:t>
            </w:r>
          </w:p>
        </w:tc>
        <w:tc>
          <w:tcPr>
            <w:tcW w:w="1080" w:type="dxa"/>
            <w:vAlign w:val="center"/>
          </w:tcPr>
          <w:p w14:paraId="196CA87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36.0000</w:t>
            </w:r>
          </w:p>
        </w:tc>
        <w:tc>
          <w:tcPr>
            <w:tcW w:w="1080" w:type="dxa"/>
            <w:vAlign w:val="center"/>
          </w:tcPr>
          <w:p w14:paraId="7887A742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0.0670</w:t>
            </w:r>
          </w:p>
        </w:tc>
        <w:tc>
          <w:tcPr>
            <w:tcW w:w="1080" w:type="dxa"/>
            <w:vAlign w:val="center"/>
          </w:tcPr>
          <w:p w14:paraId="07287A81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10.506</w:t>
            </w:r>
          </w:p>
        </w:tc>
        <w:tc>
          <w:tcPr>
            <w:tcW w:w="1080" w:type="dxa"/>
            <w:vAlign w:val="center"/>
          </w:tcPr>
          <w:p w14:paraId="36F04D2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91.826%</w:t>
            </w:r>
          </w:p>
        </w:tc>
      </w:tr>
      <w:tr w:rsidR="008467B0" w14:paraId="299BE997" w14:textId="77777777">
        <w:trPr>
          <w:jc w:val="center"/>
        </w:trPr>
        <w:tc>
          <w:tcPr>
            <w:tcW w:w="1080" w:type="dxa"/>
            <w:vAlign w:val="center"/>
          </w:tcPr>
          <w:p w14:paraId="34BDE96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15</w:t>
            </w:r>
          </w:p>
        </w:tc>
        <w:tc>
          <w:tcPr>
            <w:tcW w:w="1080" w:type="dxa"/>
            <w:vAlign w:val="center"/>
          </w:tcPr>
          <w:p w14:paraId="74B0D39C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4</w:t>
            </w:r>
          </w:p>
        </w:tc>
        <w:tc>
          <w:tcPr>
            <w:tcW w:w="1080" w:type="dxa"/>
            <w:vAlign w:val="center"/>
          </w:tcPr>
          <w:p w14:paraId="3EB2FFC8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0.2667</w:t>
            </w:r>
          </w:p>
        </w:tc>
        <w:tc>
          <w:tcPr>
            <w:tcW w:w="1080" w:type="dxa"/>
            <w:vAlign w:val="center"/>
          </w:tcPr>
          <w:p w14:paraId="740B7C16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0.0667</w:t>
            </w:r>
          </w:p>
        </w:tc>
        <w:tc>
          <w:tcPr>
            <w:tcW w:w="1080" w:type="dxa"/>
            <w:vAlign w:val="center"/>
          </w:tcPr>
          <w:p w14:paraId="77A44F6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45.0000</w:t>
            </w:r>
          </w:p>
        </w:tc>
        <w:tc>
          <w:tcPr>
            <w:tcW w:w="1080" w:type="dxa"/>
            <w:vAlign w:val="center"/>
          </w:tcPr>
          <w:p w14:paraId="7587F71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0.5523</w:t>
            </w:r>
          </w:p>
        </w:tc>
        <w:tc>
          <w:tcPr>
            <w:tcW w:w="1080" w:type="dxa"/>
            <w:vAlign w:val="center"/>
          </w:tcPr>
          <w:p w14:paraId="7C2010B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10.492</w:t>
            </w:r>
          </w:p>
        </w:tc>
        <w:tc>
          <w:tcPr>
            <w:tcW w:w="1080" w:type="dxa"/>
            <w:vAlign w:val="center"/>
          </w:tcPr>
          <w:p w14:paraId="752F1094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91.804%</w:t>
            </w:r>
          </w:p>
        </w:tc>
      </w:tr>
      <w:tr w:rsidR="008467B0" w14:paraId="38903B42" w14:textId="77777777">
        <w:trPr>
          <w:jc w:val="center"/>
        </w:trPr>
        <w:tc>
          <w:tcPr>
            <w:tcW w:w="1080" w:type="dxa"/>
            <w:vAlign w:val="center"/>
          </w:tcPr>
          <w:p w14:paraId="5D5D0804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20</w:t>
            </w:r>
          </w:p>
        </w:tc>
        <w:tc>
          <w:tcPr>
            <w:tcW w:w="1080" w:type="dxa"/>
            <w:vAlign w:val="center"/>
          </w:tcPr>
          <w:p w14:paraId="55096A34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7</w:t>
            </w:r>
          </w:p>
        </w:tc>
        <w:tc>
          <w:tcPr>
            <w:tcW w:w="1080" w:type="dxa"/>
            <w:vAlign w:val="center"/>
          </w:tcPr>
          <w:p w14:paraId="653C242E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0.3500</w:t>
            </w:r>
          </w:p>
        </w:tc>
        <w:tc>
          <w:tcPr>
            <w:tcW w:w="1080" w:type="dxa"/>
            <w:vAlign w:val="center"/>
          </w:tcPr>
          <w:p w14:paraId="4F44EA00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0.0500</w:t>
            </w:r>
          </w:p>
        </w:tc>
        <w:tc>
          <w:tcPr>
            <w:tcW w:w="1080" w:type="dxa"/>
            <w:vAlign w:val="center"/>
          </w:tcPr>
          <w:p w14:paraId="21D1F46B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60.0000</w:t>
            </w:r>
          </w:p>
        </w:tc>
        <w:tc>
          <w:tcPr>
            <w:tcW w:w="1080" w:type="dxa"/>
            <w:vAlign w:val="center"/>
          </w:tcPr>
          <w:p w14:paraId="0E9A6E5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0.7939</w:t>
            </w:r>
          </w:p>
        </w:tc>
        <w:tc>
          <w:tcPr>
            <w:tcW w:w="1080" w:type="dxa"/>
            <w:vAlign w:val="center"/>
          </w:tcPr>
          <w:p w14:paraId="55888FD2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10.482</w:t>
            </w:r>
          </w:p>
        </w:tc>
        <w:tc>
          <w:tcPr>
            <w:tcW w:w="1080" w:type="dxa"/>
            <w:vAlign w:val="center"/>
          </w:tcPr>
          <w:p w14:paraId="7302414E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91.786%</w:t>
            </w:r>
          </w:p>
        </w:tc>
      </w:tr>
      <w:tr w:rsidR="008467B0" w14:paraId="0D7CDCF4" w14:textId="77777777">
        <w:trPr>
          <w:jc w:val="center"/>
        </w:trPr>
        <w:tc>
          <w:tcPr>
            <w:tcW w:w="1080" w:type="dxa"/>
            <w:vAlign w:val="center"/>
          </w:tcPr>
          <w:p w14:paraId="103E1870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30</w:t>
            </w:r>
          </w:p>
        </w:tc>
        <w:tc>
          <w:tcPr>
            <w:tcW w:w="1080" w:type="dxa"/>
            <w:vAlign w:val="center"/>
          </w:tcPr>
          <w:p w14:paraId="393C42C6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7</w:t>
            </w:r>
          </w:p>
        </w:tc>
        <w:tc>
          <w:tcPr>
            <w:tcW w:w="1080" w:type="dxa"/>
            <w:vAlign w:val="center"/>
          </w:tcPr>
          <w:p w14:paraId="57DA87B6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0.2333</w:t>
            </w:r>
          </w:p>
        </w:tc>
        <w:tc>
          <w:tcPr>
            <w:tcW w:w="1080" w:type="dxa"/>
            <w:vAlign w:val="center"/>
          </w:tcPr>
          <w:p w14:paraId="75952C8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0.0333</w:t>
            </w:r>
          </w:p>
        </w:tc>
        <w:tc>
          <w:tcPr>
            <w:tcW w:w="1080" w:type="dxa"/>
            <w:vAlign w:val="center"/>
          </w:tcPr>
          <w:p w14:paraId="76DA27F5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90.0000</w:t>
            </w:r>
          </w:p>
        </w:tc>
        <w:tc>
          <w:tcPr>
            <w:tcW w:w="1080" w:type="dxa"/>
            <w:vAlign w:val="center"/>
          </w:tcPr>
          <w:p w14:paraId="2A3BD805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0.4477</w:t>
            </w:r>
          </w:p>
        </w:tc>
        <w:tc>
          <w:tcPr>
            <w:tcW w:w="1080" w:type="dxa"/>
            <w:vAlign w:val="center"/>
          </w:tcPr>
          <w:p w14:paraId="54DAEE9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10.475</w:t>
            </w:r>
          </w:p>
        </w:tc>
        <w:tc>
          <w:tcPr>
            <w:tcW w:w="1080" w:type="dxa"/>
            <w:vAlign w:val="center"/>
          </w:tcPr>
          <w:p w14:paraId="6DFFE83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91.774%</w:t>
            </w:r>
          </w:p>
        </w:tc>
      </w:tr>
      <w:tr w:rsidR="008467B0" w14:paraId="34D4491C" w14:textId="77777777">
        <w:trPr>
          <w:jc w:val="center"/>
        </w:trPr>
        <w:tc>
          <w:tcPr>
            <w:tcW w:w="1080" w:type="dxa"/>
            <w:vAlign w:val="center"/>
          </w:tcPr>
          <w:p w14:paraId="0A353511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50</w:t>
            </w:r>
          </w:p>
        </w:tc>
        <w:tc>
          <w:tcPr>
            <w:tcW w:w="1080" w:type="dxa"/>
            <w:vAlign w:val="center"/>
          </w:tcPr>
          <w:p w14:paraId="36417809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13</w:t>
            </w:r>
          </w:p>
        </w:tc>
        <w:tc>
          <w:tcPr>
            <w:tcW w:w="1080" w:type="dxa"/>
            <w:vAlign w:val="center"/>
          </w:tcPr>
          <w:p w14:paraId="08A6C73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0.2600</w:t>
            </w:r>
          </w:p>
        </w:tc>
        <w:tc>
          <w:tcPr>
            <w:tcW w:w="1080" w:type="dxa"/>
            <w:vAlign w:val="center"/>
          </w:tcPr>
          <w:p w14:paraId="0135499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0.0200</w:t>
            </w:r>
          </w:p>
        </w:tc>
        <w:tc>
          <w:tcPr>
            <w:tcW w:w="1080" w:type="dxa"/>
            <w:vAlign w:val="center"/>
          </w:tcPr>
          <w:p w14:paraId="74542F8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150.0000</w:t>
            </w:r>
          </w:p>
        </w:tc>
        <w:tc>
          <w:tcPr>
            <w:tcW w:w="1080" w:type="dxa"/>
            <w:vAlign w:val="center"/>
          </w:tcPr>
          <w:p w14:paraId="5CB0C89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0.5314</w:t>
            </w:r>
          </w:p>
        </w:tc>
        <w:tc>
          <w:tcPr>
            <w:tcW w:w="1080" w:type="dxa"/>
            <w:vAlign w:val="center"/>
          </w:tcPr>
          <w:p w14:paraId="050CB0E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10.471</w:t>
            </w:r>
          </w:p>
        </w:tc>
        <w:tc>
          <w:tcPr>
            <w:tcW w:w="1080" w:type="dxa"/>
            <w:vAlign w:val="center"/>
          </w:tcPr>
          <w:p w14:paraId="52EBA2E0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91.767%</w:t>
            </w:r>
          </w:p>
        </w:tc>
      </w:tr>
    </w:tbl>
    <w:p w14:paraId="4F0599ED" w14:textId="77777777" w:rsidR="008467B0" w:rsidRDefault="00BF3579">
      <w:pPr>
        <w:jc w:val="center"/>
      </w:pPr>
      <w:r>
        <w:rPr>
          <w:noProof/>
        </w:rPr>
        <w:drawing>
          <wp:inline distT="0" distB="0" distL="0" distR="0" wp14:anchorId="7BF559B0" wp14:editId="0E7EB239">
            <wp:extent cx="5303520" cy="20021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capacity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0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0260" w14:textId="77777777" w:rsidR="008467B0" w:rsidRDefault="00BF3579">
      <w:pPr>
        <w:spacing w:before="60" w:after="0" w:line="240" w:lineRule="auto"/>
        <w:jc w:val="center"/>
      </w:pPr>
      <w:r>
        <w:rPr>
          <w:rFonts w:eastAsia="??"/>
          <w:sz w:val="18"/>
        </w:rPr>
        <w:t>图</w:t>
      </w:r>
      <w:r>
        <w:rPr>
          <w:rFonts w:eastAsia="??"/>
          <w:sz w:val="18"/>
        </w:rPr>
        <w:t xml:space="preserve"> 4. </w:t>
      </w:r>
      <w:r>
        <w:rPr>
          <w:rFonts w:eastAsia="??"/>
          <w:sz w:val="18"/>
        </w:rPr>
        <w:t>平凹腔与对称双凹腔的几何实现及</w:t>
      </w:r>
      <w:r>
        <w:rPr>
          <w:rFonts w:eastAsia="??"/>
          <w:sz w:val="18"/>
        </w:rPr>
        <w:t xml:space="preserve"> $M=9$ </w:t>
      </w:r>
      <w:r>
        <w:rPr>
          <w:rFonts w:eastAsia="??"/>
          <w:sz w:val="18"/>
        </w:rPr>
        <w:t>鲁棒分支比较。</w:t>
      </w:r>
    </w:p>
    <w:p w14:paraId="003AD839" w14:textId="77777777" w:rsidR="008467B0" w:rsidRDefault="00BF3579">
      <w:pPr>
        <w:spacing w:after="120" w:line="240" w:lineRule="auto"/>
        <w:jc w:val="center"/>
      </w:pPr>
      <w:r>
        <w:rPr>
          <w:rFonts w:eastAsia="??"/>
          <w:sz w:val="18"/>
        </w:rPr>
        <w:t>Fig. 4. Geometry realization and robust-branch comparison between plane-concave and symmetric double-concave cavities for $M=9$.</w:t>
      </w:r>
    </w:p>
    <w:p w14:paraId="6C85B0C9" w14:textId="77777777" w:rsidR="008467B0" w:rsidRDefault="00BF3579">
      <w:pPr>
        <w:jc w:val="center"/>
      </w:pPr>
      <w:r>
        <w:rPr>
          <w:noProof/>
        </w:rPr>
        <w:drawing>
          <wp:inline distT="0" distB="0" distL="0" distR="0" wp14:anchorId="2D87DCCC" wp14:editId="502E3867">
            <wp:extent cx="5303520" cy="2100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oam_special_case_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040F" w14:textId="77777777" w:rsidR="008467B0" w:rsidRDefault="00BF3579">
      <w:pPr>
        <w:spacing w:before="60" w:after="0" w:line="240" w:lineRule="auto"/>
        <w:jc w:val="center"/>
      </w:pPr>
      <w:r>
        <w:rPr>
          <w:rFonts w:eastAsia="??"/>
          <w:sz w:val="18"/>
        </w:rPr>
        <w:lastRenderedPageBreak/>
        <w:t>图</w:t>
      </w:r>
      <w:r>
        <w:rPr>
          <w:rFonts w:eastAsia="??"/>
          <w:sz w:val="18"/>
        </w:rPr>
        <w:t xml:space="preserve"> 5. </w:t>
      </w:r>
      <w:r>
        <w:rPr>
          <w:rFonts w:eastAsia="??"/>
          <w:sz w:val="18"/>
        </w:rPr>
        <w:t>径向寄生分量与卫星峰来源。</w:t>
      </w:r>
    </w:p>
    <w:p w14:paraId="1694910A" w14:textId="77777777" w:rsidR="008467B0" w:rsidRDefault="00BF3579">
      <w:pPr>
        <w:spacing w:after="120" w:line="240" w:lineRule="auto"/>
        <w:jc w:val="center"/>
      </w:pPr>
      <w:r>
        <w:rPr>
          <w:rFonts w:eastAsia="??"/>
          <w:sz w:val="18"/>
        </w:rPr>
        <w:t>Fig. 5. Radial parasitic components and the origin of satellite peaks.</w:t>
      </w:r>
    </w:p>
    <w:p w14:paraId="5C8CDB16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参考文献</w:t>
      </w:r>
    </w:p>
    <w:p w14:paraId="22BDCC83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[1] Allen L, Beijersbergen M W, Spreeuw R J C, et al. Orbital angular momentum of light and the transformation of Laguerre-Gaussian laser modes[J]. Physical Review A, 1992, 45(11): 8185-8189.</w:t>
      </w:r>
    </w:p>
    <w:p w14:paraId="665B782F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[2] Shen Y, Wang X, Xie Z, et al. Optical vortices 30 years on: OAM manipulation from topological charge to multiple singularities[J]. Light: Science &amp; Applications, 2019, 8: 90.</w:t>
      </w:r>
    </w:p>
    <w:p w14:paraId="5E1E7E8F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[3] Gibson G, Courtial J, Padgett M J, et al. Free-space information transfer using light beams carrying orbital angular momentum[J]. Optics Express, 2004, 12(22): 5448-5456.</w:t>
      </w:r>
    </w:p>
    <w:p w14:paraId="52EA2BD5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[4] Wang J, Yang J Y, Fazal I M, et al. Terabit free-space data transmission employing orbital angular momentum multiplexing[J]. Nature Photonics, 2012, 6(7): 488-496.</w:t>
      </w:r>
    </w:p>
    <w:p w14:paraId="7CA07C31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[5] Bozinovic N, Yue Y, Ren Y, et al. Terabit-scale orbital angular momentum mode division multiplexing in fibers[J]. Science, 2013, 340(6140): 1545-1548.</w:t>
      </w:r>
    </w:p>
    <w:p w14:paraId="33C960A2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[6] Erhard M, Krenn M, Zeilinger A. Advances in high-dimensional quantum entanglement[J]. Nature Reviews Physics, 2020, 2(7): 365-381.</w:t>
      </w:r>
    </w:p>
    <w:p w14:paraId="4F8CF201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 xml:space="preserve">[7] </w:t>
      </w:r>
      <w:r>
        <w:rPr>
          <w:rFonts w:eastAsia="??"/>
          <w:sz w:val="18"/>
        </w:rPr>
        <w:t>刘俊</w:t>
      </w:r>
      <w:r>
        <w:rPr>
          <w:rFonts w:eastAsia="??"/>
          <w:sz w:val="18"/>
        </w:rPr>
        <w:t xml:space="preserve">, </w:t>
      </w:r>
      <w:r>
        <w:rPr>
          <w:rFonts w:eastAsia="??"/>
          <w:sz w:val="18"/>
        </w:rPr>
        <w:t>王健</w:t>
      </w:r>
      <w:r>
        <w:rPr>
          <w:rFonts w:eastAsia="??"/>
          <w:sz w:val="18"/>
        </w:rPr>
        <w:t xml:space="preserve">. </w:t>
      </w:r>
      <w:r>
        <w:rPr>
          <w:rFonts w:eastAsia="??"/>
          <w:sz w:val="18"/>
        </w:rPr>
        <w:t>轨道角动量光信号处理研究进展</w:t>
      </w:r>
      <w:r>
        <w:rPr>
          <w:rFonts w:eastAsia="??"/>
          <w:sz w:val="18"/>
        </w:rPr>
        <w:t xml:space="preserve">[J]. </w:t>
      </w:r>
      <w:r>
        <w:rPr>
          <w:rFonts w:eastAsia="??"/>
          <w:sz w:val="18"/>
        </w:rPr>
        <w:t>通信学报</w:t>
      </w:r>
      <w:r>
        <w:rPr>
          <w:rFonts w:eastAsia="??"/>
          <w:sz w:val="18"/>
        </w:rPr>
        <w:t>, 2021, 42(11): 217-232.</w:t>
      </w:r>
    </w:p>
    <w:p w14:paraId="6D2CF151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[8] Guo H, Liu N, Li Z, et al. Generation of continuous-variable high-dimensional entanglement with three degrees of freedom and multiplexing quantum dense coding[J]. Photonics Research, 2022, 10(12): 2828-2835.</w:t>
      </w:r>
    </w:p>
    <w:p w14:paraId="7032B246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[9] Leach J, Padgett M J, Barnett S M, et al. Measuring the orbital angular momentum of a single photon[J]. Physical Review Letters, 2002, 88(25): 257901.</w:t>
      </w:r>
    </w:p>
    <w:p w14:paraId="63EE1F63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[10] Berkhout G C G, Lavery M P J, Courtial J, et al. Efficient sorting of orbital angular momentum states of light[J]. Physical Review Letters, 2010, 105(15): 153601.</w:t>
      </w:r>
    </w:p>
    <w:p w14:paraId="413711D3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[11] Mirhosseini M, Malik M, Shi Z, et al. Efficient separation of the orbital angular momentum eigenstates of light[J]. Nature Communications, 2013, 4: 2781.</w:t>
      </w:r>
    </w:p>
    <w:p w14:paraId="78B3A4F7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[12] Labroille G, Denolle B, Jian P, et al. Efficient and mode selective spatial mode multiplexer based on multi-plane light conversion[J]. Optics Express, 2014, 22(13): 15599-15607.</w:t>
      </w:r>
    </w:p>
    <w:p w14:paraId="1ECC855A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[13] Fontaine N K, Ryf R, Chen H, et al. Laguerre-Gaussian mode sorter[J]. Nature Communications, 2019, 10: 1865.</w:t>
      </w:r>
    </w:p>
    <w:p w14:paraId="27249DA5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[14] Brandt F, Hiekkamaki M, Bouchard F, et al. High-dimensional quantum gates using full-field spatial modes of photons[J]. Optica, 2020, 7(2): 98-107.</w:t>
      </w:r>
    </w:p>
    <w:p w14:paraId="42C09583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[15] Kogelnik H, Li T. Laser beams and resonators[J]. Applied Optics, 1966, 5(10): 1550-1567.</w:t>
      </w:r>
    </w:p>
    <w:p w14:paraId="7134A2DF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[16] Siegman A E. Lasers[M]. Sausalito: University Science Books, 1986.</w:t>
      </w:r>
    </w:p>
    <w:p w14:paraId="0B592E84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 xml:space="preserve">[17] </w:t>
      </w:r>
      <w:r>
        <w:rPr>
          <w:rFonts w:eastAsia="??"/>
          <w:sz w:val="18"/>
        </w:rPr>
        <w:t>张天才</w:t>
      </w:r>
      <w:r>
        <w:rPr>
          <w:rFonts w:eastAsia="??"/>
          <w:sz w:val="18"/>
        </w:rPr>
        <w:t xml:space="preserve">, </w:t>
      </w:r>
      <w:r>
        <w:rPr>
          <w:rFonts w:eastAsia="??"/>
          <w:sz w:val="18"/>
        </w:rPr>
        <w:t>毋伟</w:t>
      </w:r>
      <w:r>
        <w:rPr>
          <w:rFonts w:eastAsia="??"/>
          <w:sz w:val="18"/>
        </w:rPr>
        <w:t xml:space="preserve">, </w:t>
      </w:r>
      <w:r>
        <w:rPr>
          <w:rFonts w:eastAsia="??"/>
          <w:sz w:val="18"/>
        </w:rPr>
        <w:t>杨鹏飞</w:t>
      </w:r>
      <w:r>
        <w:rPr>
          <w:rFonts w:eastAsia="??"/>
          <w:sz w:val="18"/>
        </w:rPr>
        <w:t xml:space="preserve">, </w:t>
      </w:r>
      <w:r>
        <w:rPr>
          <w:rFonts w:eastAsia="??"/>
          <w:sz w:val="18"/>
        </w:rPr>
        <w:t>等</w:t>
      </w:r>
      <w:r>
        <w:rPr>
          <w:rFonts w:eastAsia="??"/>
          <w:sz w:val="18"/>
        </w:rPr>
        <w:t xml:space="preserve">. </w:t>
      </w:r>
      <w:r>
        <w:rPr>
          <w:rFonts w:eastAsia="??"/>
          <w:sz w:val="18"/>
        </w:rPr>
        <w:t>高精细度法布里</w:t>
      </w:r>
      <w:r>
        <w:rPr>
          <w:rFonts w:eastAsia="??"/>
          <w:sz w:val="18"/>
        </w:rPr>
        <w:t>-</w:t>
      </w:r>
      <w:r>
        <w:rPr>
          <w:rFonts w:eastAsia="??"/>
          <w:sz w:val="18"/>
        </w:rPr>
        <w:t>珀罗光学微腔及其在强耦合腔量子电动力学中的应用</w:t>
      </w:r>
      <w:r>
        <w:rPr>
          <w:rFonts w:eastAsia="??"/>
          <w:sz w:val="18"/>
        </w:rPr>
        <w:t xml:space="preserve">[J]. </w:t>
      </w:r>
      <w:r>
        <w:rPr>
          <w:rFonts w:eastAsia="??"/>
          <w:sz w:val="18"/>
        </w:rPr>
        <w:t>光学学报</w:t>
      </w:r>
      <w:r>
        <w:rPr>
          <w:rFonts w:eastAsia="??"/>
          <w:sz w:val="18"/>
        </w:rPr>
        <w:t>, 2021, 41(1): 0127001.</w:t>
      </w:r>
    </w:p>
    <w:p w14:paraId="775A27D6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[18] Foster D H, Nöckel J U. Bragg-induced orbital-angular-momentum mixing in paraxial high-finesse cavities[J]. Optics Letters, 2004, 29(23): 2788-2790.</w:t>
      </w:r>
    </w:p>
    <w:p w14:paraId="58B72B2F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[19] Paul S, Lyubopytov V S, Schumann M F, et al. Wavelength-selective orbital-angular-momentum beam generation using MEMS tunable Fabry-Perot filter[J]. Optics Letters, 2016, 41(14): 3249-3252.</w:t>
      </w:r>
    </w:p>
    <w:p w14:paraId="0600A064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[20] Lyubopytov V S, Porfirev A P, Gurbatov S O, et al. Simultaneous wavelength and orbital angular momentum demultiplexing using tunable MEMS-based Fabry-Perot filter[J]. Optics Express, 2017, 25(9): 9634-9646.</w:t>
      </w:r>
    </w:p>
    <w:p w14:paraId="6115C889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[21] Wei S, Earl S K, Lin J, et al. Active sorting of orbital angular momentum states of light with a cascaded tunable resonator[J]. Light: Science &amp; Applications, 2020, 9: 10.</w:t>
      </w:r>
    </w:p>
    <w:p w14:paraId="1BBB100E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[22] Vanani F G, Fardoost A, Zhang Y, et al. Low-crosstalk mode-group demultiplexers based on Fabry-Perot thin-film filters[J]. Optics Express, 2022, 30(22): 39258-39268.</w:t>
      </w:r>
    </w:p>
    <w:p w14:paraId="7263AC38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[23] Yang Y F, Chen M Y, Li F P, et al. Scalable cyclic transformation of orbital angular momentum modes based on a nonreciprocal Mach-Zehnder interferometer[J]. Photonics Research, 2024, 12(10): 2249-2256.</w:t>
      </w:r>
    </w:p>
    <w:p w14:paraId="74D2D6F4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英文摘要</w:t>
      </w:r>
    </w:p>
    <w:p w14:paraId="578D3D29" w14:textId="77777777" w:rsidR="008467B0" w:rsidRDefault="00BF3579">
      <w:pPr>
        <w:spacing w:after="120" w:line="240" w:lineRule="auto"/>
        <w:jc w:val="center"/>
      </w:pPr>
      <w:r>
        <w:rPr>
          <w:rFonts w:eastAsia="??"/>
          <w:b/>
        </w:rPr>
        <w:t>Unified design framework and error mechanism for Laguerre-Gaussian mode sorting in stable two-mirror Fabry-Perot cavities</w:t>
      </w:r>
    </w:p>
    <w:p w14:paraId="607024BC" w14:textId="77777777" w:rsidR="008467B0" w:rsidRDefault="00BF3579">
      <w:pPr>
        <w:spacing w:after="80" w:line="240" w:lineRule="auto"/>
        <w:jc w:val="both"/>
      </w:pPr>
      <w:r>
        <w:rPr>
          <w:rFonts w:eastAsia="??"/>
          <w:sz w:val="20"/>
        </w:rPr>
        <w:t>Abstract: Fabry-Perot (FP) cavities can perform mode-preserving spectral sorting of Laguerre-Gaussian (LG) modes through Gouy-phase-dependent resonances. In a stable isotropic FP cavity, the transverse resonance frequency is determined by the mode order $N=2p+|l|+1$, so a single cavity responds to LG modes as groups with the same $N$. Using the effective normalized Gouy step $k_{\mathrm{eff}}$ as the design parameter, this work gives a folded-spectrum method for stable two-mirror FP cavities and derives the</w:t>
      </w:r>
      <w:r>
        <w:rPr>
          <w:rFonts w:eastAsia="??"/>
          <w:sz w:val="20"/>
        </w:rPr>
        <w:t xml:space="preserve"> corresponding geometric back-substitution relations for plane-concave, symmetric double-concave, and general stable two-mirror cavities. For consecutive mode groups $S_M=\{1,2,\ldots,M\}$, the optimal arrangement is obtained at $k^\*=m/M$ with $\gcd(m,M)=1$, giving the minimum circular spacing $s_{\min}=1/M$. The hierarchy </w:t>
      </w:r>
      <w:r>
        <w:rPr>
          <w:rFonts w:eastAsia="??"/>
          <w:sz w:val="20"/>
        </w:rPr>
        <w:lastRenderedPageBreak/>
        <w:t>of the spacing landscape is organized by the Farey-neighbor structure. A periodic Airy transmission function is then used to calculate finite-dimensional crosstalk sums and conditional p</w:t>
      </w:r>
      <w:r>
        <w:rPr>
          <w:rFonts w:eastAsia="??"/>
          <w:sz w:val="20"/>
        </w:rPr>
        <w:t>robabilities, leading to the sorting efficiency $\eta_{\mathrm{sort}}$, the crosstalk metric $ER_{\mathrm{sum}}$, and the capacity boundary. For $M=9$, $F=32.21$, and $k=2/9$, the theoretical calculation gives $\eta_{\mathrm{sort}}=94.1166\%$ and an average $ER_{\mathrm{sum}}=12.0404\,\mathrm{dB}$. A consecutive OAM sequence is a special case with $p=0$ and a single sign of $l$. A single isotropic FP cavity does not distinguish $+l$ from $-l$, and radial parasitic peaks in the measured spectrum can be expla</w:t>
      </w:r>
      <w:r>
        <w:rPr>
          <w:rFonts w:eastAsia="??"/>
          <w:sz w:val="20"/>
        </w:rPr>
        <w:t>ined by degeneracy between modes with the same $N$.</w:t>
      </w:r>
    </w:p>
    <w:p w14:paraId="493E2E24" w14:textId="77777777" w:rsidR="008467B0" w:rsidRDefault="00BF3579">
      <w:pPr>
        <w:spacing w:after="80" w:line="240" w:lineRule="auto"/>
        <w:jc w:val="both"/>
      </w:pPr>
      <w:r>
        <w:rPr>
          <w:rFonts w:eastAsia="??"/>
          <w:sz w:val="20"/>
        </w:rPr>
        <w:t>Keywords: Fabry-Perot cavity; Laguerre-Gaussian mode; Gouy phase; mode sorting; Airy transmission; radial parasitic mode</w:t>
      </w:r>
    </w:p>
    <w:sectPr w:rsidR="008467B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EC531" w14:textId="77777777" w:rsidR="00BF3579" w:rsidRDefault="00BF3579">
      <w:pPr>
        <w:spacing w:after="0" w:line="240" w:lineRule="auto"/>
      </w:pPr>
      <w:r>
        <w:separator/>
      </w:r>
    </w:p>
  </w:endnote>
  <w:endnote w:type="continuationSeparator" w:id="0">
    <w:p w14:paraId="0ED9F70D" w14:textId="77777777" w:rsidR="00BF3579" w:rsidRDefault="00BF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??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90DC7" w14:textId="77777777" w:rsidR="00BF3579" w:rsidRDefault="00BF3579">
      <w:r>
        <w:separator/>
      </w:r>
    </w:p>
  </w:footnote>
  <w:footnote w:type="continuationSeparator" w:id="0">
    <w:p w14:paraId="458243E4" w14:textId="77777777" w:rsidR="00BF3579" w:rsidRDefault="00BF3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DEF67B"/>
    <w:multiLevelType w:val="singleLevel"/>
    <w:tmpl w:val="B3DEF67B"/>
    <w:lvl w:ilvl="0">
      <w:start w:val="1"/>
      <w:numFmt w:val="decimal"/>
      <w:suff w:val="space"/>
      <w:lvlText w:val="[%1]"/>
      <w:lvlJc w:val="left"/>
      <w:pPr>
        <w:ind w:left="420" w:hanging="420"/>
      </w:pPr>
      <w:rPr>
        <w:rFonts w:hint="default"/>
      </w:rPr>
    </w:lvl>
  </w:abstractNum>
  <w:abstractNum w:abstractNumId="1" w15:restartNumberingAfterBreak="0">
    <w:nsid w:val="2C1AE401"/>
    <w:multiLevelType w:val="multilevel"/>
    <w:tmpl w:val="0C520C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63F87493"/>
    <w:multiLevelType w:val="hybridMultilevel"/>
    <w:tmpl w:val="550E562A"/>
    <w:lvl w:ilvl="0" w:tplc="C46AC1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2332057">
    <w:abstractNumId w:val="1"/>
  </w:num>
  <w:num w:numId="2" w16cid:durableId="645160281">
    <w:abstractNumId w:val="2"/>
  </w:num>
  <w:num w:numId="3" w16cid:durableId="9374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4BC"/>
    <w:rsid w:val="00002AFA"/>
    <w:rsid w:val="00002B17"/>
    <w:rsid w:val="000053E3"/>
    <w:rsid w:val="0000576F"/>
    <w:rsid w:val="00005BE4"/>
    <w:rsid w:val="00007783"/>
    <w:rsid w:val="00010D02"/>
    <w:rsid w:val="00011C8B"/>
    <w:rsid w:val="00011D28"/>
    <w:rsid w:val="00012560"/>
    <w:rsid w:val="000157E7"/>
    <w:rsid w:val="00016BC5"/>
    <w:rsid w:val="000210B6"/>
    <w:rsid w:val="000217AE"/>
    <w:rsid w:val="00022A49"/>
    <w:rsid w:val="00025624"/>
    <w:rsid w:val="00025CD0"/>
    <w:rsid w:val="00026172"/>
    <w:rsid w:val="0003090A"/>
    <w:rsid w:val="000323B1"/>
    <w:rsid w:val="000336CB"/>
    <w:rsid w:val="000375F1"/>
    <w:rsid w:val="00040027"/>
    <w:rsid w:val="0004405D"/>
    <w:rsid w:val="00045794"/>
    <w:rsid w:val="000459A7"/>
    <w:rsid w:val="00045A31"/>
    <w:rsid w:val="00046D67"/>
    <w:rsid w:val="00046DAD"/>
    <w:rsid w:val="00053821"/>
    <w:rsid w:val="0005538F"/>
    <w:rsid w:val="0005565A"/>
    <w:rsid w:val="00055ACC"/>
    <w:rsid w:val="00055D75"/>
    <w:rsid w:val="000612DD"/>
    <w:rsid w:val="00061E90"/>
    <w:rsid w:val="0006380C"/>
    <w:rsid w:val="00064B86"/>
    <w:rsid w:val="00064E6A"/>
    <w:rsid w:val="00065719"/>
    <w:rsid w:val="00073932"/>
    <w:rsid w:val="0007532D"/>
    <w:rsid w:val="0007649B"/>
    <w:rsid w:val="000770BA"/>
    <w:rsid w:val="00077234"/>
    <w:rsid w:val="00077F11"/>
    <w:rsid w:val="00080187"/>
    <w:rsid w:val="00080D1A"/>
    <w:rsid w:val="00082596"/>
    <w:rsid w:val="000829B0"/>
    <w:rsid w:val="00083087"/>
    <w:rsid w:val="00084B4D"/>
    <w:rsid w:val="00084ED0"/>
    <w:rsid w:val="00085304"/>
    <w:rsid w:val="00086A81"/>
    <w:rsid w:val="00086E9C"/>
    <w:rsid w:val="0009056B"/>
    <w:rsid w:val="000912FC"/>
    <w:rsid w:val="000942EA"/>
    <w:rsid w:val="00094807"/>
    <w:rsid w:val="000959A9"/>
    <w:rsid w:val="00097B15"/>
    <w:rsid w:val="000A2055"/>
    <w:rsid w:val="000A353C"/>
    <w:rsid w:val="000A5BDB"/>
    <w:rsid w:val="000B09B4"/>
    <w:rsid w:val="000B0E47"/>
    <w:rsid w:val="000B1FDB"/>
    <w:rsid w:val="000B376F"/>
    <w:rsid w:val="000B5898"/>
    <w:rsid w:val="000B5DE7"/>
    <w:rsid w:val="000B7DC9"/>
    <w:rsid w:val="000C2A19"/>
    <w:rsid w:val="000C5B31"/>
    <w:rsid w:val="000C6CC6"/>
    <w:rsid w:val="000D0B77"/>
    <w:rsid w:val="000D3CA1"/>
    <w:rsid w:val="000D4985"/>
    <w:rsid w:val="000D4C26"/>
    <w:rsid w:val="000D4EF3"/>
    <w:rsid w:val="000D6457"/>
    <w:rsid w:val="000D6D07"/>
    <w:rsid w:val="000E3818"/>
    <w:rsid w:val="000E4921"/>
    <w:rsid w:val="000E59F3"/>
    <w:rsid w:val="000E5FA2"/>
    <w:rsid w:val="000E7773"/>
    <w:rsid w:val="000E7981"/>
    <w:rsid w:val="000F1890"/>
    <w:rsid w:val="000F212E"/>
    <w:rsid w:val="000F2548"/>
    <w:rsid w:val="000F2F6B"/>
    <w:rsid w:val="000F35AD"/>
    <w:rsid w:val="000F552F"/>
    <w:rsid w:val="00100654"/>
    <w:rsid w:val="00100A37"/>
    <w:rsid w:val="001013CF"/>
    <w:rsid w:val="00101D6B"/>
    <w:rsid w:val="00102870"/>
    <w:rsid w:val="00103024"/>
    <w:rsid w:val="0010366C"/>
    <w:rsid w:val="0010397A"/>
    <w:rsid w:val="001066B7"/>
    <w:rsid w:val="00106DB3"/>
    <w:rsid w:val="001077E0"/>
    <w:rsid w:val="0011042E"/>
    <w:rsid w:val="00114400"/>
    <w:rsid w:val="001149F6"/>
    <w:rsid w:val="00121782"/>
    <w:rsid w:val="00122BC3"/>
    <w:rsid w:val="00122F34"/>
    <w:rsid w:val="00122FE7"/>
    <w:rsid w:val="00123650"/>
    <w:rsid w:val="00123EE1"/>
    <w:rsid w:val="001260F8"/>
    <w:rsid w:val="00126349"/>
    <w:rsid w:val="001302F4"/>
    <w:rsid w:val="0013191F"/>
    <w:rsid w:val="00132225"/>
    <w:rsid w:val="00132F09"/>
    <w:rsid w:val="0013369E"/>
    <w:rsid w:val="001337F3"/>
    <w:rsid w:val="00133A5D"/>
    <w:rsid w:val="00133E8C"/>
    <w:rsid w:val="0013499C"/>
    <w:rsid w:val="00135038"/>
    <w:rsid w:val="00135B44"/>
    <w:rsid w:val="0013692A"/>
    <w:rsid w:val="00136FDD"/>
    <w:rsid w:val="001376AA"/>
    <w:rsid w:val="001402BD"/>
    <w:rsid w:val="00143A90"/>
    <w:rsid w:val="001471EB"/>
    <w:rsid w:val="001527F5"/>
    <w:rsid w:val="0015282A"/>
    <w:rsid w:val="00154B79"/>
    <w:rsid w:val="00156269"/>
    <w:rsid w:val="001609DF"/>
    <w:rsid w:val="00161025"/>
    <w:rsid w:val="00163AA0"/>
    <w:rsid w:val="00164745"/>
    <w:rsid w:val="00164FDC"/>
    <w:rsid w:val="00165286"/>
    <w:rsid w:val="00165B07"/>
    <w:rsid w:val="00166A5C"/>
    <w:rsid w:val="00172AF1"/>
    <w:rsid w:val="001735A7"/>
    <w:rsid w:val="0017455A"/>
    <w:rsid w:val="001774D1"/>
    <w:rsid w:val="00181729"/>
    <w:rsid w:val="00181E2F"/>
    <w:rsid w:val="001820D5"/>
    <w:rsid w:val="00182383"/>
    <w:rsid w:val="00184107"/>
    <w:rsid w:val="0018443D"/>
    <w:rsid w:val="001844A5"/>
    <w:rsid w:val="001847CD"/>
    <w:rsid w:val="001865C6"/>
    <w:rsid w:val="00186652"/>
    <w:rsid w:val="00186F14"/>
    <w:rsid w:val="00187C54"/>
    <w:rsid w:val="00190A31"/>
    <w:rsid w:val="001916A2"/>
    <w:rsid w:val="001918F8"/>
    <w:rsid w:val="001925B0"/>
    <w:rsid w:val="00192BF6"/>
    <w:rsid w:val="0019334E"/>
    <w:rsid w:val="001933AE"/>
    <w:rsid w:val="001937CF"/>
    <w:rsid w:val="00193C0C"/>
    <w:rsid w:val="00195B81"/>
    <w:rsid w:val="00195DD0"/>
    <w:rsid w:val="00196512"/>
    <w:rsid w:val="00197163"/>
    <w:rsid w:val="00197A6C"/>
    <w:rsid w:val="001A035D"/>
    <w:rsid w:val="001A062E"/>
    <w:rsid w:val="001A14A2"/>
    <w:rsid w:val="001A42A8"/>
    <w:rsid w:val="001A6690"/>
    <w:rsid w:val="001B0E94"/>
    <w:rsid w:val="001B1610"/>
    <w:rsid w:val="001B1C50"/>
    <w:rsid w:val="001B3F60"/>
    <w:rsid w:val="001B43F9"/>
    <w:rsid w:val="001B476B"/>
    <w:rsid w:val="001B509D"/>
    <w:rsid w:val="001B52B6"/>
    <w:rsid w:val="001B7BE6"/>
    <w:rsid w:val="001B7DCD"/>
    <w:rsid w:val="001C02E4"/>
    <w:rsid w:val="001C0475"/>
    <w:rsid w:val="001C0AC5"/>
    <w:rsid w:val="001C265C"/>
    <w:rsid w:val="001C269F"/>
    <w:rsid w:val="001C2A8E"/>
    <w:rsid w:val="001C41A4"/>
    <w:rsid w:val="001C5A5E"/>
    <w:rsid w:val="001C65ED"/>
    <w:rsid w:val="001D1288"/>
    <w:rsid w:val="001D197F"/>
    <w:rsid w:val="001D453C"/>
    <w:rsid w:val="001D4AA0"/>
    <w:rsid w:val="001D4CC6"/>
    <w:rsid w:val="001D77CD"/>
    <w:rsid w:val="001D7884"/>
    <w:rsid w:val="001D7A45"/>
    <w:rsid w:val="001E0C7F"/>
    <w:rsid w:val="001E34B1"/>
    <w:rsid w:val="001E3757"/>
    <w:rsid w:val="001E4F16"/>
    <w:rsid w:val="001E5803"/>
    <w:rsid w:val="001E5B6D"/>
    <w:rsid w:val="001F08CC"/>
    <w:rsid w:val="001F0CD2"/>
    <w:rsid w:val="001F0D8D"/>
    <w:rsid w:val="001F1072"/>
    <w:rsid w:val="001F1AA5"/>
    <w:rsid w:val="001F1BD0"/>
    <w:rsid w:val="001F346E"/>
    <w:rsid w:val="001F6292"/>
    <w:rsid w:val="001F6FC9"/>
    <w:rsid w:val="00200B6E"/>
    <w:rsid w:val="002013FF"/>
    <w:rsid w:val="00203044"/>
    <w:rsid w:val="00203654"/>
    <w:rsid w:val="002036F2"/>
    <w:rsid w:val="00203929"/>
    <w:rsid w:val="00203A3C"/>
    <w:rsid w:val="00204BEC"/>
    <w:rsid w:val="00205F19"/>
    <w:rsid w:val="00206C79"/>
    <w:rsid w:val="00207934"/>
    <w:rsid w:val="00207A14"/>
    <w:rsid w:val="00210428"/>
    <w:rsid w:val="002128E9"/>
    <w:rsid w:val="00212F40"/>
    <w:rsid w:val="002151BA"/>
    <w:rsid w:val="0021549E"/>
    <w:rsid w:val="002161F7"/>
    <w:rsid w:val="00216FDD"/>
    <w:rsid w:val="0022114D"/>
    <w:rsid w:val="00223B02"/>
    <w:rsid w:val="002250D8"/>
    <w:rsid w:val="002269DD"/>
    <w:rsid w:val="00226BE0"/>
    <w:rsid w:val="00227BE3"/>
    <w:rsid w:val="00227DA6"/>
    <w:rsid w:val="0023012D"/>
    <w:rsid w:val="0023190B"/>
    <w:rsid w:val="00232981"/>
    <w:rsid w:val="00233948"/>
    <w:rsid w:val="0023396B"/>
    <w:rsid w:val="002340F3"/>
    <w:rsid w:val="00235C83"/>
    <w:rsid w:val="0023634F"/>
    <w:rsid w:val="00236B20"/>
    <w:rsid w:val="0024160C"/>
    <w:rsid w:val="00241AD9"/>
    <w:rsid w:val="00241C56"/>
    <w:rsid w:val="0024298D"/>
    <w:rsid w:val="00244D81"/>
    <w:rsid w:val="002457DA"/>
    <w:rsid w:val="00245F1D"/>
    <w:rsid w:val="00251A36"/>
    <w:rsid w:val="002531B1"/>
    <w:rsid w:val="00253A92"/>
    <w:rsid w:val="002548B3"/>
    <w:rsid w:val="00254C81"/>
    <w:rsid w:val="002550D0"/>
    <w:rsid w:val="0025552A"/>
    <w:rsid w:val="0025749D"/>
    <w:rsid w:val="00264BD3"/>
    <w:rsid w:val="00266696"/>
    <w:rsid w:val="00270388"/>
    <w:rsid w:val="002716BE"/>
    <w:rsid w:val="00271D9C"/>
    <w:rsid w:val="00272692"/>
    <w:rsid w:val="00272D95"/>
    <w:rsid w:val="00272E4E"/>
    <w:rsid w:val="002735F7"/>
    <w:rsid w:val="00273EA1"/>
    <w:rsid w:val="00274A83"/>
    <w:rsid w:val="00276DBD"/>
    <w:rsid w:val="0027759D"/>
    <w:rsid w:val="002834EC"/>
    <w:rsid w:val="00284E17"/>
    <w:rsid w:val="0028517F"/>
    <w:rsid w:val="002854B9"/>
    <w:rsid w:val="00285B0C"/>
    <w:rsid w:val="00286F45"/>
    <w:rsid w:val="0029093B"/>
    <w:rsid w:val="00293F95"/>
    <w:rsid w:val="00294F0B"/>
    <w:rsid w:val="002A097D"/>
    <w:rsid w:val="002A2190"/>
    <w:rsid w:val="002A294B"/>
    <w:rsid w:val="002A44F1"/>
    <w:rsid w:val="002A455C"/>
    <w:rsid w:val="002A4D06"/>
    <w:rsid w:val="002A4E83"/>
    <w:rsid w:val="002A7E66"/>
    <w:rsid w:val="002B0BF1"/>
    <w:rsid w:val="002B1907"/>
    <w:rsid w:val="002B1CB3"/>
    <w:rsid w:val="002B22BD"/>
    <w:rsid w:val="002B251C"/>
    <w:rsid w:val="002B298F"/>
    <w:rsid w:val="002B6787"/>
    <w:rsid w:val="002C11C3"/>
    <w:rsid w:val="002C1274"/>
    <w:rsid w:val="002C2530"/>
    <w:rsid w:val="002C6695"/>
    <w:rsid w:val="002D03CB"/>
    <w:rsid w:val="002D16AC"/>
    <w:rsid w:val="002D1718"/>
    <w:rsid w:val="002D1EE9"/>
    <w:rsid w:val="002D28BE"/>
    <w:rsid w:val="002D2F9B"/>
    <w:rsid w:val="002D3951"/>
    <w:rsid w:val="002D408D"/>
    <w:rsid w:val="002D458B"/>
    <w:rsid w:val="002D55E4"/>
    <w:rsid w:val="002D5F6B"/>
    <w:rsid w:val="002D6453"/>
    <w:rsid w:val="002D6BAC"/>
    <w:rsid w:val="002D7C71"/>
    <w:rsid w:val="002E04DD"/>
    <w:rsid w:val="002E5D09"/>
    <w:rsid w:val="002E732F"/>
    <w:rsid w:val="002F2980"/>
    <w:rsid w:val="002F602A"/>
    <w:rsid w:val="002F75A5"/>
    <w:rsid w:val="00300237"/>
    <w:rsid w:val="00300790"/>
    <w:rsid w:val="00310CDA"/>
    <w:rsid w:val="0031466E"/>
    <w:rsid w:val="0031695F"/>
    <w:rsid w:val="00320A88"/>
    <w:rsid w:val="003219E3"/>
    <w:rsid w:val="00323498"/>
    <w:rsid w:val="00323F3B"/>
    <w:rsid w:val="00324B26"/>
    <w:rsid w:val="00325D53"/>
    <w:rsid w:val="00331C72"/>
    <w:rsid w:val="00331E58"/>
    <w:rsid w:val="0033406C"/>
    <w:rsid w:val="003359DA"/>
    <w:rsid w:val="00337FD3"/>
    <w:rsid w:val="00340774"/>
    <w:rsid w:val="003415FA"/>
    <w:rsid w:val="00342BFB"/>
    <w:rsid w:val="00346759"/>
    <w:rsid w:val="003471FE"/>
    <w:rsid w:val="003475CB"/>
    <w:rsid w:val="00354C9D"/>
    <w:rsid w:val="003555AD"/>
    <w:rsid w:val="003571BA"/>
    <w:rsid w:val="0036216B"/>
    <w:rsid w:val="003633E0"/>
    <w:rsid w:val="003636E8"/>
    <w:rsid w:val="003638BB"/>
    <w:rsid w:val="00364C7E"/>
    <w:rsid w:val="00365070"/>
    <w:rsid w:val="00366DBE"/>
    <w:rsid w:val="00366F6F"/>
    <w:rsid w:val="00367CE5"/>
    <w:rsid w:val="0037002B"/>
    <w:rsid w:val="003706FE"/>
    <w:rsid w:val="00370B8D"/>
    <w:rsid w:val="00370CED"/>
    <w:rsid w:val="00372485"/>
    <w:rsid w:val="00374FF4"/>
    <w:rsid w:val="0037564C"/>
    <w:rsid w:val="003758CA"/>
    <w:rsid w:val="00376358"/>
    <w:rsid w:val="00376A14"/>
    <w:rsid w:val="00376C08"/>
    <w:rsid w:val="00376EBD"/>
    <w:rsid w:val="003772E4"/>
    <w:rsid w:val="0037730A"/>
    <w:rsid w:val="00377430"/>
    <w:rsid w:val="00380F75"/>
    <w:rsid w:val="00382AA9"/>
    <w:rsid w:val="00382E7F"/>
    <w:rsid w:val="00382EE2"/>
    <w:rsid w:val="00383E05"/>
    <w:rsid w:val="00390D37"/>
    <w:rsid w:val="00391706"/>
    <w:rsid w:val="00393000"/>
    <w:rsid w:val="0039708A"/>
    <w:rsid w:val="003A08EA"/>
    <w:rsid w:val="003A0BB1"/>
    <w:rsid w:val="003A12D1"/>
    <w:rsid w:val="003A698C"/>
    <w:rsid w:val="003A6E33"/>
    <w:rsid w:val="003A7446"/>
    <w:rsid w:val="003B007D"/>
    <w:rsid w:val="003B0F02"/>
    <w:rsid w:val="003B1BD0"/>
    <w:rsid w:val="003B381C"/>
    <w:rsid w:val="003B3FF5"/>
    <w:rsid w:val="003B475B"/>
    <w:rsid w:val="003B4F20"/>
    <w:rsid w:val="003B606E"/>
    <w:rsid w:val="003B6314"/>
    <w:rsid w:val="003B6758"/>
    <w:rsid w:val="003B7301"/>
    <w:rsid w:val="003B7FED"/>
    <w:rsid w:val="003C00DA"/>
    <w:rsid w:val="003C1813"/>
    <w:rsid w:val="003C1ECE"/>
    <w:rsid w:val="003C42C1"/>
    <w:rsid w:val="003C57D7"/>
    <w:rsid w:val="003D0069"/>
    <w:rsid w:val="003D23E4"/>
    <w:rsid w:val="003D38F1"/>
    <w:rsid w:val="003D4668"/>
    <w:rsid w:val="003D56D3"/>
    <w:rsid w:val="003D58BC"/>
    <w:rsid w:val="003D61BD"/>
    <w:rsid w:val="003E1A9C"/>
    <w:rsid w:val="003E4A66"/>
    <w:rsid w:val="003E73EA"/>
    <w:rsid w:val="003E7A57"/>
    <w:rsid w:val="003F13B0"/>
    <w:rsid w:val="003F2173"/>
    <w:rsid w:val="003F2413"/>
    <w:rsid w:val="003F5D37"/>
    <w:rsid w:val="003F61AA"/>
    <w:rsid w:val="003F6F29"/>
    <w:rsid w:val="00400514"/>
    <w:rsid w:val="004015FD"/>
    <w:rsid w:val="00401FF2"/>
    <w:rsid w:val="00402F74"/>
    <w:rsid w:val="00403407"/>
    <w:rsid w:val="00404967"/>
    <w:rsid w:val="00404E6B"/>
    <w:rsid w:val="00407870"/>
    <w:rsid w:val="00410390"/>
    <w:rsid w:val="00410CFC"/>
    <w:rsid w:val="00414BDF"/>
    <w:rsid w:val="00416BED"/>
    <w:rsid w:val="00416CE1"/>
    <w:rsid w:val="00420515"/>
    <w:rsid w:val="00420A94"/>
    <w:rsid w:val="00420D35"/>
    <w:rsid w:val="00422B82"/>
    <w:rsid w:val="0042527C"/>
    <w:rsid w:val="004300B1"/>
    <w:rsid w:val="00430FF8"/>
    <w:rsid w:val="00435411"/>
    <w:rsid w:val="004374F7"/>
    <w:rsid w:val="00437873"/>
    <w:rsid w:val="00441554"/>
    <w:rsid w:val="00441C17"/>
    <w:rsid w:val="0044200C"/>
    <w:rsid w:val="00443B94"/>
    <w:rsid w:val="00443BFD"/>
    <w:rsid w:val="00445853"/>
    <w:rsid w:val="004468D7"/>
    <w:rsid w:val="00447F88"/>
    <w:rsid w:val="00450438"/>
    <w:rsid w:val="004511DE"/>
    <w:rsid w:val="00452B3A"/>
    <w:rsid w:val="00460665"/>
    <w:rsid w:val="004608AE"/>
    <w:rsid w:val="00460FBE"/>
    <w:rsid w:val="00461279"/>
    <w:rsid w:val="00463ACA"/>
    <w:rsid w:val="00463B0C"/>
    <w:rsid w:val="00464E7F"/>
    <w:rsid w:val="0046699C"/>
    <w:rsid w:val="00467C52"/>
    <w:rsid w:val="00470E3C"/>
    <w:rsid w:val="00471909"/>
    <w:rsid w:val="00471D3A"/>
    <w:rsid w:val="00475015"/>
    <w:rsid w:val="00475211"/>
    <w:rsid w:val="00476B25"/>
    <w:rsid w:val="00476CD1"/>
    <w:rsid w:val="00480630"/>
    <w:rsid w:val="00480C01"/>
    <w:rsid w:val="004818CF"/>
    <w:rsid w:val="00483B1B"/>
    <w:rsid w:val="004866C0"/>
    <w:rsid w:val="004873F0"/>
    <w:rsid w:val="00487B64"/>
    <w:rsid w:val="00487B72"/>
    <w:rsid w:val="00491A19"/>
    <w:rsid w:val="00493C05"/>
    <w:rsid w:val="00493E1B"/>
    <w:rsid w:val="00494C4E"/>
    <w:rsid w:val="00494CCE"/>
    <w:rsid w:val="004956B6"/>
    <w:rsid w:val="0049570E"/>
    <w:rsid w:val="004958F3"/>
    <w:rsid w:val="004959C1"/>
    <w:rsid w:val="004A3207"/>
    <w:rsid w:val="004A5E3C"/>
    <w:rsid w:val="004A6880"/>
    <w:rsid w:val="004A753E"/>
    <w:rsid w:val="004A7E0B"/>
    <w:rsid w:val="004B25C9"/>
    <w:rsid w:val="004B45FE"/>
    <w:rsid w:val="004B7525"/>
    <w:rsid w:val="004C0865"/>
    <w:rsid w:val="004C20B2"/>
    <w:rsid w:val="004C229F"/>
    <w:rsid w:val="004C35B9"/>
    <w:rsid w:val="004C5867"/>
    <w:rsid w:val="004C60FD"/>
    <w:rsid w:val="004C65BE"/>
    <w:rsid w:val="004D00D9"/>
    <w:rsid w:val="004D017D"/>
    <w:rsid w:val="004D021F"/>
    <w:rsid w:val="004D0BC3"/>
    <w:rsid w:val="004D188E"/>
    <w:rsid w:val="004D2CD2"/>
    <w:rsid w:val="004D329A"/>
    <w:rsid w:val="004D41A6"/>
    <w:rsid w:val="004D4972"/>
    <w:rsid w:val="004E00F5"/>
    <w:rsid w:val="004E07EF"/>
    <w:rsid w:val="004E29B3"/>
    <w:rsid w:val="004E3146"/>
    <w:rsid w:val="004E39B9"/>
    <w:rsid w:val="004E58E5"/>
    <w:rsid w:val="004E5AAF"/>
    <w:rsid w:val="004E5C65"/>
    <w:rsid w:val="004E6E0E"/>
    <w:rsid w:val="004E73C1"/>
    <w:rsid w:val="004F26BD"/>
    <w:rsid w:val="004F3E4F"/>
    <w:rsid w:val="004F43E3"/>
    <w:rsid w:val="004F4DCA"/>
    <w:rsid w:val="004F6226"/>
    <w:rsid w:val="004F6534"/>
    <w:rsid w:val="004F6836"/>
    <w:rsid w:val="004F7D56"/>
    <w:rsid w:val="00501116"/>
    <w:rsid w:val="00501888"/>
    <w:rsid w:val="00506D08"/>
    <w:rsid w:val="00507301"/>
    <w:rsid w:val="00507DDC"/>
    <w:rsid w:val="00510097"/>
    <w:rsid w:val="00510FFD"/>
    <w:rsid w:val="00511789"/>
    <w:rsid w:val="005130E1"/>
    <w:rsid w:val="00513633"/>
    <w:rsid w:val="00515205"/>
    <w:rsid w:val="0051597F"/>
    <w:rsid w:val="00516C5B"/>
    <w:rsid w:val="00516CD1"/>
    <w:rsid w:val="00517DDB"/>
    <w:rsid w:val="0052008C"/>
    <w:rsid w:val="00524E17"/>
    <w:rsid w:val="00525BE8"/>
    <w:rsid w:val="005261E9"/>
    <w:rsid w:val="00530284"/>
    <w:rsid w:val="00531998"/>
    <w:rsid w:val="00532842"/>
    <w:rsid w:val="00536ECB"/>
    <w:rsid w:val="0053736D"/>
    <w:rsid w:val="00537F70"/>
    <w:rsid w:val="00542275"/>
    <w:rsid w:val="00542718"/>
    <w:rsid w:val="005452E8"/>
    <w:rsid w:val="005454E8"/>
    <w:rsid w:val="00547645"/>
    <w:rsid w:val="00551424"/>
    <w:rsid w:val="005519FB"/>
    <w:rsid w:val="00552AFE"/>
    <w:rsid w:val="00554082"/>
    <w:rsid w:val="005557EF"/>
    <w:rsid w:val="005560B4"/>
    <w:rsid w:val="0055676F"/>
    <w:rsid w:val="00557321"/>
    <w:rsid w:val="005578AA"/>
    <w:rsid w:val="00557D98"/>
    <w:rsid w:val="005618EF"/>
    <w:rsid w:val="00566391"/>
    <w:rsid w:val="0057007A"/>
    <w:rsid w:val="00570D93"/>
    <w:rsid w:val="00573263"/>
    <w:rsid w:val="00582662"/>
    <w:rsid w:val="00582F66"/>
    <w:rsid w:val="00583527"/>
    <w:rsid w:val="00583BC7"/>
    <w:rsid w:val="005871FE"/>
    <w:rsid w:val="005873A6"/>
    <w:rsid w:val="00587646"/>
    <w:rsid w:val="00590D07"/>
    <w:rsid w:val="005914EB"/>
    <w:rsid w:val="00593602"/>
    <w:rsid w:val="00593F15"/>
    <w:rsid w:val="005946FB"/>
    <w:rsid w:val="00595AA5"/>
    <w:rsid w:val="00595CE8"/>
    <w:rsid w:val="0059600A"/>
    <w:rsid w:val="00596468"/>
    <w:rsid w:val="005A04F9"/>
    <w:rsid w:val="005A2587"/>
    <w:rsid w:val="005A2F74"/>
    <w:rsid w:val="005A3071"/>
    <w:rsid w:val="005A4C5F"/>
    <w:rsid w:val="005A57BB"/>
    <w:rsid w:val="005A68C4"/>
    <w:rsid w:val="005A7901"/>
    <w:rsid w:val="005B06B7"/>
    <w:rsid w:val="005B0D4C"/>
    <w:rsid w:val="005B3CE2"/>
    <w:rsid w:val="005B43DF"/>
    <w:rsid w:val="005B589C"/>
    <w:rsid w:val="005B5BB5"/>
    <w:rsid w:val="005B5D36"/>
    <w:rsid w:val="005B70EC"/>
    <w:rsid w:val="005B75B9"/>
    <w:rsid w:val="005B76D7"/>
    <w:rsid w:val="005C0C12"/>
    <w:rsid w:val="005C1CAA"/>
    <w:rsid w:val="005C1D8B"/>
    <w:rsid w:val="005C21E5"/>
    <w:rsid w:val="005C2268"/>
    <w:rsid w:val="005C32C0"/>
    <w:rsid w:val="005C4EC9"/>
    <w:rsid w:val="005C5570"/>
    <w:rsid w:val="005C6311"/>
    <w:rsid w:val="005D1FFC"/>
    <w:rsid w:val="005D2B4A"/>
    <w:rsid w:val="005D3D9A"/>
    <w:rsid w:val="005D4BAD"/>
    <w:rsid w:val="005D5019"/>
    <w:rsid w:val="005D5FE8"/>
    <w:rsid w:val="005D7C53"/>
    <w:rsid w:val="005E1CF8"/>
    <w:rsid w:val="005E2A81"/>
    <w:rsid w:val="005E2D83"/>
    <w:rsid w:val="005E300B"/>
    <w:rsid w:val="005E44B2"/>
    <w:rsid w:val="005E56EF"/>
    <w:rsid w:val="005E579F"/>
    <w:rsid w:val="005E59D4"/>
    <w:rsid w:val="005E5E49"/>
    <w:rsid w:val="005E69BA"/>
    <w:rsid w:val="005E7320"/>
    <w:rsid w:val="005F2B42"/>
    <w:rsid w:val="005F499F"/>
    <w:rsid w:val="005F4AE2"/>
    <w:rsid w:val="005F76D0"/>
    <w:rsid w:val="00600FB3"/>
    <w:rsid w:val="006025D0"/>
    <w:rsid w:val="00603161"/>
    <w:rsid w:val="00604876"/>
    <w:rsid w:val="00610AFE"/>
    <w:rsid w:val="00611E67"/>
    <w:rsid w:val="00612C75"/>
    <w:rsid w:val="00612E17"/>
    <w:rsid w:val="006131D6"/>
    <w:rsid w:val="00614252"/>
    <w:rsid w:val="0061477F"/>
    <w:rsid w:val="00615EC7"/>
    <w:rsid w:val="006161A9"/>
    <w:rsid w:val="00617B49"/>
    <w:rsid w:val="006213EA"/>
    <w:rsid w:val="00621A8C"/>
    <w:rsid w:val="00624495"/>
    <w:rsid w:val="006256DC"/>
    <w:rsid w:val="00626043"/>
    <w:rsid w:val="006261D2"/>
    <w:rsid w:val="00626879"/>
    <w:rsid w:val="006341B6"/>
    <w:rsid w:val="00636A91"/>
    <w:rsid w:val="00637A0C"/>
    <w:rsid w:val="00642750"/>
    <w:rsid w:val="00642958"/>
    <w:rsid w:val="0064304B"/>
    <w:rsid w:val="00643158"/>
    <w:rsid w:val="00644BF1"/>
    <w:rsid w:val="00644EA8"/>
    <w:rsid w:val="00645BCF"/>
    <w:rsid w:val="00645CDA"/>
    <w:rsid w:val="006465D1"/>
    <w:rsid w:val="006466C3"/>
    <w:rsid w:val="0065321A"/>
    <w:rsid w:val="00657222"/>
    <w:rsid w:val="0066233F"/>
    <w:rsid w:val="006636B9"/>
    <w:rsid w:val="006708D4"/>
    <w:rsid w:val="0067514B"/>
    <w:rsid w:val="00675CC8"/>
    <w:rsid w:val="00675E4B"/>
    <w:rsid w:val="006762F2"/>
    <w:rsid w:val="00676E73"/>
    <w:rsid w:val="006812A7"/>
    <w:rsid w:val="006823B2"/>
    <w:rsid w:val="00682666"/>
    <w:rsid w:val="006837C0"/>
    <w:rsid w:val="00683C85"/>
    <w:rsid w:val="00684CE3"/>
    <w:rsid w:val="00684F90"/>
    <w:rsid w:val="00686768"/>
    <w:rsid w:val="00686A9E"/>
    <w:rsid w:val="006876EA"/>
    <w:rsid w:val="0069012A"/>
    <w:rsid w:val="00692044"/>
    <w:rsid w:val="00692D62"/>
    <w:rsid w:val="006932EE"/>
    <w:rsid w:val="00694EF2"/>
    <w:rsid w:val="00697BEC"/>
    <w:rsid w:val="006A0100"/>
    <w:rsid w:val="006A0285"/>
    <w:rsid w:val="006A205B"/>
    <w:rsid w:val="006A28DA"/>
    <w:rsid w:val="006A47AF"/>
    <w:rsid w:val="006A5BB6"/>
    <w:rsid w:val="006A62EA"/>
    <w:rsid w:val="006A6399"/>
    <w:rsid w:val="006B0905"/>
    <w:rsid w:val="006B469F"/>
    <w:rsid w:val="006B4A41"/>
    <w:rsid w:val="006B4ABF"/>
    <w:rsid w:val="006B704A"/>
    <w:rsid w:val="006C0C36"/>
    <w:rsid w:val="006C25E7"/>
    <w:rsid w:val="006C2A14"/>
    <w:rsid w:val="006C2EF5"/>
    <w:rsid w:val="006C4480"/>
    <w:rsid w:val="006C7BC0"/>
    <w:rsid w:val="006D054E"/>
    <w:rsid w:val="006D2D5F"/>
    <w:rsid w:val="006D2EA8"/>
    <w:rsid w:val="006D3783"/>
    <w:rsid w:val="006D39B9"/>
    <w:rsid w:val="006D4C7F"/>
    <w:rsid w:val="006E0093"/>
    <w:rsid w:val="006E0336"/>
    <w:rsid w:val="006E04AB"/>
    <w:rsid w:val="006E1FFE"/>
    <w:rsid w:val="006E2BE1"/>
    <w:rsid w:val="006E33F6"/>
    <w:rsid w:val="006E34B4"/>
    <w:rsid w:val="006E458C"/>
    <w:rsid w:val="006E4F6F"/>
    <w:rsid w:val="006F0974"/>
    <w:rsid w:val="006F0BCF"/>
    <w:rsid w:val="006F0C35"/>
    <w:rsid w:val="006F10BF"/>
    <w:rsid w:val="006F2E2A"/>
    <w:rsid w:val="006F326A"/>
    <w:rsid w:val="006F47DE"/>
    <w:rsid w:val="006F578E"/>
    <w:rsid w:val="0070094E"/>
    <w:rsid w:val="00700CC1"/>
    <w:rsid w:val="00700CCB"/>
    <w:rsid w:val="00700F96"/>
    <w:rsid w:val="00702D68"/>
    <w:rsid w:val="00705CD1"/>
    <w:rsid w:val="00706A74"/>
    <w:rsid w:val="007072C5"/>
    <w:rsid w:val="00707F34"/>
    <w:rsid w:val="00710EF6"/>
    <w:rsid w:val="007120F4"/>
    <w:rsid w:val="0071234D"/>
    <w:rsid w:val="00712758"/>
    <w:rsid w:val="00714D72"/>
    <w:rsid w:val="00715B30"/>
    <w:rsid w:val="00720AB1"/>
    <w:rsid w:val="00722741"/>
    <w:rsid w:val="00723F46"/>
    <w:rsid w:val="00726EBA"/>
    <w:rsid w:val="00727268"/>
    <w:rsid w:val="00734193"/>
    <w:rsid w:val="00734280"/>
    <w:rsid w:val="007362B0"/>
    <w:rsid w:val="0073651F"/>
    <w:rsid w:val="00736E22"/>
    <w:rsid w:val="007377A1"/>
    <w:rsid w:val="0074033A"/>
    <w:rsid w:val="00742690"/>
    <w:rsid w:val="00745B12"/>
    <w:rsid w:val="0075059B"/>
    <w:rsid w:val="007517B2"/>
    <w:rsid w:val="00753478"/>
    <w:rsid w:val="007539A6"/>
    <w:rsid w:val="00755041"/>
    <w:rsid w:val="00755C1E"/>
    <w:rsid w:val="00756A2C"/>
    <w:rsid w:val="0076012E"/>
    <w:rsid w:val="007618EC"/>
    <w:rsid w:val="00761E56"/>
    <w:rsid w:val="00761E84"/>
    <w:rsid w:val="00763AFF"/>
    <w:rsid w:val="007643DB"/>
    <w:rsid w:val="00770D23"/>
    <w:rsid w:val="00774D7C"/>
    <w:rsid w:val="00781218"/>
    <w:rsid w:val="00782301"/>
    <w:rsid w:val="00784D58"/>
    <w:rsid w:val="00785060"/>
    <w:rsid w:val="0078526D"/>
    <w:rsid w:val="00786407"/>
    <w:rsid w:val="00786C02"/>
    <w:rsid w:val="0078793E"/>
    <w:rsid w:val="00790310"/>
    <w:rsid w:val="00791E24"/>
    <w:rsid w:val="0079229F"/>
    <w:rsid w:val="007928D2"/>
    <w:rsid w:val="00792FC5"/>
    <w:rsid w:val="00793A8B"/>
    <w:rsid w:val="00794441"/>
    <w:rsid w:val="0079459E"/>
    <w:rsid w:val="00794E9A"/>
    <w:rsid w:val="00795169"/>
    <w:rsid w:val="007956DB"/>
    <w:rsid w:val="00795F01"/>
    <w:rsid w:val="0079667E"/>
    <w:rsid w:val="0079695A"/>
    <w:rsid w:val="007A03CF"/>
    <w:rsid w:val="007A2890"/>
    <w:rsid w:val="007A2CEC"/>
    <w:rsid w:val="007B1436"/>
    <w:rsid w:val="007B2245"/>
    <w:rsid w:val="007B3673"/>
    <w:rsid w:val="007B4F51"/>
    <w:rsid w:val="007C110B"/>
    <w:rsid w:val="007C1C32"/>
    <w:rsid w:val="007C3960"/>
    <w:rsid w:val="007C68E6"/>
    <w:rsid w:val="007C76CE"/>
    <w:rsid w:val="007D55FA"/>
    <w:rsid w:val="007D57DE"/>
    <w:rsid w:val="007E1238"/>
    <w:rsid w:val="007E2D70"/>
    <w:rsid w:val="007E3E24"/>
    <w:rsid w:val="007E60A5"/>
    <w:rsid w:val="007E635F"/>
    <w:rsid w:val="007E6450"/>
    <w:rsid w:val="007E69D5"/>
    <w:rsid w:val="007F07B2"/>
    <w:rsid w:val="007F0E75"/>
    <w:rsid w:val="007F1394"/>
    <w:rsid w:val="007F2AA5"/>
    <w:rsid w:val="007F3F35"/>
    <w:rsid w:val="007F6E92"/>
    <w:rsid w:val="007F70D8"/>
    <w:rsid w:val="007F7350"/>
    <w:rsid w:val="007F7CFF"/>
    <w:rsid w:val="00800E29"/>
    <w:rsid w:val="00800F4A"/>
    <w:rsid w:val="0080215F"/>
    <w:rsid w:val="00802EB5"/>
    <w:rsid w:val="008101A1"/>
    <w:rsid w:val="00811021"/>
    <w:rsid w:val="00811042"/>
    <w:rsid w:val="0081268A"/>
    <w:rsid w:val="008142BA"/>
    <w:rsid w:val="008145DF"/>
    <w:rsid w:val="00823A8A"/>
    <w:rsid w:val="008251A7"/>
    <w:rsid w:val="008305F4"/>
    <w:rsid w:val="00830621"/>
    <w:rsid w:val="00831FFA"/>
    <w:rsid w:val="00836188"/>
    <w:rsid w:val="008406A4"/>
    <w:rsid w:val="00842559"/>
    <w:rsid w:val="00844760"/>
    <w:rsid w:val="00845E1A"/>
    <w:rsid w:val="008467B0"/>
    <w:rsid w:val="0085014B"/>
    <w:rsid w:val="00850900"/>
    <w:rsid w:val="00850956"/>
    <w:rsid w:val="00853C10"/>
    <w:rsid w:val="0085588F"/>
    <w:rsid w:val="00855F4D"/>
    <w:rsid w:val="008605F5"/>
    <w:rsid w:val="0086144A"/>
    <w:rsid w:val="00861822"/>
    <w:rsid w:val="00861DF2"/>
    <w:rsid w:val="008631EA"/>
    <w:rsid w:val="00863A3A"/>
    <w:rsid w:val="008661B9"/>
    <w:rsid w:val="00867E9C"/>
    <w:rsid w:val="00871DAE"/>
    <w:rsid w:val="00873971"/>
    <w:rsid w:val="00874B21"/>
    <w:rsid w:val="0087553B"/>
    <w:rsid w:val="008765CC"/>
    <w:rsid w:val="008766E0"/>
    <w:rsid w:val="0088015D"/>
    <w:rsid w:val="008801B6"/>
    <w:rsid w:val="0088495F"/>
    <w:rsid w:val="00884A11"/>
    <w:rsid w:val="00884BC2"/>
    <w:rsid w:val="00885DC4"/>
    <w:rsid w:val="00885E34"/>
    <w:rsid w:val="00886C68"/>
    <w:rsid w:val="00887831"/>
    <w:rsid w:val="0089054F"/>
    <w:rsid w:val="00891E9F"/>
    <w:rsid w:val="00892401"/>
    <w:rsid w:val="008928C1"/>
    <w:rsid w:val="00892CEF"/>
    <w:rsid w:val="00892FBE"/>
    <w:rsid w:val="008948A8"/>
    <w:rsid w:val="00894A5F"/>
    <w:rsid w:val="0089536D"/>
    <w:rsid w:val="00897609"/>
    <w:rsid w:val="008A47E2"/>
    <w:rsid w:val="008A540B"/>
    <w:rsid w:val="008B0C6F"/>
    <w:rsid w:val="008B1655"/>
    <w:rsid w:val="008B2ECD"/>
    <w:rsid w:val="008B3F13"/>
    <w:rsid w:val="008B4ABF"/>
    <w:rsid w:val="008B5BF7"/>
    <w:rsid w:val="008B6B11"/>
    <w:rsid w:val="008B75F2"/>
    <w:rsid w:val="008C403B"/>
    <w:rsid w:val="008C5EF1"/>
    <w:rsid w:val="008D08B9"/>
    <w:rsid w:val="008D08FE"/>
    <w:rsid w:val="008D0D26"/>
    <w:rsid w:val="008D336C"/>
    <w:rsid w:val="008D4FE9"/>
    <w:rsid w:val="008D6863"/>
    <w:rsid w:val="008D6A4D"/>
    <w:rsid w:val="008D7C03"/>
    <w:rsid w:val="008E1086"/>
    <w:rsid w:val="008E412E"/>
    <w:rsid w:val="008E472B"/>
    <w:rsid w:val="008E4D7A"/>
    <w:rsid w:val="008E6DE7"/>
    <w:rsid w:val="008F104E"/>
    <w:rsid w:val="008F2262"/>
    <w:rsid w:val="008F5FA2"/>
    <w:rsid w:val="008F7234"/>
    <w:rsid w:val="0090173A"/>
    <w:rsid w:val="009039EB"/>
    <w:rsid w:val="009056DF"/>
    <w:rsid w:val="00905E94"/>
    <w:rsid w:val="00906D40"/>
    <w:rsid w:val="00911682"/>
    <w:rsid w:val="009117C2"/>
    <w:rsid w:val="00911F9E"/>
    <w:rsid w:val="00912504"/>
    <w:rsid w:val="00912CEC"/>
    <w:rsid w:val="009136EB"/>
    <w:rsid w:val="00913D0B"/>
    <w:rsid w:val="009143C0"/>
    <w:rsid w:val="009148F5"/>
    <w:rsid w:val="0091640A"/>
    <w:rsid w:val="00916EEA"/>
    <w:rsid w:val="00920CC5"/>
    <w:rsid w:val="00920E6F"/>
    <w:rsid w:val="00920F85"/>
    <w:rsid w:val="0092257A"/>
    <w:rsid w:val="00924424"/>
    <w:rsid w:val="00925C2A"/>
    <w:rsid w:val="00925D07"/>
    <w:rsid w:val="009267EA"/>
    <w:rsid w:val="00932F5A"/>
    <w:rsid w:val="0093370A"/>
    <w:rsid w:val="0093637C"/>
    <w:rsid w:val="00936428"/>
    <w:rsid w:val="00940CBD"/>
    <w:rsid w:val="00945950"/>
    <w:rsid w:val="00946A22"/>
    <w:rsid w:val="00952FA4"/>
    <w:rsid w:val="009549BB"/>
    <w:rsid w:val="00954C1C"/>
    <w:rsid w:val="00957DC4"/>
    <w:rsid w:val="00960285"/>
    <w:rsid w:val="009621C5"/>
    <w:rsid w:val="00962E23"/>
    <w:rsid w:val="009641A5"/>
    <w:rsid w:val="009677C5"/>
    <w:rsid w:val="00970A67"/>
    <w:rsid w:val="0097175E"/>
    <w:rsid w:val="00972326"/>
    <w:rsid w:val="00972B5C"/>
    <w:rsid w:val="00972F4F"/>
    <w:rsid w:val="00973961"/>
    <w:rsid w:val="00975CF2"/>
    <w:rsid w:val="009763A2"/>
    <w:rsid w:val="009803C1"/>
    <w:rsid w:val="009810B7"/>
    <w:rsid w:val="0098150C"/>
    <w:rsid w:val="009821BA"/>
    <w:rsid w:val="00982D5A"/>
    <w:rsid w:val="009832E3"/>
    <w:rsid w:val="00983CDD"/>
    <w:rsid w:val="00983E94"/>
    <w:rsid w:val="00984AA5"/>
    <w:rsid w:val="00985498"/>
    <w:rsid w:val="00986579"/>
    <w:rsid w:val="00986CCC"/>
    <w:rsid w:val="00986F3E"/>
    <w:rsid w:val="00990015"/>
    <w:rsid w:val="009904F9"/>
    <w:rsid w:val="00990A66"/>
    <w:rsid w:val="0099271A"/>
    <w:rsid w:val="00992FD1"/>
    <w:rsid w:val="009954E3"/>
    <w:rsid w:val="009968FC"/>
    <w:rsid w:val="009A0B72"/>
    <w:rsid w:val="009A1F80"/>
    <w:rsid w:val="009A2802"/>
    <w:rsid w:val="009A3D20"/>
    <w:rsid w:val="009A4462"/>
    <w:rsid w:val="009A4BD0"/>
    <w:rsid w:val="009A4D19"/>
    <w:rsid w:val="009A4DD1"/>
    <w:rsid w:val="009A5E59"/>
    <w:rsid w:val="009A69EC"/>
    <w:rsid w:val="009B1302"/>
    <w:rsid w:val="009B2789"/>
    <w:rsid w:val="009B48BA"/>
    <w:rsid w:val="009B62BE"/>
    <w:rsid w:val="009C0560"/>
    <w:rsid w:val="009C1322"/>
    <w:rsid w:val="009C1B94"/>
    <w:rsid w:val="009C28DF"/>
    <w:rsid w:val="009C2E46"/>
    <w:rsid w:val="009C457F"/>
    <w:rsid w:val="009C4777"/>
    <w:rsid w:val="009C6C59"/>
    <w:rsid w:val="009C6C63"/>
    <w:rsid w:val="009C7944"/>
    <w:rsid w:val="009C7C01"/>
    <w:rsid w:val="009D1CD7"/>
    <w:rsid w:val="009D3890"/>
    <w:rsid w:val="009D473E"/>
    <w:rsid w:val="009D4D93"/>
    <w:rsid w:val="009D6471"/>
    <w:rsid w:val="009D78FC"/>
    <w:rsid w:val="009E052C"/>
    <w:rsid w:val="009E1865"/>
    <w:rsid w:val="009E291C"/>
    <w:rsid w:val="009E2A2A"/>
    <w:rsid w:val="009E3942"/>
    <w:rsid w:val="009E46B5"/>
    <w:rsid w:val="009E4D5C"/>
    <w:rsid w:val="009E61F6"/>
    <w:rsid w:val="009F0F02"/>
    <w:rsid w:val="009F2250"/>
    <w:rsid w:val="009F3E16"/>
    <w:rsid w:val="009F5F3C"/>
    <w:rsid w:val="00A000E7"/>
    <w:rsid w:val="00A00144"/>
    <w:rsid w:val="00A00BF8"/>
    <w:rsid w:val="00A00CC9"/>
    <w:rsid w:val="00A01881"/>
    <w:rsid w:val="00A01ED2"/>
    <w:rsid w:val="00A01EF0"/>
    <w:rsid w:val="00A0487F"/>
    <w:rsid w:val="00A06048"/>
    <w:rsid w:val="00A10466"/>
    <w:rsid w:val="00A10BA9"/>
    <w:rsid w:val="00A11697"/>
    <w:rsid w:val="00A11E70"/>
    <w:rsid w:val="00A13479"/>
    <w:rsid w:val="00A15531"/>
    <w:rsid w:val="00A160DA"/>
    <w:rsid w:val="00A2064F"/>
    <w:rsid w:val="00A21A52"/>
    <w:rsid w:val="00A224DA"/>
    <w:rsid w:val="00A22CA0"/>
    <w:rsid w:val="00A24C6D"/>
    <w:rsid w:val="00A26876"/>
    <w:rsid w:val="00A26CEC"/>
    <w:rsid w:val="00A27C60"/>
    <w:rsid w:val="00A30492"/>
    <w:rsid w:val="00A31540"/>
    <w:rsid w:val="00A31FE5"/>
    <w:rsid w:val="00A343F8"/>
    <w:rsid w:val="00A35B84"/>
    <w:rsid w:val="00A35CBB"/>
    <w:rsid w:val="00A35DA3"/>
    <w:rsid w:val="00A360F1"/>
    <w:rsid w:val="00A365F6"/>
    <w:rsid w:val="00A37531"/>
    <w:rsid w:val="00A37ABF"/>
    <w:rsid w:val="00A40D82"/>
    <w:rsid w:val="00A4118F"/>
    <w:rsid w:val="00A41642"/>
    <w:rsid w:val="00A41F2E"/>
    <w:rsid w:val="00A42162"/>
    <w:rsid w:val="00A423E8"/>
    <w:rsid w:val="00A432A9"/>
    <w:rsid w:val="00A4364F"/>
    <w:rsid w:val="00A4372D"/>
    <w:rsid w:val="00A44448"/>
    <w:rsid w:val="00A44DE2"/>
    <w:rsid w:val="00A45D6F"/>
    <w:rsid w:val="00A47C42"/>
    <w:rsid w:val="00A5064D"/>
    <w:rsid w:val="00A537AC"/>
    <w:rsid w:val="00A53B27"/>
    <w:rsid w:val="00A5587E"/>
    <w:rsid w:val="00A56FED"/>
    <w:rsid w:val="00A57B59"/>
    <w:rsid w:val="00A6069E"/>
    <w:rsid w:val="00A61631"/>
    <w:rsid w:val="00A64B45"/>
    <w:rsid w:val="00A70DD9"/>
    <w:rsid w:val="00A73ABB"/>
    <w:rsid w:val="00A748D6"/>
    <w:rsid w:val="00A752D0"/>
    <w:rsid w:val="00A75924"/>
    <w:rsid w:val="00A775C8"/>
    <w:rsid w:val="00A81EBB"/>
    <w:rsid w:val="00A82631"/>
    <w:rsid w:val="00A83518"/>
    <w:rsid w:val="00A83BB9"/>
    <w:rsid w:val="00A84322"/>
    <w:rsid w:val="00A8467F"/>
    <w:rsid w:val="00A870DE"/>
    <w:rsid w:val="00A87254"/>
    <w:rsid w:val="00A87590"/>
    <w:rsid w:val="00A9048E"/>
    <w:rsid w:val="00A90619"/>
    <w:rsid w:val="00A90B80"/>
    <w:rsid w:val="00A9227D"/>
    <w:rsid w:val="00A92534"/>
    <w:rsid w:val="00A946DB"/>
    <w:rsid w:val="00A96681"/>
    <w:rsid w:val="00AA0987"/>
    <w:rsid w:val="00AA2834"/>
    <w:rsid w:val="00AA2A86"/>
    <w:rsid w:val="00AA2F66"/>
    <w:rsid w:val="00AA56C1"/>
    <w:rsid w:val="00AA631E"/>
    <w:rsid w:val="00AB076A"/>
    <w:rsid w:val="00AB1D16"/>
    <w:rsid w:val="00AB1F03"/>
    <w:rsid w:val="00AB20A7"/>
    <w:rsid w:val="00AB52B6"/>
    <w:rsid w:val="00AC0187"/>
    <w:rsid w:val="00AC05A5"/>
    <w:rsid w:val="00AC0FAF"/>
    <w:rsid w:val="00AC3D0E"/>
    <w:rsid w:val="00AC3FA9"/>
    <w:rsid w:val="00AC4164"/>
    <w:rsid w:val="00AC44FC"/>
    <w:rsid w:val="00AC46FF"/>
    <w:rsid w:val="00AC4CE3"/>
    <w:rsid w:val="00AC618D"/>
    <w:rsid w:val="00AC72CB"/>
    <w:rsid w:val="00AD1BF2"/>
    <w:rsid w:val="00AD466D"/>
    <w:rsid w:val="00AD6DAC"/>
    <w:rsid w:val="00AE082F"/>
    <w:rsid w:val="00AE0FBA"/>
    <w:rsid w:val="00AE162B"/>
    <w:rsid w:val="00AE1A40"/>
    <w:rsid w:val="00AE1F24"/>
    <w:rsid w:val="00AE239E"/>
    <w:rsid w:val="00AE3012"/>
    <w:rsid w:val="00AE41D0"/>
    <w:rsid w:val="00AE62EC"/>
    <w:rsid w:val="00AE6954"/>
    <w:rsid w:val="00AF0F6A"/>
    <w:rsid w:val="00AF1B61"/>
    <w:rsid w:val="00AF1FEF"/>
    <w:rsid w:val="00AF2800"/>
    <w:rsid w:val="00AF3A5E"/>
    <w:rsid w:val="00AF596C"/>
    <w:rsid w:val="00AF68C5"/>
    <w:rsid w:val="00AF79AF"/>
    <w:rsid w:val="00B00CE2"/>
    <w:rsid w:val="00B0479F"/>
    <w:rsid w:val="00B053E8"/>
    <w:rsid w:val="00B0774C"/>
    <w:rsid w:val="00B10711"/>
    <w:rsid w:val="00B109AC"/>
    <w:rsid w:val="00B13067"/>
    <w:rsid w:val="00B13681"/>
    <w:rsid w:val="00B13BEB"/>
    <w:rsid w:val="00B14694"/>
    <w:rsid w:val="00B14CEA"/>
    <w:rsid w:val="00B21277"/>
    <w:rsid w:val="00B22596"/>
    <w:rsid w:val="00B232AC"/>
    <w:rsid w:val="00B234B8"/>
    <w:rsid w:val="00B2368C"/>
    <w:rsid w:val="00B2635D"/>
    <w:rsid w:val="00B26788"/>
    <w:rsid w:val="00B267C2"/>
    <w:rsid w:val="00B26836"/>
    <w:rsid w:val="00B27203"/>
    <w:rsid w:val="00B27505"/>
    <w:rsid w:val="00B2774A"/>
    <w:rsid w:val="00B31453"/>
    <w:rsid w:val="00B31F88"/>
    <w:rsid w:val="00B32538"/>
    <w:rsid w:val="00B32A11"/>
    <w:rsid w:val="00B34252"/>
    <w:rsid w:val="00B362FD"/>
    <w:rsid w:val="00B3693F"/>
    <w:rsid w:val="00B3715E"/>
    <w:rsid w:val="00B41F6E"/>
    <w:rsid w:val="00B42896"/>
    <w:rsid w:val="00B43D67"/>
    <w:rsid w:val="00B44860"/>
    <w:rsid w:val="00B45CC8"/>
    <w:rsid w:val="00B4601D"/>
    <w:rsid w:val="00B503BF"/>
    <w:rsid w:val="00B522D8"/>
    <w:rsid w:val="00B53EAB"/>
    <w:rsid w:val="00B57F68"/>
    <w:rsid w:val="00B61A00"/>
    <w:rsid w:val="00B625B8"/>
    <w:rsid w:val="00B6468C"/>
    <w:rsid w:val="00B64FF4"/>
    <w:rsid w:val="00B66D33"/>
    <w:rsid w:val="00B66E91"/>
    <w:rsid w:val="00B72405"/>
    <w:rsid w:val="00B72AE9"/>
    <w:rsid w:val="00B734B7"/>
    <w:rsid w:val="00B75B15"/>
    <w:rsid w:val="00B75FCB"/>
    <w:rsid w:val="00B778B3"/>
    <w:rsid w:val="00B8052A"/>
    <w:rsid w:val="00B813AF"/>
    <w:rsid w:val="00B81A24"/>
    <w:rsid w:val="00B81C5C"/>
    <w:rsid w:val="00B8407C"/>
    <w:rsid w:val="00B85D95"/>
    <w:rsid w:val="00B86504"/>
    <w:rsid w:val="00B86B75"/>
    <w:rsid w:val="00B909BD"/>
    <w:rsid w:val="00B91E39"/>
    <w:rsid w:val="00B9314B"/>
    <w:rsid w:val="00B93495"/>
    <w:rsid w:val="00B939CB"/>
    <w:rsid w:val="00B9405E"/>
    <w:rsid w:val="00B9464F"/>
    <w:rsid w:val="00B96368"/>
    <w:rsid w:val="00B97929"/>
    <w:rsid w:val="00BA0DDA"/>
    <w:rsid w:val="00BA1854"/>
    <w:rsid w:val="00BA1C9F"/>
    <w:rsid w:val="00BA4847"/>
    <w:rsid w:val="00BA5BA8"/>
    <w:rsid w:val="00BA703F"/>
    <w:rsid w:val="00BA78C2"/>
    <w:rsid w:val="00BB08BF"/>
    <w:rsid w:val="00BB1342"/>
    <w:rsid w:val="00BB20DB"/>
    <w:rsid w:val="00BB3EDE"/>
    <w:rsid w:val="00BB52A5"/>
    <w:rsid w:val="00BC09F7"/>
    <w:rsid w:val="00BC1A24"/>
    <w:rsid w:val="00BC205E"/>
    <w:rsid w:val="00BC277E"/>
    <w:rsid w:val="00BC2790"/>
    <w:rsid w:val="00BC3987"/>
    <w:rsid w:val="00BC48D5"/>
    <w:rsid w:val="00BC4F1A"/>
    <w:rsid w:val="00BC5C0A"/>
    <w:rsid w:val="00BC7082"/>
    <w:rsid w:val="00BD1666"/>
    <w:rsid w:val="00BD4109"/>
    <w:rsid w:val="00BD4D1D"/>
    <w:rsid w:val="00BD5E17"/>
    <w:rsid w:val="00BD64B4"/>
    <w:rsid w:val="00BE0814"/>
    <w:rsid w:val="00BE19E6"/>
    <w:rsid w:val="00BE2EF2"/>
    <w:rsid w:val="00BE4738"/>
    <w:rsid w:val="00BE79C5"/>
    <w:rsid w:val="00BF3579"/>
    <w:rsid w:val="00BF3B8E"/>
    <w:rsid w:val="00BF49A2"/>
    <w:rsid w:val="00BF594A"/>
    <w:rsid w:val="00BF5EC9"/>
    <w:rsid w:val="00C01B5E"/>
    <w:rsid w:val="00C024D1"/>
    <w:rsid w:val="00C02568"/>
    <w:rsid w:val="00C03D65"/>
    <w:rsid w:val="00C05353"/>
    <w:rsid w:val="00C05C5E"/>
    <w:rsid w:val="00C05F9C"/>
    <w:rsid w:val="00C064C7"/>
    <w:rsid w:val="00C06D31"/>
    <w:rsid w:val="00C07EB8"/>
    <w:rsid w:val="00C10C14"/>
    <w:rsid w:val="00C11AE4"/>
    <w:rsid w:val="00C12451"/>
    <w:rsid w:val="00C12497"/>
    <w:rsid w:val="00C13C4C"/>
    <w:rsid w:val="00C1723A"/>
    <w:rsid w:val="00C172EA"/>
    <w:rsid w:val="00C200CC"/>
    <w:rsid w:val="00C21D73"/>
    <w:rsid w:val="00C2450F"/>
    <w:rsid w:val="00C24D85"/>
    <w:rsid w:val="00C25FE8"/>
    <w:rsid w:val="00C2646C"/>
    <w:rsid w:val="00C27DD4"/>
    <w:rsid w:val="00C31B45"/>
    <w:rsid w:val="00C34B75"/>
    <w:rsid w:val="00C34D9E"/>
    <w:rsid w:val="00C36279"/>
    <w:rsid w:val="00C40148"/>
    <w:rsid w:val="00C421EE"/>
    <w:rsid w:val="00C43CFB"/>
    <w:rsid w:val="00C4411C"/>
    <w:rsid w:val="00C44151"/>
    <w:rsid w:val="00C44D5A"/>
    <w:rsid w:val="00C458BB"/>
    <w:rsid w:val="00C45B71"/>
    <w:rsid w:val="00C45CEB"/>
    <w:rsid w:val="00C45D56"/>
    <w:rsid w:val="00C47E35"/>
    <w:rsid w:val="00C508B8"/>
    <w:rsid w:val="00C510E6"/>
    <w:rsid w:val="00C51BC7"/>
    <w:rsid w:val="00C52658"/>
    <w:rsid w:val="00C56109"/>
    <w:rsid w:val="00C5650B"/>
    <w:rsid w:val="00C565F6"/>
    <w:rsid w:val="00C5700E"/>
    <w:rsid w:val="00C6000A"/>
    <w:rsid w:val="00C60678"/>
    <w:rsid w:val="00C6104E"/>
    <w:rsid w:val="00C61B70"/>
    <w:rsid w:val="00C628BF"/>
    <w:rsid w:val="00C639EA"/>
    <w:rsid w:val="00C63DEF"/>
    <w:rsid w:val="00C6467A"/>
    <w:rsid w:val="00C66255"/>
    <w:rsid w:val="00C669FE"/>
    <w:rsid w:val="00C66EC9"/>
    <w:rsid w:val="00C71A96"/>
    <w:rsid w:val="00C71AA4"/>
    <w:rsid w:val="00C739D1"/>
    <w:rsid w:val="00C74579"/>
    <w:rsid w:val="00C749B4"/>
    <w:rsid w:val="00C750B6"/>
    <w:rsid w:val="00C7561F"/>
    <w:rsid w:val="00C75C93"/>
    <w:rsid w:val="00C75F2A"/>
    <w:rsid w:val="00C80B15"/>
    <w:rsid w:val="00C825CD"/>
    <w:rsid w:val="00C90E41"/>
    <w:rsid w:val="00C91911"/>
    <w:rsid w:val="00C94AFA"/>
    <w:rsid w:val="00C94BEB"/>
    <w:rsid w:val="00C9663F"/>
    <w:rsid w:val="00CA09E6"/>
    <w:rsid w:val="00CA287C"/>
    <w:rsid w:val="00CA3151"/>
    <w:rsid w:val="00CA3CC7"/>
    <w:rsid w:val="00CA3DD1"/>
    <w:rsid w:val="00CA452B"/>
    <w:rsid w:val="00CA456B"/>
    <w:rsid w:val="00CA4837"/>
    <w:rsid w:val="00CA7249"/>
    <w:rsid w:val="00CA751C"/>
    <w:rsid w:val="00CB4529"/>
    <w:rsid w:val="00CC093A"/>
    <w:rsid w:val="00CC1779"/>
    <w:rsid w:val="00CC2F99"/>
    <w:rsid w:val="00CC3BCD"/>
    <w:rsid w:val="00CC50C5"/>
    <w:rsid w:val="00CC5106"/>
    <w:rsid w:val="00CC5380"/>
    <w:rsid w:val="00CC53D9"/>
    <w:rsid w:val="00CC6F0E"/>
    <w:rsid w:val="00CD0675"/>
    <w:rsid w:val="00CD5C58"/>
    <w:rsid w:val="00CD6517"/>
    <w:rsid w:val="00CE12C1"/>
    <w:rsid w:val="00CE15D0"/>
    <w:rsid w:val="00CE235E"/>
    <w:rsid w:val="00CE4CAA"/>
    <w:rsid w:val="00CE5A1E"/>
    <w:rsid w:val="00CE7241"/>
    <w:rsid w:val="00CE7336"/>
    <w:rsid w:val="00CF103A"/>
    <w:rsid w:val="00CF2AB5"/>
    <w:rsid w:val="00CF3956"/>
    <w:rsid w:val="00CF42F2"/>
    <w:rsid w:val="00CF4E9D"/>
    <w:rsid w:val="00CF6493"/>
    <w:rsid w:val="00CF6AD7"/>
    <w:rsid w:val="00CF71E0"/>
    <w:rsid w:val="00CF741B"/>
    <w:rsid w:val="00D0076E"/>
    <w:rsid w:val="00D00BA7"/>
    <w:rsid w:val="00D015B2"/>
    <w:rsid w:val="00D042D7"/>
    <w:rsid w:val="00D0485C"/>
    <w:rsid w:val="00D04CC5"/>
    <w:rsid w:val="00D05E0D"/>
    <w:rsid w:val="00D104E3"/>
    <w:rsid w:val="00D11B34"/>
    <w:rsid w:val="00D12CDA"/>
    <w:rsid w:val="00D15B7E"/>
    <w:rsid w:val="00D17556"/>
    <w:rsid w:val="00D21889"/>
    <w:rsid w:val="00D24372"/>
    <w:rsid w:val="00D266F4"/>
    <w:rsid w:val="00D270D5"/>
    <w:rsid w:val="00D3009B"/>
    <w:rsid w:val="00D32C92"/>
    <w:rsid w:val="00D33BC3"/>
    <w:rsid w:val="00D37D73"/>
    <w:rsid w:val="00D41CEA"/>
    <w:rsid w:val="00D42DDF"/>
    <w:rsid w:val="00D4620C"/>
    <w:rsid w:val="00D471B0"/>
    <w:rsid w:val="00D50C47"/>
    <w:rsid w:val="00D51850"/>
    <w:rsid w:val="00D521AE"/>
    <w:rsid w:val="00D52551"/>
    <w:rsid w:val="00D52BFC"/>
    <w:rsid w:val="00D52CFF"/>
    <w:rsid w:val="00D54CF9"/>
    <w:rsid w:val="00D55217"/>
    <w:rsid w:val="00D55396"/>
    <w:rsid w:val="00D5548E"/>
    <w:rsid w:val="00D61B50"/>
    <w:rsid w:val="00D61D09"/>
    <w:rsid w:val="00D6266C"/>
    <w:rsid w:val="00D62982"/>
    <w:rsid w:val="00D64782"/>
    <w:rsid w:val="00D655F9"/>
    <w:rsid w:val="00D707D0"/>
    <w:rsid w:val="00D716BE"/>
    <w:rsid w:val="00D734B4"/>
    <w:rsid w:val="00D73666"/>
    <w:rsid w:val="00D73945"/>
    <w:rsid w:val="00D764BF"/>
    <w:rsid w:val="00D76520"/>
    <w:rsid w:val="00D77F2E"/>
    <w:rsid w:val="00D80859"/>
    <w:rsid w:val="00D8101C"/>
    <w:rsid w:val="00D810BA"/>
    <w:rsid w:val="00D82D72"/>
    <w:rsid w:val="00D8618F"/>
    <w:rsid w:val="00D86D8D"/>
    <w:rsid w:val="00D92C07"/>
    <w:rsid w:val="00D930DF"/>
    <w:rsid w:val="00D933B1"/>
    <w:rsid w:val="00D945CA"/>
    <w:rsid w:val="00D957CD"/>
    <w:rsid w:val="00D957CE"/>
    <w:rsid w:val="00DA2051"/>
    <w:rsid w:val="00DA2B46"/>
    <w:rsid w:val="00DA45B5"/>
    <w:rsid w:val="00DA5C7F"/>
    <w:rsid w:val="00DA6353"/>
    <w:rsid w:val="00DB1EB7"/>
    <w:rsid w:val="00DB22D1"/>
    <w:rsid w:val="00DB3730"/>
    <w:rsid w:val="00DB4C00"/>
    <w:rsid w:val="00DB63D9"/>
    <w:rsid w:val="00DB7340"/>
    <w:rsid w:val="00DC070C"/>
    <w:rsid w:val="00DC25CA"/>
    <w:rsid w:val="00DC454F"/>
    <w:rsid w:val="00DC60F6"/>
    <w:rsid w:val="00DC7514"/>
    <w:rsid w:val="00DC7CC9"/>
    <w:rsid w:val="00DD2EA9"/>
    <w:rsid w:val="00DD33DE"/>
    <w:rsid w:val="00DD4E76"/>
    <w:rsid w:val="00DD58EF"/>
    <w:rsid w:val="00DE05B7"/>
    <w:rsid w:val="00DE17D1"/>
    <w:rsid w:val="00DE1B25"/>
    <w:rsid w:val="00DE36DD"/>
    <w:rsid w:val="00DE3DEC"/>
    <w:rsid w:val="00DE4AA8"/>
    <w:rsid w:val="00DE5B9C"/>
    <w:rsid w:val="00DE68F3"/>
    <w:rsid w:val="00DE75A4"/>
    <w:rsid w:val="00DF1D05"/>
    <w:rsid w:val="00DF265C"/>
    <w:rsid w:val="00DF3C3C"/>
    <w:rsid w:val="00DF4744"/>
    <w:rsid w:val="00DF483C"/>
    <w:rsid w:val="00E01017"/>
    <w:rsid w:val="00E02B31"/>
    <w:rsid w:val="00E03855"/>
    <w:rsid w:val="00E03D95"/>
    <w:rsid w:val="00E05920"/>
    <w:rsid w:val="00E0659B"/>
    <w:rsid w:val="00E06955"/>
    <w:rsid w:val="00E07739"/>
    <w:rsid w:val="00E07B39"/>
    <w:rsid w:val="00E12686"/>
    <w:rsid w:val="00E12CA6"/>
    <w:rsid w:val="00E14DE5"/>
    <w:rsid w:val="00E169E2"/>
    <w:rsid w:val="00E21948"/>
    <w:rsid w:val="00E22EEE"/>
    <w:rsid w:val="00E24359"/>
    <w:rsid w:val="00E251D5"/>
    <w:rsid w:val="00E3098B"/>
    <w:rsid w:val="00E315A3"/>
    <w:rsid w:val="00E330CA"/>
    <w:rsid w:val="00E33540"/>
    <w:rsid w:val="00E34AD5"/>
    <w:rsid w:val="00E35177"/>
    <w:rsid w:val="00E368B9"/>
    <w:rsid w:val="00E42121"/>
    <w:rsid w:val="00E4385A"/>
    <w:rsid w:val="00E46975"/>
    <w:rsid w:val="00E47E38"/>
    <w:rsid w:val="00E502E4"/>
    <w:rsid w:val="00E5046A"/>
    <w:rsid w:val="00E50AE8"/>
    <w:rsid w:val="00E50F89"/>
    <w:rsid w:val="00E51B49"/>
    <w:rsid w:val="00E5207E"/>
    <w:rsid w:val="00E52B1A"/>
    <w:rsid w:val="00E537F6"/>
    <w:rsid w:val="00E53A25"/>
    <w:rsid w:val="00E57CF1"/>
    <w:rsid w:val="00E57F65"/>
    <w:rsid w:val="00E609D8"/>
    <w:rsid w:val="00E619D8"/>
    <w:rsid w:val="00E62458"/>
    <w:rsid w:val="00E640A6"/>
    <w:rsid w:val="00E71D80"/>
    <w:rsid w:val="00E73627"/>
    <w:rsid w:val="00E74CAE"/>
    <w:rsid w:val="00E74D48"/>
    <w:rsid w:val="00E7723D"/>
    <w:rsid w:val="00E81910"/>
    <w:rsid w:val="00E81F20"/>
    <w:rsid w:val="00E82047"/>
    <w:rsid w:val="00E85162"/>
    <w:rsid w:val="00E85F70"/>
    <w:rsid w:val="00E86E2B"/>
    <w:rsid w:val="00E9027B"/>
    <w:rsid w:val="00E903CC"/>
    <w:rsid w:val="00E90FCE"/>
    <w:rsid w:val="00E9260A"/>
    <w:rsid w:val="00E93C1B"/>
    <w:rsid w:val="00E96628"/>
    <w:rsid w:val="00E97DE3"/>
    <w:rsid w:val="00EA061B"/>
    <w:rsid w:val="00EA0B59"/>
    <w:rsid w:val="00EA5882"/>
    <w:rsid w:val="00EA6AE4"/>
    <w:rsid w:val="00EA6B56"/>
    <w:rsid w:val="00EB0353"/>
    <w:rsid w:val="00EB1F6D"/>
    <w:rsid w:val="00EB320A"/>
    <w:rsid w:val="00EC26F0"/>
    <w:rsid w:val="00EC4771"/>
    <w:rsid w:val="00EC4A07"/>
    <w:rsid w:val="00EC6045"/>
    <w:rsid w:val="00EC67CB"/>
    <w:rsid w:val="00EC6FDE"/>
    <w:rsid w:val="00EC6FF3"/>
    <w:rsid w:val="00EC772A"/>
    <w:rsid w:val="00EC784B"/>
    <w:rsid w:val="00ED250E"/>
    <w:rsid w:val="00ED45E7"/>
    <w:rsid w:val="00ED5549"/>
    <w:rsid w:val="00EE05F8"/>
    <w:rsid w:val="00EE0E3C"/>
    <w:rsid w:val="00EE172C"/>
    <w:rsid w:val="00EE4C5B"/>
    <w:rsid w:val="00EE5EC3"/>
    <w:rsid w:val="00EE7199"/>
    <w:rsid w:val="00EF19BB"/>
    <w:rsid w:val="00EF499D"/>
    <w:rsid w:val="00EF4C27"/>
    <w:rsid w:val="00EF56C5"/>
    <w:rsid w:val="00EF77EF"/>
    <w:rsid w:val="00F01238"/>
    <w:rsid w:val="00F02982"/>
    <w:rsid w:val="00F02C8A"/>
    <w:rsid w:val="00F039A0"/>
    <w:rsid w:val="00F04C45"/>
    <w:rsid w:val="00F06E1C"/>
    <w:rsid w:val="00F070E6"/>
    <w:rsid w:val="00F073BA"/>
    <w:rsid w:val="00F0752B"/>
    <w:rsid w:val="00F104D2"/>
    <w:rsid w:val="00F1197A"/>
    <w:rsid w:val="00F1200D"/>
    <w:rsid w:val="00F15620"/>
    <w:rsid w:val="00F16171"/>
    <w:rsid w:val="00F16763"/>
    <w:rsid w:val="00F20D2C"/>
    <w:rsid w:val="00F2177D"/>
    <w:rsid w:val="00F225A3"/>
    <w:rsid w:val="00F2268D"/>
    <w:rsid w:val="00F23E69"/>
    <w:rsid w:val="00F27FC3"/>
    <w:rsid w:val="00F30390"/>
    <w:rsid w:val="00F31E4A"/>
    <w:rsid w:val="00F34268"/>
    <w:rsid w:val="00F34877"/>
    <w:rsid w:val="00F34996"/>
    <w:rsid w:val="00F365E8"/>
    <w:rsid w:val="00F37B1E"/>
    <w:rsid w:val="00F406C9"/>
    <w:rsid w:val="00F406CD"/>
    <w:rsid w:val="00F42D58"/>
    <w:rsid w:val="00F43A15"/>
    <w:rsid w:val="00F444DF"/>
    <w:rsid w:val="00F46102"/>
    <w:rsid w:val="00F46282"/>
    <w:rsid w:val="00F52647"/>
    <w:rsid w:val="00F52996"/>
    <w:rsid w:val="00F5323F"/>
    <w:rsid w:val="00F53583"/>
    <w:rsid w:val="00F543A0"/>
    <w:rsid w:val="00F550FA"/>
    <w:rsid w:val="00F55F22"/>
    <w:rsid w:val="00F57BDD"/>
    <w:rsid w:val="00F60E30"/>
    <w:rsid w:val="00F61341"/>
    <w:rsid w:val="00F618C7"/>
    <w:rsid w:val="00F61D83"/>
    <w:rsid w:val="00F62307"/>
    <w:rsid w:val="00F6522D"/>
    <w:rsid w:val="00F65C37"/>
    <w:rsid w:val="00F670BE"/>
    <w:rsid w:val="00F7136A"/>
    <w:rsid w:val="00F71A72"/>
    <w:rsid w:val="00F72D7D"/>
    <w:rsid w:val="00F7429D"/>
    <w:rsid w:val="00F745AE"/>
    <w:rsid w:val="00F75D80"/>
    <w:rsid w:val="00F7607A"/>
    <w:rsid w:val="00F80A9C"/>
    <w:rsid w:val="00F8117C"/>
    <w:rsid w:val="00F814EC"/>
    <w:rsid w:val="00F81AFE"/>
    <w:rsid w:val="00F8231F"/>
    <w:rsid w:val="00F82CB9"/>
    <w:rsid w:val="00F86414"/>
    <w:rsid w:val="00F869D1"/>
    <w:rsid w:val="00F900EF"/>
    <w:rsid w:val="00F906A0"/>
    <w:rsid w:val="00F90E3B"/>
    <w:rsid w:val="00F925EE"/>
    <w:rsid w:val="00F940CE"/>
    <w:rsid w:val="00F95BFE"/>
    <w:rsid w:val="00F95C69"/>
    <w:rsid w:val="00F9613B"/>
    <w:rsid w:val="00F96325"/>
    <w:rsid w:val="00F96E00"/>
    <w:rsid w:val="00F97CD4"/>
    <w:rsid w:val="00F97F5E"/>
    <w:rsid w:val="00FA497A"/>
    <w:rsid w:val="00FA4EC2"/>
    <w:rsid w:val="00FA6506"/>
    <w:rsid w:val="00FA6B76"/>
    <w:rsid w:val="00FB01B9"/>
    <w:rsid w:val="00FB048A"/>
    <w:rsid w:val="00FB07AF"/>
    <w:rsid w:val="00FB2001"/>
    <w:rsid w:val="00FB3AD1"/>
    <w:rsid w:val="00FB3AEB"/>
    <w:rsid w:val="00FB3CD5"/>
    <w:rsid w:val="00FB51B0"/>
    <w:rsid w:val="00FB51B2"/>
    <w:rsid w:val="00FC1AB9"/>
    <w:rsid w:val="00FC1BC4"/>
    <w:rsid w:val="00FC4886"/>
    <w:rsid w:val="00FC4D66"/>
    <w:rsid w:val="00FC4F28"/>
    <w:rsid w:val="00FC61CB"/>
    <w:rsid w:val="00FC632C"/>
    <w:rsid w:val="00FC6A53"/>
    <w:rsid w:val="00FC7C65"/>
    <w:rsid w:val="00FD1C8D"/>
    <w:rsid w:val="00FD4742"/>
    <w:rsid w:val="00FD545B"/>
    <w:rsid w:val="00FD7155"/>
    <w:rsid w:val="00FE0E05"/>
    <w:rsid w:val="00FE0FAC"/>
    <w:rsid w:val="00FE2FF6"/>
    <w:rsid w:val="00FE3583"/>
    <w:rsid w:val="00FE3FA7"/>
    <w:rsid w:val="00FE4861"/>
    <w:rsid w:val="00FE72AF"/>
    <w:rsid w:val="00FF0F4F"/>
    <w:rsid w:val="00FF20DD"/>
    <w:rsid w:val="00FF34B7"/>
    <w:rsid w:val="00FF3823"/>
    <w:rsid w:val="00FF6DD9"/>
    <w:rsid w:val="00FF7144"/>
    <w:rsid w:val="00FF7487"/>
    <w:rsid w:val="00FF78C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D5A96"/>
  <w15:docId w15:val="{EB4EAEE1-BD67-4DA4-AB5B-9E5625BE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0968"/>
    <w:pPr>
      <w:spacing w:after="200" w:line="360" w:lineRule="auto"/>
    </w:pPr>
    <w:rPr>
      <w:rFonts w:ascii="Times New Roman" w:eastAsiaTheme="minorHAnsi" w:hAnsi="Times New Roman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 w:themeColor="tex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A0968"/>
    <w:pPr>
      <w:spacing w:before="180" w:after="180"/>
    </w:pPr>
    <w:rPr>
      <w:rFonts w:eastAsia="宋体"/>
      <w:sz w:val="21"/>
    </w:rPr>
  </w:style>
  <w:style w:type="paragraph" w:styleId="a5">
    <w:name w:val="caption"/>
    <w:basedOn w:val="a"/>
    <w:qFormat/>
    <w:rsid w:val="00CA0968"/>
    <w:pPr>
      <w:spacing w:after="120"/>
    </w:p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rFonts w:ascii="Times New Roman" w:eastAsia="宋体" w:hAnsi="Times New Roman"/>
      <w:color w:val="4F81BD" w:themeColor="accent1"/>
      <w:sz w:val="21"/>
      <w:szCs w:val="24"/>
      <w:lang w:eastAsia="en-US"/>
    </w:rPr>
  </w:style>
  <w:style w:type="character" w:customStyle="1" w:styleId="a4">
    <w:name w:val="正文文本 字符"/>
    <w:basedOn w:val="a1"/>
    <w:link w:val="a0"/>
    <w:qFormat/>
    <w:rsid w:val="00CA0968"/>
    <w:rPr>
      <w:rFonts w:ascii="Times New Roman" w:eastAsia="宋体" w:hAnsi="Times New Roman"/>
      <w:sz w:val="21"/>
      <w:szCs w:val="24"/>
      <w:lang w:eastAsia="en-US"/>
    </w:rPr>
  </w:style>
  <w:style w:type="character" w:styleId="ac">
    <w:name w:val="footnote reference"/>
    <w:basedOn w:val="a4"/>
    <w:qFormat/>
    <w:rsid w:val="00CA0968"/>
    <w:rPr>
      <w:rFonts w:ascii="Times New Roman" w:eastAsia="宋体" w:hAnsi="Times New Roman"/>
      <w:sz w:val="21"/>
      <w:szCs w:val="24"/>
      <w:vertAlign w:val="superscript"/>
      <w:lang w:eastAsia="en-US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CA0968"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eastAsia="宋体" w:hAnsi="Consolas"/>
      <w:sz w:val="22"/>
      <w:szCs w:val="24"/>
      <w:lang w:eastAsia="en-US"/>
    </w:rPr>
  </w:style>
  <w:style w:type="paragraph" w:customStyle="1" w:styleId="TOC1">
    <w:name w:val="TOC 标题1"/>
    <w:basedOn w:val="1"/>
    <w:next w:val="a0"/>
    <w:uiPriority w:val="39"/>
    <w:unhideWhenUsed/>
    <w:qFormat/>
    <w:rsid w:val="00CA0968"/>
    <w:pPr>
      <w:spacing w:before="240" w:line="259" w:lineRule="auto"/>
      <w:outlineLvl w:val="9"/>
    </w:pPr>
    <w:rPr>
      <w:b w:val="0"/>
      <w:bCs w:val="0"/>
      <w:color w:val="auto"/>
    </w:rPr>
  </w:style>
  <w:style w:type="paragraph" w:styleId="ad">
    <w:name w:val="header"/>
    <w:basedOn w:val="a"/>
    <w:link w:val="ae"/>
    <w:rsid w:val="00CA09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CA0968"/>
    <w:rPr>
      <w:rFonts w:eastAsiaTheme="minorHAnsi"/>
      <w:sz w:val="18"/>
      <w:szCs w:val="18"/>
      <w:lang w:eastAsia="en-US"/>
    </w:rPr>
  </w:style>
  <w:style w:type="paragraph" w:styleId="af">
    <w:name w:val="footer"/>
    <w:basedOn w:val="a"/>
    <w:link w:val="af0"/>
    <w:rsid w:val="00CA096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CA0968"/>
    <w:rPr>
      <w:rFonts w:eastAsiaTheme="minorHAnsi"/>
      <w:sz w:val="18"/>
      <w:szCs w:val="18"/>
      <w:lang w:eastAsia="en-US"/>
    </w:rPr>
  </w:style>
  <w:style w:type="character" w:styleId="af1">
    <w:name w:val="Book Title"/>
    <w:basedOn w:val="a1"/>
    <w:uiPriority w:val="33"/>
    <w:qFormat/>
    <w:rsid w:val="00CA0968"/>
    <w:rPr>
      <w:b/>
      <w:bCs/>
      <w:i w:val="0"/>
      <w:iCs/>
      <w:spacing w:val="5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宋体" w:hAnsi="Consolas"/>
      <w:b/>
      <w:color w:val="007020"/>
      <w:sz w:val="22"/>
      <w:szCs w:val="24"/>
      <w:lang w:eastAsia="en-US"/>
    </w:rPr>
  </w:style>
  <w:style w:type="character" w:customStyle="1" w:styleId="DataTypeTok">
    <w:name w:val="DataTypeTok"/>
    <w:basedOn w:val="VerbatimChar"/>
    <w:rPr>
      <w:rFonts w:ascii="Consolas" w:eastAsia="宋体" w:hAnsi="Consolas"/>
      <w:color w:val="902000"/>
      <w:sz w:val="22"/>
      <w:szCs w:val="24"/>
      <w:lang w:eastAsia="en-US"/>
    </w:rPr>
  </w:style>
  <w:style w:type="character" w:customStyle="1" w:styleId="DecValTok">
    <w:name w:val="DecVal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BaseNTok">
    <w:name w:val="BaseN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FloatTok">
    <w:name w:val="Float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ConstantTok">
    <w:name w:val="ConstantTok"/>
    <w:basedOn w:val="VerbatimChar"/>
    <w:rPr>
      <w:rFonts w:ascii="Consolas" w:eastAsia="宋体" w:hAnsi="Consolas"/>
      <w:color w:val="880000"/>
      <w:sz w:val="22"/>
      <w:szCs w:val="24"/>
      <w:lang w:eastAsia="en-US"/>
    </w:rPr>
  </w:style>
  <w:style w:type="character" w:customStyle="1" w:styleId="CharTok">
    <w:name w:val="Char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pecialCharTok">
    <w:name w:val="SpecialChar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tringTok">
    <w:name w:val="String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Pr>
      <w:rFonts w:ascii="Consolas" w:eastAsia="宋体" w:hAnsi="Consolas"/>
      <w:color w:val="BB6688"/>
      <w:sz w:val="22"/>
      <w:szCs w:val="24"/>
      <w:lang w:eastAsia="en-US"/>
    </w:rPr>
  </w:style>
  <w:style w:type="character" w:customStyle="1" w:styleId="ImportTok">
    <w:name w:val="Import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CommentTok">
    <w:name w:val="CommentTok"/>
    <w:basedOn w:val="VerbatimChar"/>
    <w:rPr>
      <w:rFonts w:ascii="Consolas" w:eastAsia="宋体" w:hAnsi="Consolas"/>
      <w:i/>
      <w:color w:val="60A0B0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Pr>
      <w:rFonts w:ascii="Consolas" w:eastAsia="宋体" w:hAnsi="Consolas"/>
      <w:i/>
      <w:color w:val="BA2121"/>
      <w:sz w:val="22"/>
      <w:szCs w:val="24"/>
      <w:lang w:eastAsia="en-US"/>
    </w:rPr>
  </w:style>
  <w:style w:type="character" w:customStyle="1" w:styleId="AnnotationTok">
    <w:name w:val="Annotation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CommentVarTok">
    <w:name w:val="CommentVar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OtherTok">
    <w:name w:val="OtherTok"/>
    <w:basedOn w:val="VerbatimChar"/>
    <w:rPr>
      <w:rFonts w:ascii="Consolas" w:eastAsia="宋体" w:hAnsi="Consolas"/>
      <w:color w:val="007020"/>
      <w:sz w:val="22"/>
      <w:szCs w:val="24"/>
      <w:lang w:eastAsia="en-US"/>
    </w:rPr>
  </w:style>
  <w:style w:type="character" w:customStyle="1" w:styleId="FunctionTok">
    <w:name w:val="FunctionTok"/>
    <w:basedOn w:val="VerbatimChar"/>
    <w:rPr>
      <w:rFonts w:ascii="Consolas" w:eastAsia="宋体" w:hAnsi="Consolas"/>
      <w:color w:val="06287E"/>
      <w:sz w:val="22"/>
      <w:szCs w:val="24"/>
      <w:lang w:eastAsia="en-US"/>
    </w:rPr>
  </w:style>
  <w:style w:type="character" w:customStyle="1" w:styleId="VariableTok">
    <w:name w:val="VariableTok"/>
    <w:basedOn w:val="VerbatimChar"/>
    <w:rPr>
      <w:rFonts w:ascii="Consolas" w:eastAsia="宋体" w:hAnsi="Consolas"/>
      <w:color w:val="19177C"/>
      <w:sz w:val="22"/>
      <w:szCs w:val="24"/>
      <w:lang w:eastAsia="en-US"/>
    </w:rPr>
  </w:style>
  <w:style w:type="character" w:customStyle="1" w:styleId="ControlFlowTok">
    <w:name w:val="ControlFlowTok"/>
    <w:basedOn w:val="VerbatimChar"/>
    <w:rPr>
      <w:rFonts w:ascii="Consolas" w:eastAsia="宋体" w:hAnsi="Consolas"/>
      <w:b/>
      <w:color w:val="007020"/>
      <w:sz w:val="22"/>
      <w:szCs w:val="24"/>
      <w:lang w:eastAsia="en-US"/>
    </w:rPr>
  </w:style>
  <w:style w:type="character" w:customStyle="1" w:styleId="OperatorTok">
    <w:name w:val="OperatorTok"/>
    <w:basedOn w:val="VerbatimChar"/>
    <w:rPr>
      <w:rFonts w:ascii="Consolas" w:eastAsia="宋体" w:hAnsi="Consolas"/>
      <w:color w:val="666666"/>
      <w:sz w:val="22"/>
      <w:szCs w:val="24"/>
      <w:lang w:eastAsia="en-US"/>
    </w:rPr>
  </w:style>
  <w:style w:type="character" w:customStyle="1" w:styleId="BuiltInTok">
    <w:name w:val="BuiltIn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ExtensionTok">
    <w:name w:val="Extension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PreprocessorTok">
    <w:name w:val="PreprocessorTok"/>
    <w:basedOn w:val="VerbatimChar"/>
    <w:rPr>
      <w:rFonts w:ascii="Consolas" w:eastAsia="宋体" w:hAnsi="Consolas"/>
      <w:color w:val="BC7A00"/>
      <w:sz w:val="22"/>
      <w:szCs w:val="24"/>
      <w:lang w:eastAsia="en-US"/>
    </w:rPr>
  </w:style>
  <w:style w:type="character" w:customStyle="1" w:styleId="AttributeTok">
    <w:name w:val="AttributeTok"/>
    <w:basedOn w:val="VerbatimChar"/>
    <w:rPr>
      <w:rFonts w:ascii="Consolas" w:eastAsia="宋体" w:hAnsi="Consolas"/>
      <w:color w:val="7D9029"/>
      <w:sz w:val="22"/>
      <w:szCs w:val="24"/>
      <w:lang w:eastAsia="en-US"/>
    </w:rPr>
  </w:style>
  <w:style w:type="character" w:customStyle="1" w:styleId="RegionMarkerTok">
    <w:name w:val="RegionMarker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InformationTok">
    <w:name w:val="Information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WarningTok">
    <w:name w:val="Warning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AlertTok">
    <w:name w:val="AlertTok"/>
    <w:basedOn w:val="VerbatimChar"/>
    <w:rPr>
      <w:rFonts w:ascii="Consolas" w:eastAsia="宋体" w:hAnsi="Consolas"/>
      <w:b/>
      <w:color w:val="FF0000"/>
      <w:sz w:val="22"/>
      <w:szCs w:val="24"/>
      <w:lang w:eastAsia="en-US"/>
    </w:rPr>
  </w:style>
  <w:style w:type="character" w:customStyle="1" w:styleId="ErrorTok">
    <w:name w:val="ErrorTok"/>
    <w:basedOn w:val="VerbatimChar"/>
    <w:rPr>
      <w:rFonts w:ascii="Consolas" w:eastAsia="宋体" w:hAnsi="Consolas"/>
      <w:b/>
      <w:color w:val="FF0000"/>
      <w:sz w:val="22"/>
      <w:szCs w:val="24"/>
      <w:lang w:eastAsia="en-US"/>
    </w:rPr>
  </w:style>
  <w:style w:type="character" w:customStyle="1" w:styleId="NormalTok">
    <w:name w:val="NormalTok"/>
    <w:basedOn w:val="VerbatimChar"/>
    <w:rPr>
      <w:rFonts w:ascii="Consolas" w:eastAsia="宋体" w:hAnsi="Consolas"/>
      <w:sz w:val="22"/>
      <w:szCs w:val="24"/>
      <w:lang w:eastAsia="en-US"/>
    </w:rPr>
  </w:style>
  <w:style w:type="table" w:styleId="af2">
    <w:name w:val="Table Grid"/>
    <w:basedOn w:val="a2"/>
    <w:rsid w:val="00914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1"/>
    <w:uiPriority w:val="99"/>
    <w:unhideWhenUsed/>
    <w:rsid w:val="00D41CEA"/>
    <w:rPr>
      <w:color w:val="666666"/>
    </w:rPr>
  </w:style>
  <w:style w:type="paragraph" w:styleId="af4">
    <w:name w:val="List Paragraph"/>
    <w:basedOn w:val="a"/>
    <w:uiPriority w:val="34"/>
    <w:unhideWhenUsed/>
    <w:qFormat/>
    <w:rsid w:val="00E07739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0612DD"/>
    <w:pPr>
      <w:widowControl w:val="0"/>
      <w:tabs>
        <w:tab w:val="center" w:pos="4160"/>
        <w:tab w:val="right" w:pos="8300"/>
      </w:tabs>
      <w:spacing w:after="0"/>
      <w:jc w:val="both"/>
      <w:textAlignment w:val="center"/>
    </w:pPr>
    <w:rPr>
      <w:rFonts w:ascii="宋体" w:eastAsia="宋体" w:hAnsi="宋体"/>
      <w:kern w:val="2"/>
      <w:lang w:eastAsia="zh-CN"/>
    </w:rPr>
  </w:style>
  <w:style w:type="character" w:customStyle="1" w:styleId="MTDisplayEquation0">
    <w:name w:val="MTDisplayEquation 字符"/>
    <w:basedOn w:val="a1"/>
    <w:link w:val="MTDisplayEquation"/>
    <w:rsid w:val="000612DD"/>
    <w:rPr>
      <w:rFonts w:ascii="宋体" w:eastAsia="宋体" w:hAnsi="宋体"/>
      <w:kern w:val="2"/>
      <w:sz w:val="24"/>
      <w:szCs w:val="24"/>
    </w:rPr>
  </w:style>
  <w:style w:type="paragraph" w:styleId="af5">
    <w:name w:val="Normal (Web)"/>
    <w:basedOn w:val="a"/>
    <w:rsid w:val="00376A14"/>
    <w:rPr>
      <w:rFonts w:cs="Times New Roman"/>
    </w:rPr>
  </w:style>
  <w:style w:type="character" w:styleId="af6">
    <w:name w:val="Unresolved Mention"/>
    <w:basedOn w:val="a1"/>
    <w:uiPriority w:val="99"/>
    <w:semiHidden/>
    <w:unhideWhenUsed/>
    <w:rsid w:val="00F6522D"/>
    <w:rPr>
      <w:color w:val="605E5C"/>
      <w:shd w:val="clear" w:color="auto" w:fill="E1DFDD"/>
    </w:rPr>
  </w:style>
  <w:style w:type="character" w:styleId="af7">
    <w:name w:val="Strong"/>
    <w:basedOn w:val="a1"/>
    <w:uiPriority w:val="22"/>
    <w:qFormat/>
    <w:rsid w:val="009A2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09CDC-23B1-4E44-A758-084FD36EE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4800</Words>
  <Characters>11090</Characters>
  <Application>Microsoft Office Word</Application>
  <DocSecurity>0</DocSecurity>
  <Lines>316</Lines>
  <Paragraphs>260</Paragraphs>
  <ScaleCrop>false</ScaleCrop>
  <Company/>
  <LinksUpToDate>false</LinksUpToDate>
  <CharactersWithSpaces>15630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婷妤 杨</dc:creator>
  <cp:keywords/>
  <cp:lastModifiedBy>涵 张</cp:lastModifiedBy>
  <cp:revision>2</cp:revision>
  <dcterms:created xsi:type="dcterms:W3CDTF">2026-05-19T08:03:00Z</dcterms:created>
  <dcterms:modified xsi:type="dcterms:W3CDTF">2026-05-19T08:03:00Z</dcterms:modified>
</cp:coreProperties>
</file>