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5712" w14:textId="77777777" w:rsidR="008467B0" w:rsidRDefault="00BF3579">
      <w:pPr>
        <w:spacing w:after="240" w:line="240" w:lineRule="auto"/>
        <w:jc w:val="center"/>
      </w:pP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稳定双镜法布里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-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珀罗腔中拉盖尔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-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高斯模式分束的统一设计框架及误差机理</w:t>
      </w:r>
    </w:p>
    <w:p w14:paraId="340F3265" w14:textId="77777777" w:rsidR="008467B0" w:rsidRDefault="00BF3579">
      <w:pPr>
        <w:spacing w:after="0" w:line="240" w:lineRule="auto"/>
        <w:jc w:val="center"/>
      </w:pPr>
      <w:r>
        <w:rPr>
          <w:rFonts w:ascii="Times New Roman" w:hAnsi="Times New Roman" w:eastAsia="??" w:cs="Times New Roman" w:hint="eastAsia"/>
          <w:sz w:val="28"/>
          <w:szCs w:val="28"/>
        </w:rPr>
        <w:t>作者姓名</w:t>
      </w:r>
      <w:r>
        <w:rPr>
          <w:rFonts w:ascii="Times New Roman" w:hAnsi="Times New Roman" w:eastAsia="??" w:cs="Times New Roman" w:hint="eastAsia"/>
          <w:sz w:val="28"/>
          <w:szCs w:val="28"/>
        </w:rPr>
        <w:t>1</w:t>
      </w:r>
      <w:r>
        <w:rPr>
          <w:rFonts w:ascii="Times New Roman" w:hAnsi="Times New Roman" w:eastAsia="??" w:cs="Times New Roman" w:hint="eastAsia"/>
          <w:sz w:val="28"/>
          <w:szCs w:val="28"/>
        </w:rPr>
        <w:t>，作者姓名</w:t>
      </w:r>
      <w:r>
        <w:rPr>
          <w:rFonts w:ascii="Times New Roman" w:hAnsi="Times New Roman" w:eastAsia="??" w:cs="Times New Roman" w:hint="eastAsia"/>
          <w:sz w:val="28"/>
          <w:szCs w:val="28"/>
        </w:rPr>
        <w:t>2†</w:t>
      </w:r>
      <w:r>
        <w:rPr>
          <w:rFonts w:ascii="Times New Roman" w:hAnsi="Times New Roman" w:eastAsia="??" w:cs="Times New Roman" w:hint="eastAsia"/>
          <w:sz w:val="28"/>
          <w:szCs w:val="28"/>
        </w:rPr>
        <w:t>，通讯作者</w:t>
      </w:r>
      <w:r>
        <w:rPr>
          <w:rFonts w:ascii="Times New Roman" w:hAnsi="Times New Roman" w:eastAsia="??" w:cs="Times New Roman" w:hint="eastAsia"/>
          <w:sz w:val="28"/>
          <w:szCs w:val="28"/>
        </w:rPr>
        <w:t>‡</w:t>
      </w:r>
      <w:r>
        <w:rPr>
          <w:rFonts w:ascii="Times New Roman" w:hAnsi="Times New Roman" w:eastAsia="??" w:cs="Times New Roman" w:hint="eastAsia"/>
          <w:sz w:val="28"/>
          <w:szCs w:val="28"/>
        </w:rPr>
        <w:t>（待补充）</w:t>
      </w:r>
    </w:p>
    <w:p w14:paraId="460D12E6" w14:textId="77777777" w:rsidR="008467B0" w:rsidRDefault="00BF3579">
      <w:pPr>
        <w:spacing w:after="0" w:line="240" w:lineRule="auto"/>
        <w:jc w:val="center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1. </w:t>
      </w:r>
      <w:r>
        <w:rPr>
          <w:rFonts w:ascii="Times New Roman" w:hAnsi="Times New Roman" w:eastAsia="??" w:cs="Times New Roman" w:hint="eastAsia"/>
          <w:sz w:val="24"/>
          <w:szCs w:val="24"/>
        </w:rPr>
        <w:t>单位信息待补充，城市，邮编</w:t>
      </w:r>
    </w:p>
    <w:p w14:paraId="7E9AE2F5" w14:textId="77777777" w:rsidR="008467B0" w:rsidRDefault="00BF3579">
      <w:pPr>
        <w:spacing w:after="0" w:line="240" w:lineRule="auto"/>
        <w:jc w:val="center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2. </w:t>
      </w:r>
      <w:r>
        <w:rPr>
          <w:rFonts w:ascii="Times New Roman" w:hAnsi="Times New Roman" w:eastAsia="??" w:cs="Times New Roman" w:hint="eastAsia"/>
          <w:sz w:val="24"/>
          <w:szCs w:val="24"/>
        </w:rPr>
        <w:t>单位信息待补充，城市，邮编</w:t>
      </w:r>
    </w:p>
    <w:p w14:paraId="1701D64E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摘要：法布里</w:t>
      </w:r>
      <w:r>
        <w:rPr>
          <w:rFonts w:ascii="Times New Roman" w:hAnsi="Times New Roman" w:eastAsia="??" w:cs="Times New Roman" w:hint="eastAsia"/>
          <w:sz w:val="24"/>
          <w:szCs w:val="24"/>
        </w:rPr>
        <w:t>-</w:t>
      </w:r>
      <w:r>
        <w:rPr>
          <w:rFonts w:ascii="Times New Roman" w:hAnsi="Times New Roman" w:eastAsia="??" w:cs="Times New Roman" w:hint="eastAsia"/>
          <w:sz w:val="24"/>
          <w:szCs w:val="24"/>
        </w:rPr>
        <w:t>珀罗（</w:t>
      </w:r>
      <w:r>
        <w:rPr>
          <w:rFonts w:ascii="Times New Roman" w:hAnsi="Times New Roman" w:eastAsia="??" w:cs="Times New Roman" w:hint="eastAsia"/>
          <w:sz w:val="24"/>
          <w:szCs w:val="24"/>
        </w:rPr>
        <w:t>Fabry-Perot, FP</w:t>
      </w:r>
      <w:r>
        <w:rPr>
          <w:rFonts w:ascii="Times New Roman" w:hAnsi="Times New Roman" w:eastAsia="??" w:cs="Times New Roman" w:hint="eastAsia"/>
          <w:sz w:val="24"/>
          <w:szCs w:val="24"/>
        </w:rPr>
        <w:t>）腔可利用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相位依赖共振实现拉盖尔</w:t>
      </w:r>
      <w:r>
        <w:rPr>
          <w:rFonts w:ascii="Times New Roman" w:hAnsi="Times New Roman" w:eastAsia="??" w:cs="Times New Roman" w:hint="eastAsia"/>
          <w:sz w:val="24"/>
          <w:szCs w:val="24"/>
        </w:rPr>
        <w:t>-</w:t>
      </w:r>
      <w:r>
        <w:rPr>
          <w:rFonts w:ascii="Times New Roman" w:hAnsi="Times New Roman" w:eastAsia="??" w:cs="Times New Roman" w:hint="eastAsia"/>
          <w:sz w:val="24"/>
          <w:szCs w:val="24"/>
        </w:rPr>
        <w:t>高斯（</w:t>
      </w:r>
      <w:r>
        <w:rPr>
          <w:rFonts w:ascii="Times New Roman" w:hAnsi="Times New Roman" w:eastAsia="??" w:cs="Times New Roman" w:hint="eastAsia"/>
          <w:sz w:val="24"/>
          <w:szCs w:val="24"/>
        </w:rPr>
        <w:t>Laguerre-Gaussian, LG</w:t>
      </w:r>
      <w:r>
        <w:rPr>
          <w:rFonts w:ascii="Times New Roman" w:hAnsi="Times New Roman" w:eastAsia="??" w:cs="Times New Roman" w:hint="eastAsia"/>
          <w:sz w:val="24"/>
          <w:szCs w:val="24"/>
        </w:rPr>
        <w:t>）模式的保态频谱分束。稳定各向同性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腔的横模共振位置由横模阶数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N=2p+|l|+1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决定，单腔频谱响应对应按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的模式组选通。本文以有效归一化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步长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为统一参数，给出稳定双镜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腔中的折叠谱设计方法，并推导平凹腔、对称双凹腔和一般稳定两镜腔的几何回代关系。对于连续模式组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={1,2,…,M}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，最优排布满足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=m/M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且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gcd(m,M)=1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，最小圆周间距为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，其层级结构可由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Farey </w:t>
      </w:r>
      <w:r>
        <w:rPr>
          <w:rFonts w:ascii="Times New Roman" w:hAnsi="Times New Roman" w:eastAsia="??" w:cs="Times New Roman" w:hint="eastAsia"/>
          <w:sz w:val="24"/>
          <w:szCs w:val="24"/>
        </w:rPr>
        <w:t>邻分数骨架组织。在此基础上，周期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透射函数给出有限维串扰求和、条件概率、分选成功率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、串扰指标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以及容量边界。以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F=32.21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k=2/9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为例，理论计算得到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=94.1166%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，平均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=12.0404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OAM </w:t>
      </w:r>
      <w:r>
        <w:rPr>
          <w:rFonts w:ascii="Times New Roman" w:hAnsi="Times New Roman" w:eastAsia="??" w:cs="Times New Roman" w:hint="eastAsia"/>
          <w:sz w:val="24"/>
          <w:szCs w:val="24"/>
        </w:rPr>
        <w:t>连续序列对应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、单符号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的特例；单个各向同性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腔不区分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，实验频谱中的径向寄生峰可由相同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模式简并解释。</w:t>
      </w:r>
    </w:p>
    <w:p w14:paraId="3C872735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关键词：法布里</w:t>
      </w:r>
      <w:r>
        <w:rPr>
          <w:rFonts w:ascii="Times New Roman" w:hAnsi="Times New Roman" w:eastAsia="??" w:cs="Times New Roman" w:hint="eastAsia"/>
          <w:sz w:val="24"/>
          <w:szCs w:val="24"/>
        </w:rPr>
        <w:t>-</w:t>
      </w:r>
      <w:r>
        <w:rPr>
          <w:rFonts w:ascii="Times New Roman" w:hAnsi="Times New Roman" w:eastAsia="??" w:cs="Times New Roman" w:hint="eastAsia"/>
          <w:sz w:val="24"/>
          <w:szCs w:val="24"/>
        </w:rPr>
        <w:t>珀罗腔；拉盖尔</w:t>
      </w:r>
      <w:r>
        <w:rPr>
          <w:rFonts w:ascii="Times New Roman" w:hAnsi="Times New Roman" w:eastAsia="??" w:cs="Times New Roman" w:hint="eastAsia"/>
          <w:sz w:val="24"/>
          <w:szCs w:val="24"/>
        </w:rPr>
        <w:t>-</w:t>
      </w:r>
      <w:r>
        <w:rPr>
          <w:rFonts w:ascii="Times New Roman" w:hAnsi="Times New Roman" w:eastAsia="??" w:cs="Times New Roman" w:hint="eastAsia"/>
          <w:sz w:val="24"/>
          <w:szCs w:val="24"/>
        </w:rPr>
        <w:t>高斯模式；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相位；模式分束；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Airy </w:t>
      </w:r>
      <w:r>
        <w:rPr>
          <w:rFonts w:ascii="Times New Roman" w:hAnsi="Times New Roman" w:eastAsia="??" w:cs="Times New Roman" w:hint="eastAsia"/>
          <w:sz w:val="24"/>
          <w:szCs w:val="24"/>
        </w:rPr>
        <w:t>透射；径向寄生</w:t>
      </w:r>
    </w:p>
    <w:p w14:paraId="27F7F0ED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中图分类号：待补充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   </w:t>
      </w:r>
      <w:r>
        <w:rPr>
          <w:rFonts w:ascii="Times New Roman" w:hAnsi="Times New Roman" w:eastAsia="??" w:cs="Times New Roman" w:hint="eastAsia"/>
          <w:sz w:val="24"/>
          <w:szCs w:val="24"/>
        </w:rPr>
        <w:t>文献标识码：</w:t>
      </w:r>
      <w:r>
        <w:rPr>
          <w:rFonts w:ascii="Times New Roman" w:hAnsi="Times New Roman" w:eastAsia="??" w:cs="Times New Roman" w:hint="eastAsia"/>
          <w:sz w:val="24"/>
          <w:szCs w:val="24"/>
        </w:rPr>
        <w:t>A</w:t>
      </w:r>
    </w:p>
    <w:p w14:paraId="6DE27150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†E-mail: </w:t>
      </w:r>
      <w:r>
        <w:rPr>
          <w:rFonts w:ascii="Times New Roman" w:hAnsi="Times New Roman" w:eastAsia="??" w:cs="Times New Roman" w:hint="eastAsia"/>
          <w:sz w:val="24"/>
          <w:szCs w:val="24"/>
        </w:rPr>
        <w:t>待补充</w:t>
      </w:r>
    </w:p>
    <w:p w14:paraId="2321F34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‡E-mail: </w:t>
      </w:r>
      <w:r>
        <w:rPr>
          <w:rFonts w:ascii="Times New Roman" w:hAnsi="Times New Roman" w:eastAsia="??" w:cs="Times New Roman" w:hint="eastAsia"/>
          <w:sz w:val="24"/>
          <w:szCs w:val="24"/>
        </w:rPr>
        <w:t>待补充</w:t>
      </w:r>
      <w:r>
        <w:br w:type="page"/>
      </w:r>
    </w:p>
    <w:p w14:paraId="687E2C13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目录</w:t>
      </w:r>
    </w:p>
    <w:p w14:paraId="4B6DD3D5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I. </w:t>
      </w:r>
      <w:r>
        <w:rPr>
          <w:rFonts w:ascii="Times New Roman" w:hAnsi="Times New Roman" w:eastAsia="??" w:cs="Times New Roman" w:hint="eastAsia"/>
          <w:sz w:val="24"/>
          <w:szCs w:val="24"/>
        </w:rPr>
        <w:t>引言</w:t>
      </w:r>
    </w:p>
    <w:p w14:paraId="4F6460AE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II. </w:t>
      </w:r>
      <w:r>
        <w:rPr>
          <w:rFonts w:ascii="Times New Roman" w:hAnsi="Times New Roman" w:eastAsia="??" w:cs="Times New Roman" w:hint="eastAsia"/>
          <w:sz w:val="24"/>
          <w:szCs w:val="24"/>
        </w:rPr>
        <w:t>稳定双镜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相位折叠谱框架</w:t>
      </w:r>
    </w:p>
    <w:p w14:paraId="58DDC5EE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III. </w:t>
      </w:r>
      <w:r>
        <w:rPr>
          <w:rFonts w:ascii="Times New Roman" w:hAnsi="Times New Roman" w:eastAsia="??" w:cs="Times New Roman" w:hint="eastAsia"/>
          <w:sz w:val="24"/>
          <w:szCs w:val="24"/>
        </w:rPr>
        <w:t>连续模式组的最小间距景观与最优排布</w:t>
      </w:r>
    </w:p>
    <w:p w14:paraId="4EFF29AE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IV. Airy </w:t>
      </w:r>
      <w:r>
        <w:rPr>
          <w:rFonts w:ascii="Times New Roman" w:hAnsi="Times New Roman" w:eastAsia="??" w:cs="Times New Roman" w:hint="eastAsia"/>
          <w:sz w:val="24"/>
          <w:szCs w:val="24"/>
        </w:rPr>
        <w:t>透射下的有限维串扰、性能指标与容量边界</w:t>
      </w:r>
    </w:p>
    <w:p w14:paraId="2DEED978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V. OAM </w:t>
      </w:r>
      <w:r>
        <w:rPr>
          <w:rFonts w:ascii="Times New Roman" w:hAnsi="Times New Roman" w:eastAsia="??" w:cs="Times New Roman" w:hint="eastAsia"/>
          <w:sz w:val="24"/>
          <w:szCs w:val="24"/>
        </w:rPr>
        <w:t>序列、径向寄生与卫星峰来源</w:t>
      </w:r>
    </w:p>
    <w:p w14:paraId="3F19A197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VI. </w:t>
      </w:r>
      <w:r>
        <w:rPr>
          <w:rFonts w:ascii="Times New Roman" w:hAnsi="Times New Roman" w:eastAsia="??" w:cs="Times New Roman" w:hint="eastAsia"/>
          <w:sz w:val="24"/>
          <w:szCs w:val="24"/>
        </w:rPr>
        <w:t>结论</w:t>
      </w:r>
    </w:p>
    <w:p w14:paraId="55590541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>参考文献</w:t>
      </w:r>
    </w:p>
    <w:p w14:paraId="532B81ED" w14:textId="77777777" w:rsidR="008467B0" w:rsidRDefault="00BF3579">
      <w:r>
        <w:br w:type="page"/>
      </w:r>
    </w:p>
    <w:p w14:paraId="47244FD7" w14:textId="77777777" w:rsidR="008467B0" w:rsidRDefault="00BF3579">
      <w:pPr>
        <w:spacing w:after="240" w:line="240" w:lineRule="auto"/>
        <w:jc w:val="center"/>
      </w:pP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lastRenderedPageBreak/>
        <w:t>稳定双镜法布里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-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珀罗腔中拉盖尔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-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高斯模式分束的统一设计框架及误差机理</w:t>
      </w:r>
    </w:p>
    <w:p w14:paraId="5717D6C7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I.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引言</w:t>
      </w:r>
    </w:p>
    <w:p w14:paraId="48976ACE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携带轨道角动量（</w:t>
      </w:r>
      <w:r>
        <w:rPr>
          <w:rFonts w:ascii="Times New Roman" w:hAnsi="Times New Roman" w:eastAsia="??" w:cs="Times New Roman" w:hint="eastAsia"/>
          <w:sz w:val="24"/>
          <w:szCs w:val="24"/>
        </w:rPr>
        <w:t>orbital angular momentum, OAM</w:t>
      </w:r>
      <w:r>
        <w:rPr>
          <w:rFonts w:ascii="Times New Roman" w:hAnsi="Times New Roman" w:eastAsia="??" w:cs="Times New Roman" w:hint="eastAsia"/>
          <w:sz w:val="24"/>
          <w:szCs w:val="24"/>
        </w:rPr>
        <w:t>）的拉盖尔</w:t>
      </w:r>
      <w:r>
        <w:rPr>
          <w:rFonts w:ascii="Times New Roman" w:hAnsi="Times New Roman" w:eastAsia="??" w:cs="Times New Roman" w:hint="eastAsia"/>
          <w:sz w:val="24"/>
          <w:szCs w:val="24"/>
        </w:rPr>
        <w:t>-</w:t>
      </w:r>
      <w:r>
        <w:rPr>
          <w:rFonts w:ascii="Times New Roman" w:hAnsi="Times New Roman" w:eastAsia="??" w:cs="Times New Roman" w:hint="eastAsia"/>
          <w:sz w:val="24"/>
          <w:szCs w:val="24"/>
        </w:rPr>
        <w:t>高斯模式为高维光通信、空间模式复用与量子信息处理提供了重要自由度</w:t>
      </w:r>
      <w:r>
        <w:rPr>
          <w:rFonts w:ascii="Times New Roman" w:hAnsi="Times New Roman" w:eastAsia="??" w:cs="Times New Roman" w:hint="eastAsia"/>
          <w:sz w:val="24"/>
          <w:szCs w:val="24"/>
        </w:rPr>
        <w:t>[1-8]</w:t>
      </w:r>
      <w:r>
        <w:rPr>
          <w:rFonts w:ascii="Times New Roman" w:hAnsi="Times New Roman" w:eastAsia="??" w:cs="Times New Roman" w:hint="eastAsia"/>
          <w:sz w:val="24"/>
          <w:szCs w:val="24"/>
        </w:rPr>
        <w:t>。在这类应用中，输出端既要区分不同空间模式，也常常需要保留输入横向场的振幅与相位结构，以便继续进行干涉、路由或级联处理。现有模式分束技术包括坐标变换、多平面光转换、干涉级联和衍射光学设计等</w:t>
      </w:r>
      <w:r>
        <w:rPr>
          <w:rFonts w:ascii="Times New Roman" w:hAnsi="Times New Roman" w:eastAsia="??" w:cs="Times New Roman" w:hint="eastAsia"/>
          <w:sz w:val="24"/>
          <w:szCs w:val="24"/>
        </w:rPr>
        <w:t>[9-13]</w:t>
      </w:r>
      <w:r>
        <w:rPr>
          <w:rFonts w:ascii="Times New Roman" w:hAnsi="Times New Roman" w:eastAsia="??" w:cs="Times New Roman" w:hint="eastAsia"/>
          <w:sz w:val="24"/>
          <w:szCs w:val="24"/>
        </w:rPr>
        <w:t>。这些方法在模式判别和容量扩展方面已经得到广泛应用；对部分量子逻辑、相干路由和模块化空间模式处理任务而言，保态分束仍是一个独立需求</w:t>
      </w:r>
      <w:r>
        <w:rPr>
          <w:rFonts w:ascii="Times New Roman" w:hAnsi="Times New Roman" w:eastAsia="??" w:cs="Times New Roman" w:hint="eastAsia"/>
          <w:sz w:val="24"/>
          <w:szCs w:val="24"/>
        </w:rPr>
        <w:t>[14]</w:t>
      </w:r>
      <w:r>
        <w:rPr>
          <w:rFonts w:ascii="Times New Roman" w:hAnsi="Times New Roman" w:eastAsia="??" w:cs="Times New Roman" w:hint="eastAsia"/>
          <w:sz w:val="24"/>
          <w:szCs w:val="24"/>
        </w:rPr>
        <w:t>。</w:t>
      </w:r>
    </w:p>
    <w:p w14:paraId="73E94ADB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FP </w:t>
      </w:r>
      <w:r>
        <w:rPr>
          <w:rFonts w:ascii="Times New Roman" w:hAnsi="Times New Roman" w:eastAsia="??" w:cs="Times New Roman" w:hint="eastAsia"/>
          <w:sz w:val="24"/>
          <w:szCs w:val="24"/>
        </w:rPr>
        <w:t>腔为保态模式选择提供了频谱路径。稳定腔中横模共振频率由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相位决定</w:t>
      </w:r>
      <w:r>
        <w:rPr>
          <w:rFonts w:ascii="Times New Roman" w:hAnsi="Times New Roman" w:eastAsia="??" w:cs="Times New Roman" w:hint="eastAsia"/>
          <w:sz w:val="24"/>
          <w:szCs w:val="24"/>
        </w:rPr>
        <w:t>[15-17]</w:t>
      </w:r>
      <w:r>
        <w:rPr>
          <w:rFonts w:ascii="Times New Roman" w:hAnsi="Times New Roman" w:eastAsia="??" w:cs="Times New Roman" w:hint="eastAsia"/>
          <w:sz w:val="24"/>
          <w:szCs w:val="24"/>
        </w:rPr>
        <w:t>，不同横向模式可在频域中被选择性透射，理想情况下横向场分布不被改变。早期研究已经讨论了高精细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OAM </w:t>
      </w:r>
      <w:r>
        <w:rPr>
          <w:rFonts w:ascii="Times New Roman" w:hAnsi="Times New Roman" w:eastAsia="??" w:cs="Times New Roman" w:hint="eastAsia"/>
          <w:sz w:val="24"/>
          <w:szCs w:val="24"/>
        </w:rPr>
        <w:t>模式简并和镜面效应引起的模式混合</w:t>
      </w:r>
      <w:r>
        <w:rPr>
          <w:rFonts w:ascii="Times New Roman" w:hAnsi="Times New Roman" w:eastAsia="??" w:cs="Times New Roman" w:hint="eastAsia"/>
          <w:sz w:val="24"/>
          <w:szCs w:val="24"/>
        </w:rPr>
        <w:t>[18]</w:t>
      </w:r>
      <w:r>
        <w:rPr>
          <w:rFonts w:ascii="Times New Roman" w:hAnsi="Times New Roman" w:eastAsia="??" w:cs="Times New Roman" w:hint="eastAsia"/>
          <w:sz w:val="24"/>
          <w:szCs w:val="24"/>
        </w:rPr>
        <w:t>。随后，基于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MEMS </w:t>
      </w:r>
      <w:r>
        <w:rPr>
          <w:rFonts w:ascii="Times New Roman" w:hAnsi="Times New Roman" w:eastAsia="??" w:cs="Times New Roman" w:hint="eastAsia"/>
          <w:sz w:val="24"/>
          <w:szCs w:val="24"/>
        </w:rPr>
        <w:t>可调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滤波器、可调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谐振器和薄膜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滤波器的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OAM </w:t>
      </w:r>
      <w:r>
        <w:rPr>
          <w:rFonts w:ascii="Times New Roman" w:hAnsi="Times New Roman" w:eastAsia="??" w:cs="Times New Roman" w:hint="eastAsia"/>
          <w:sz w:val="24"/>
          <w:szCs w:val="24"/>
        </w:rPr>
        <w:t>或模式组选择得到实验展示</w:t>
      </w:r>
      <w:r>
        <w:rPr>
          <w:rFonts w:ascii="Times New Roman" w:hAnsi="Times New Roman" w:eastAsia="??" w:cs="Times New Roman" w:hint="eastAsia"/>
          <w:sz w:val="24"/>
          <w:szCs w:val="24"/>
        </w:rPr>
        <w:t>[19-23]</w:t>
      </w:r>
      <w:r>
        <w:rPr>
          <w:rFonts w:ascii="Times New Roman" w:hAnsi="Times New Roman" w:eastAsia="??" w:cs="Times New Roman" w:hint="eastAsia"/>
          <w:sz w:val="24"/>
          <w:szCs w:val="24"/>
        </w:rPr>
        <w:t>，表明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腔可以作为空间模式频谱器件。现有研究多围绕具体器件或少数模式任务展开；面向给定目标模式集，尤其是高维连续模式组时，仍需把腔型选择、容量边界和几何鲁棒性放在同一套设计变量下处理。</w:t>
      </w:r>
    </w:p>
    <w:p w14:paraId="57E9B49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在稳定各向同性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腔中，横模共振频率的基本变量是横模阶数</w:t>
      </w:r>
    </w:p>
    <w:p w14:paraId="3BC1B03D" w14:textId="534BC4B7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N=2p+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l</m:t>
              </m:r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+1 .</m:t>
          </m:r>
        </m:oMath>
      </m:oMathPara>
    </w:p>
    <w:p w14:paraId="1092F485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同一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下的不同模式（例如不同的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组合，以及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）在理想频谱位置上简并。单个各向同性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腔因而按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对模式成组响应。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LG </w:t>
      </w:r>
      <w:r>
        <w:rPr>
          <w:rFonts w:ascii="Times New Roman" w:hAnsi="Times New Roman" w:eastAsia="??" w:cs="Times New Roman" w:hint="eastAsia"/>
          <w:sz w:val="24"/>
          <w:szCs w:val="24"/>
        </w:rPr>
        <w:t>模式分束或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OAM </w:t>
      </w:r>
      <w:r>
        <w:rPr>
          <w:rFonts w:ascii="Times New Roman" w:hAnsi="Times New Roman" w:eastAsia="??" w:cs="Times New Roman" w:hint="eastAsia"/>
          <w:sz w:val="24"/>
          <w:szCs w:val="24"/>
        </w:rPr>
        <w:t>分选在单腔中表现为按横模阶数的模式组选通；决定分束排布的是单自由光谱范围（</w:t>
      </w:r>
      <w:r>
        <w:rPr>
          <w:rFonts w:ascii="Times New Roman" w:hAnsi="Times New Roman" w:eastAsia="??" w:cs="Times New Roman" w:hint="eastAsia"/>
          <w:sz w:val="24"/>
          <w:szCs w:val="24"/>
        </w:rPr>
        <w:t>free spectral range, FSR</w:t>
      </w:r>
      <w:r>
        <w:rPr>
          <w:rFonts w:ascii="Times New Roman" w:hAnsi="Times New Roman" w:eastAsia="??" w:cs="Times New Roman" w:hint="eastAsia"/>
          <w:sz w:val="24"/>
          <w:szCs w:val="24"/>
        </w:rPr>
        <w:t>）内不同横模共振位置的相对间隔，而不是某一类腔型的名称。将不同稳定双镜腔映射到有效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步长后，平凹腔、对称双凹腔和一般稳定两镜腔可用同一折叠谱描述；腔型差异则体现在有效步长到几何参数的回代关系，以及由此产生的工程鲁棒性排序。</w:t>
      </w:r>
    </w:p>
    <w:p w14:paraId="70BB5C6B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本文以有效归一化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步长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描述折叠谱排布，并把选定的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回代到平凹腔、对称双凹腔和一般稳定两镜腔的几何参数。连续模式组的排布优化由最小圆周间距给出，解析最优分支可写成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k=m/M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，对应的层级结构用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Farey </w:t>
      </w:r>
      <w:r>
        <w:rPr>
          <w:rFonts w:ascii="Times New Roman" w:hAnsi="Times New Roman" w:eastAsia="??" w:cs="Times New Roman" w:hint="eastAsia"/>
          <w:sz w:val="24"/>
          <w:szCs w:val="24"/>
        </w:rPr>
        <w:t>邻分数骨架说明。有限线宽效应进一步通过周期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透射函数转化为有限维串扰求和和条件概率，从而得到分选成功率、串扰抑制指标、容量边界和大维度极限。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OAM </w:t>
      </w:r>
      <w:r>
        <w:rPr>
          <w:rFonts w:ascii="Times New Roman" w:hAnsi="Times New Roman" w:eastAsia="??" w:cs="Times New Roman" w:hint="eastAsia"/>
          <w:sz w:val="24"/>
          <w:szCs w:val="24"/>
        </w:rPr>
        <w:t>序列作为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、单符号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的特例处理，径向寄生峰则由轴对称失配和相同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简并给出解释。</w:t>
      </w:r>
    </w:p>
    <w:p w14:paraId="5ED5675C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II.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稳定双镜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 xml:space="preserve"> FP 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腔的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 xml:space="preserve"> Gouy 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相位折叠谱框架</w:t>
      </w:r>
    </w:p>
    <w:p w14:paraId="3BEB233E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A.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横模阶数与有效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步长</w:t>
      </w:r>
    </w:p>
    <w:p w14:paraId="46B3CDCD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稳定双镜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腔中的横模共振频率可写为</w:t>
      </w:r>
    </w:p>
    <w:p w14:paraId="7AEB07DD" w14:textId="5C2C19A8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ν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q,N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=FSR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 xml:space="preserve">q+N 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eff</m:t>
                  </m:r>
                </m:sub>
              </m:sSub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259993AF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q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为纵模指标，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FSR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为自由光谱范围，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N=2p+|l|+1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LG </w:t>
      </w:r>
      <w:r>
        <w:rPr>
          <w:rFonts w:ascii="Times New Roman" w:hAnsi="Times New Roman" w:eastAsia="??" w:cs="Times New Roman" w:hint="eastAsia"/>
          <w:sz w:val="24"/>
          <w:szCs w:val="24"/>
        </w:rPr>
        <w:t>模式的横模阶数（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为径向指标，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为角向指标），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为相对于一个自由光谱范围归一化后的有效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步长。对一般稳定两镜腔，</w:t>
      </w:r>
    </w:p>
    <w:p w14:paraId="0FC377B8" w14:textId="540D9930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eff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π</m:t>
                  </m:r>
                </m:e>
              </m:d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="Cambria Math" w:cs="Cambria Math"/>
                                      <w:sz w:val="24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="Cambria Math" w:cs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e>
                      </m:rad>
                    </m:e>
                  </m:d>
                </m:e>
              </m:func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58D48AD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lastRenderedPageBreak/>
        <w:t>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=1−L/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=1−L/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为腔长，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为两镜曲率半径。在稳定条件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0&lt;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&lt;1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下，横模阶数每增加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</w:t>
      </w:r>
      <w:r>
        <w:rPr>
          <w:rFonts w:ascii="Times New Roman" w:hAnsi="Times New Roman" w:eastAsia="??" w:cs="Times New Roman" w:hint="eastAsia"/>
          <w:sz w:val="24"/>
          <w:szCs w:val="24"/>
        </w:rPr>
        <w:t>，共振位置在归一化频率上平移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。</w:t>
      </w:r>
    </w:p>
    <w:p w14:paraId="6CDF0809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将不同纵模折叠到单个自由光谱范围内后，阶数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的共振位置由</w:t>
      </w:r>
    </w:p>
    <w:p w14:paraId="4344285F" w14:textId="275DC3AA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 xml:space="preserve">N 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eff</m:t>
                  </m:r>
                </m:sub>
              </m:sSub>
            </m:e>
          </m:d>
        </m:oMath>
      </m:oMathPara>
    </w:p>
    <w:p w14:paraId="28CD9BF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给出，其中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d>
          <m:dPr>
            <m:begChr m:val="{"/>
            <m:sepChr m:val="·"/>
            <m:endChr m:val="}"/>
          </m:dPr>
          <m:e/>
          <m:e/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表示取模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 </w:t>
      </w:r>
      <w:r>
        <w:rPr>
          <w:rFonts w:ascii="Times New Roman" w:hAnsi="Times New Roman" w:eastAsia="??" w:cs="Times New Roman" w:hint="eastAsia"/>
          <w:sz w:val="24"/>
          <w:szCs w:val="24"/>
        </w:rPr>
        <w:t>的小数部分。模式分束的几何无关部分由这些折叠位置之间的圆周距离决定。对于给定目标模式组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S={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,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,…,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}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，最小圆周间距为</w:t>
      </w:r>
    </w:p>
    <w:p w14:paraId="72E4B881" w14:textId="49D99DA3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s_(min)(k_(eff);S)=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min⁡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_(i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≠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 j)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‖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k_(eff)(N_i-N_j)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‖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4B871709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d>
          <m:dPr>
            <m:begChr m:val="‖"/>
            <m:sepChr m:val=""/>
            <m:endChr m:val="‖"/>
          </m:d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表示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x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到最近整数的距离。</w:t>
      </w:r>
    </w:p>
    <w:p w14:paraId="188B9CF2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上述关系把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模式分束分为两层。折叠谱设计层只依赖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与目标模式组之间的算术关系，与具体腔型无关；几何实现层则把选定的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回代为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num>
          <m:den>
            <m:sSub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i</m:t>
                </m:r>
              </m:sub>
            </m:sSub>
          </m:den>
        </m:f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或等价几何参数。图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 </w:t>
      </w:r>
      <w:r>
        <w:rPr>
          <w:rFonts w:ascii="Times New Roman" w:hAnsi="Times New Roman" w:eastAsia="??" w:cs="Times New Roman" w:hint="eastAsia"/>
          <w:sz w:val="24"/>
          <w:szCs w:val="24"/>
        </w:rPr>
        <w:t>概括了这种双层描述。</w:t>
      </w:r>
    </w:p>
    <w:p w14:paraId="3F10C03D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B.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平凹腔与对称双凹腔的几何回代</w:t>
      </w:r>
    </w:p>
    <w:p w14:paraId="00ABB33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平凹腔对应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=∞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=R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，此时</w:t>
      </w:r>
    </w:p>
    <w:p w14:paraId="5606EA4B" w14:textId="2D268A2D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eff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π</m:t>
                  </m:r>
                </m:e>
              </m:d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R</m:t>
                              </m:r>
                            </m:den>
                          </m:f>
                        </m:e>
                      </m:rad>
                    </m:e>
                  </m:d>
                </m:e>
              </m:func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62572A9E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回代得到</w:t>
      </w:r>
    </w:p>
    <w:p w14:paraId="450ADFDE" w14:textId="42D9260D" w:rsidR="008467B0" w:rsidRDefault="0066233F">
      <w:pPr>
        <w:spacing w:before="80" w:after="80" w:line="240" w:lineRule="auto"/>
        <w:jc w:val="center"/>
        <w:keepLines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uncPr>
            <m:fName>
              <m:sSup>
                <m:sSup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 xml:space="preserve">π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eff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sup>
              </m:sSup>
            </m:fName>
            <m:e/>
          </m:func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4D3B13C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对称双凹腔对应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=R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，有</w:t>
      </w:r>
    </w:p>
    <w:p w14:paraId="6E7281BF" w14:textId="70ADE225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eff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π</m:t>
                  </m:r>
                </m:e>
              </m:d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39E86F0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回代得到</w:t>
      </w:r>
    </w:p>
    <w:p w14:paraId="24F83616" w14:textId="247EE7AE" w:rsidR="008467B0" w:rsidRDefault="0066233F">
      <w:pPr>
        <w:spacing w:before="80" w:after="80" w:line="240" w:lineRule="auto"/>
        <w:jc w:val="center"/>
        <w:keepLines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=1±</m:t>
          </m:r>
          <m:func>
            <m:funcPr>
              <m:ctrlPr>
                <w:rPr>
                  <w:rFonts w:ascii="Cambria Math" w:eastAsia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4"/>
                  <w:szCs w:val="24"/>
                </w:rPr>
                <m:t>cos</m:t>
              </m: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 xml:space="preserve">π 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eff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613FBBF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其中负号分支对应近平面稳定支，正号分支对应近同心稳定支。对称双凹腔不能由平凹腔结果简单作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L→2L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得到。不同腔型可以实现相同的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，因而在折叠谱层具有相同的模式组排布；对应的几何工作点、调节灵敏度和实验鲁棒性则不相同。对于更一般的非对称两镜腔，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同样由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2</m:t>
                </m:r>
              </m:sub>
            </m:sSub>
          </m:e>
        </m:ra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决定，同一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d>
          <m:dPr>
            <m:sepChr m:val=""/>
          </m:d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/</m:t>
            </m:r>
            <m:sSub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eastAsia="Cambria Math" w:cs="Cambria Math"/>
                <w:sz w:val="24"/>
                <w:szCs w:val="24"/>
              </w:rPr>
              <m:t>,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/</m:t>
            </m:r>
            <m:sSub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空间中对应一族几何实现。下文以平凹腔和对称双凹腔作为两类代表构型展开讨论。</w:t>
      </w:r>
    </w:p>
    <w:p w14:paraId="651AC1A1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C.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小几何比极限</w:t>
      </w:r>
    </w:p>
    <w:p w14:paraId="4E832198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在小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den>
        </m:f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极限下，平凹腔满足</w:t>
      </w:r>
    </w:p>
    <w:p w14:paraId="17AC9179" w14:textId="26C350F6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pc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≈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R</m:t>
                      </m:r>
                    </m:den>
                  </m:f>
                </m:e>
              </m:rad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π</m:t>
              </m:r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52558CD9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而对称双凹腔满足</w:t>
      </w:r>
    </w:p>
    <w:p w14:paraId="37093C05" w14:textId="224A094E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cc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≈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2L</m:t>
                      </m:r>
                    </m:num>
                    <m:den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R</m:t>
                      </m:r>
                    </m:den>
                  </m:f>
                </m:e>
              </m:rad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π</m:t>
              </m:r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785067D3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因此</w:t>
      </w:r>
    </w:p>
    <w:p w14:paraId="3FAC0BF4" w14:textId="61425A94" w:rsidR="008467B0" w:rsidRDefault="0066233F">
      <w:pPr>
        <w:spacing w:before="80" w:after="80" w:line="240" w:lineRule="auto"/>
        <w:jc w:val="center"/>
        <w:keepLines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cc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pc</m:t>
                      </m:r>
                    </m:sub>
                  </m:sSub>
                </m:e>
              </m:d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arrow</m:t>
              </m:r>
            </m:den>
          </m:f>
          <m:rad>
            <m:radPr>
              <m:degHide m:val="1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radPr>
            <m:deg/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2</m:t>
              </m:r>
            </m:e>
          </m:rad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465364AF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这一增强因子来源于两类边界条件下腔本征模参数与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相位积累方式的共同改变，而非几何程长的简单翻倍。</w:t>
      </w:r>
    </w:p>
    <w:p w14:paraId="084A6DA3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III.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连续模式组的最小间距景观与最优排布</w:t>
      </w:r>
    </w:p>
    <w:p w14:paraId="2A5CB472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A.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最小圆周间距与解析最优</w:t>
      </w:r>
    </w:p>
    <w:p w14:paraId="4183560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考虑连续模式组</w:t>
      </w:r>
    </w:p>
    <w:p w14:paraId="6688117F" w14:textId="29579036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1,2,…,M</m:t>
              </m:r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0D1435DE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这对应于相邻横模阶数差为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 </w:t>
      </w:r>
      <w:r>
        <w:rPr>
          <w:rFonts w:ascii="Times New Roman" w:hAnsi="Times New Roman" w:eastAsia="??" w:cs="Times New Roman" w:hint="eastAsia"/>
          <w:sz w:val="24"/>
          <w:szCs w:val="24"/>
        </w:rPr>
        <w:t>的情形，也是实际器件设计中常见的目标集合。任意两个阶数之差覆盖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M−1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，折叠谱最小圆周间距可写为仅依赖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k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的单变量函数</w:t>
      </w:r>
    </w:p>
    <w:p w14:paraId="5B633B5F" w14:textId="419ECE7F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s_(min)(k)=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min⁡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_(1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≤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 q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≤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 M-1)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‖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qk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‖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08E98E6C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这个表达式给出了连续模式组分选的核心设计指标。若取</w:t>
      </w:r>
    </w:p>
    <w:p w14:paraId="03096FB9" w14:textId="5B435114" w:rsidR="008467B0" w:rsidRDefault="0066233F">
      <w:pPr>
        <w:spacing w:before="80" w:after="80" w:line="240" w:lineRule="auto"/>
        <w:jc w:val="center"/>
        <w:keepLines/>
      </w:pPr>
      <m:oMathPara>
        <m:oMath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  <m:func>
            <m:funcPr>
              <m:ctrlPr>
                <w:rPr>
                  <w:rFonts w:ascii="Cambria Math" w:eastAsia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4"/>
                  <w:szCs w:val="24"/>
                </w:rPr>
                <m:t>gcd</m:t>
              </m: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m,M</m:t>
                  </m:r>
                </m:e>
              </m:d>
            </m:e>
          </m:func>
          <m:r>
            <w:rPr>
              <w:rFonts w:ascii="Cambria Math" w:hAnsi="Cambria Math" w:eastAsia="Cambria Math" w:cs="Cambria Math"/>
              <w:sz w:val="24"/>
              <w:szCs w:val="24"/>
            </w:rPr>
            <m:t>=1,</m:t>
          </m:r>
        </m:oMath>
      </m:oMathPara>
    </w:p>
    <w:p w14:paraId="1C0FBF50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则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q=1,…,M−1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时，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qm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在模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意义下遍历所有非零剩余类，因此最近圆周距离的最小值为</w:t>
      </w:r>
    </w:p>
    <w:p w14:paraId="45E745D3" w14:textId="2EF03DE3" w:rsidR="008467B0" w:rsidRDefault="0066233F">
      <w:pPr>
        <w:spacing w:after="0" w:line="300" w:lineRule="auto"/>
        <w:jc w:val="both"/>
        <w:ind w:firstLine="480" w:firstLineChars="200"/>
        <w:keepLines/>
      </w:pPr>
      <m:oMath>
        <m:sSub>
          <m:sSubPr>
            <m:ctrlPr>
              <w:rPr>
                <w:rFonts w:ascii="Cambria Math" w:eastAsia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d>
              <m:dPr>
                <m:ctrlPr>
                  <w:rPr>
                    <w:rFonts w:ascii="Cambria Math" w:eastAsia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min</m:t>
                </m:r>
              </m:e>
            </m:d>
            <m:d>
              <m:dPr>
                <m:ctrlPr>
                  <w:rPr>
                    <w:rFonts w:ascii="Cambria Math" w:eastAsia="Cambria Math" w:hAnsi="Cambria Math"/>
                    <w:i/>
                    <w:sz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1"/>
                      </w:rPr>
                    </m:ctrlPr>
                  </m:sSupPr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*</m:t>
                    </m:r>
                  </m:sup>
                </m:sSup>
              </m:e>
            </m:d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sz w:val="21"/>
              </w:rPr>
            </m:ctrlPr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den>
        </m:f>
        <m:r>
          <w:rPr>
            <w:rFonts w:ascii="Cambria Math" w:hAnsi="Cambria Math" w:eastAsia="Cambria Math" w:cs="Cambria Math"/>
            <w:sz w:val="24"/>
            <w:szCs w:val="24"/>
          </w:rPr>
          <m:t>.</m:t>
        </m:r>
      </m:oMath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 w:rsidR="00BF3579">
        <w:rPr>
          <w:rFonts w:ascii="Times New Roman" w:hAnsi="Times New Roman" w:eastAsia="??" w:cs="Times New Roman" w:hint="eastAsia"/>
          <w:sz w:val="24"/>
          <w:szCs w:val="24"/>
        </w:rPr>
        <w:t>个点放置在圆周上时，最小间距不可能超过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den>
        </m:f>
      </m:oMath>
      <w:r w:rsidR="00BF3579">
        <w:rPr>
          <w:rFonts w:ascii="Times New Roman" w:hAnsi="Times New Roman" w:eastAsia="??" w:cs="Times New Roman" w:hint="eastAsia"/>
          <w:sz w:val="24"/>
          <w:szCs w:val="24"/>
        </w:rPr>
        <w:t>。因此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 w:rsidR="00BF3579">
        <w:rPr>
          <w:rFonts w:ascii="Times New Roman" w:hAnsi="Times New Roman" w:eastAsia="??" w:cs="Times New Roman" w:hint="eastAsia"/>
          <w:sz w:val="24"/>
          <w:szCs w:val="24"/>
        </w:rPr>
        <w:t>是连续模式组的最优值，互素分支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den>
        </m:f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 w:rsidR="00BF3579">
        <w:rPr>
          <w:rFonts w:ascii="Times New Roman" w:hAnsi="Times New Roman" w:eastAsia="??" w:cs="Times New Roman" w:hint="eastAsia"/>
          <w:sz w:val="24"/>
          <w:szCs w:val="24"/>
        </w:rPr>
        <w:t>给出达到该值的一组解析最优设计点。</w:t>
      </w:r>
    </w:p>
    <w:p w14:paraId="546E994D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B.Farey 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骨架与层级细化</w:t>
      </w:r>
    </w:p>
    <w:p w14:paraId="31FBFD29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函数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(k)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是一组锯齿函数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d>
          <m:dPr>
            <m:begChr m:val="‖"/>
            <m:sepChr m:val=""/>
            <m:endChr m:val="‖"/>
          </m:d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q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的下包络。随着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增大，新的差值约束被加入下包络，原有景观不会被抬高，而是在其下方继续形成更细的局部结构。这种层级细化可由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Farey </w:t>
      </w:r>
      <w:r>
        <w:rPr>
          <w:rFonts w:ascii="Times New Roman" w:hAnsi="Times New Roman" w:eastAsia="??" w:cs="Times New Roman" w:hint="eastAsia"/>
          <w:sz w:val="24"/>
          <w:szCs w:val="24"/>
        </w:rPr>
        <w:t>邻分数骨架进行组织。</w:t>
      </w:r>
    </w:p>
    <w:p w14:paraId="2B2BCDBC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在固定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下，景观可以按分母不超过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M−1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Farey </w:t>
      </w:r>
      <w:r>
        <w:rPr>
          <w:rFonts w:ascii="Times New Roman" w:hAnsi="Times New Roman" w:eastAsia="??" w:cs="Times New Roman" w:hint="eastAsia"/>
          <w:sz w:val="24"/>
          <w:szCs w:val="24"/>
        </w:rPr>
        <w:t>邻分数区间来划分。设相邻分数为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a/b&lt;c/d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，局部峰值的位置由二者的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mediant </w:t>
      </w:r>
      <m:oMath>
        <m:d>
          <m:dPr>
            <m:sepChr m:val=""/>
          </m:d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a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c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)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/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(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b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d</m:t>
            </m:r>
          </m:e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决定，峰高由相邻分母之和控制。由此得到的局部峰一般呈现偏斜帐篷形结构。图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2 </w:t>
      </w:r>
      <w:r>
        <w:rPr>
          <w:rFonts w:ascii="Times New Roman" w:hAnsi="Times New Roman" w:eastAsia="??" w:cs="Times New Roman" w:hint="eastAsia"/>
          <w:sz w:val="24"/>
          <w:szCs w:val="24"/>
        </w:rPr>
        <w:t>展示了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(k)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景观及其中的解析最优分支。这种结构不是严格意义上的自相似分形，而是在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Farey </w:t>
      </w:r>
      <w:r>
        <w:rPr>
          <w:rFonts w:ascii="Times New Roman" w:hAnsi="Times New Roman" w:eastAsia="??" w:cs="Times New Roman" w:hint="eastAsia"/>
          <w:sz w:val="24"/>
          <w:szCs w:val="24"/>
        </w:rPr>
        <w:t>骨架约束下的层级细化；更大的目标集不会推翻原有粗轮廓，而是在其下方继续加入算术约束。</w:t>
      </w:r>
    </w:p>
    <w:p w14:paraId="4A8075D8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上述讨论只涉及几何间距。有限线宽下的串扰性能和容量边界还需引入腔的频谱响应函数。</w:t>
      </w:r>
    </w:p>
    <w:p w14:paraId="3D35C36C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 xml:space="preserve">IV.Airy 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透射下的有限维串扰、性能指标与容量边界</w:t>
      </w:r>
    </w:p>
    <w:p w14:paraId="5296EBE9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A.Airy 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透射函数与有限维串扰</w:t>
      </w:r>
    </w:p>
    <w:p w14:paraId="02E53625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最小间距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描述折叠谱中不同模式组的几何分离程度。实际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腔的透射峰具有有限线宽，圆周距离需要转化为频谱串扰响应。这里采用周期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透射函数作为主响应模型。对于归一化频率偏移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Δ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（以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FSR </w:t>
      </w:r>
      <w:r>
        <w:rPr>
          <w:rFonts w:ascii="Times New Roman" w:hAnsi="Times New Roman" w:eastAsia="??" w:cs="Times New Roman" w:hint="eastAsia"/>
          <w:sz w:val="24"/>
          <w:szCs w:val="24"/>
        </w:rPr>
        <w:t>为单位），透射响应为</w:t>
      </w:r>
    </w:p>
    <w:p w14:paraId="2E5ADD85" w14:textId="0E4CB117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A_F(Δ)= (1)/(1+((2F)/(π))^2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sin⁡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^2(πΔ)),</m:t>
          </m:r>
        </m:oMath>
      </m:oMathPara>
    </w:p>
    <w:p w14:paraId="6EF0F402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lastRenderedPageBreak/>
        <w:t>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为腔精细度。响应以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 </w:t>
      </w:r>
      <w:r>
        <w:rPr>
          <w:rFonts w:ascii="Times New Roman" w:hAnsi="Times New Roman" w:eastAsia="??" w:cs="Times New Roman" w:hint="eastAsia"/>
          <w:sz w:val="24"/>
          <w:szCs w:val="24"/>
        </w:rPr>
        <w:t>个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FSR </w:t>
      </w:r>
      <w:r>
        <w:rPr>
          <w:rFonts w:ascii="Times New Roman" w:hAnsi="Times New Roman" w:eastAsia="??" w:cs="Times New Roman" w:hint="eastAsia"/>
          <w:sz w:val="24"/>
          <w:szCs w:val="24"/>
        </w:rPr>
        <w:t>为周期，并在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Δ=0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处取最大值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</w:t>
      </w:r>
      <w:r>
        <w:rPr>
          <w:rFonts w:ascii="Times New Roman" w:hAnsi="Times New Roman" w:eastAsia="??" w:cs="Times New Roman" w:hint="eastAsia"/>
          <w:sz w:val="24"/>
          <w:szCs w:val="24"/>
        </w:rPr>
        <w:t>。</w:t>
      </w:r>
    </w:p>
    <w:p w14:paraId="2CCDE68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对目标模式组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S={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,…,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}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，当第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j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个通道被调至透射中心时，第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i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个通道的相对失谐为</w:t>
      </w:r>
    </w:p>
    <w:p w14:paraId="72111E1B" w14:textId="0AE6C803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Δ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k</m:t>
                  </m:r>
                </m:e>
                <m: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eff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</m:sub>
              </m:sSub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15BCEEF1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将所有通道对的失谐代入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函数，得到有限维响应</w:t>
      </w:r>
    </w:p>
    <w:p w14:paraId="0C275438" w14:textId="367A6A53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ij</m:t>
                      </m:r>
                    </m:sub>
                  </m:sSub>
                </m:e>
              </m:d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5BD6927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ij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排成表格或热图可以直观展示串扰结构。它只是有限维计算的组织方式，不引入新的物理对象。相同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、相同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和相同目标模式组给出相同的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ij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，与采用平凹腔或对称双凹腔无关。</w:t>
      </w:r>
    </w:p>
    <w:p w14:paraId="51BD4920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对每个输入通道做列归一化，得到条件概率矩阵</w:t>
      </w:r>
    </w:p>
    <w:p w14:paraId="65AB3A6C" w14:textId="461AE878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i</m:t>
              </m:r>
            </m:e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j</m:t>
              </m:r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sSubSup>
                    <m:sSubSup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i=1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R</m:t>
                      </m:r>
                    </m:sup>
                  </m:sSubSup>
                </m:sub>
                <m:sup/>
                <m:e/>
              </m:nary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74ED2D5A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P(i|j)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表示目标通道为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j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时，被判入输出通道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i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的概率。理想分选要求对角元接近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</w:t>
      </w:r>
      <w:r>
        <w:rPr>
          <w:rFonts w:ascii="Times New Roman" w:hAnsi="Times New Roman" w:eastAsia="??" w:cs="Times New Roman" w:hint="eastAsia"/>
          <w:sz w:val="24"/>
          <w:szCs w:val="24"/>
        </w:rPr>
        <w:t>，非对角元接近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0</w:t>
      </w:r>
      <w:r>
        <w:rPr>
          <w:rFonts w:ascii="Times New Roman" w:hAnsi="Times New Roman" w:eastAsia="??" w:cs="Times New Roman" w:hint="eastAsia"/>
          <w:sz w:val="24"/>
          <w:szCs w:val="24"/>
        </w:rPr>
        <w:t>。</w:t>
      </w:r>
    </w:p>
    <w:p w14:paraId="49F1DA05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B.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性能指标、容量边界与大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极限</w:t>
      </w:r>
    </w:p>
    <w:p w14:paraId="5E45C343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基于条件概率矩阵，定义平均分选成功率</w:t>
      </w:r>
    </w:p>
    <w:p w14:paraId="3560CC30" w14:textId="3E20576D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η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sort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  <m:nary>
                <m:naryPr>
                  <m:chr m:val="∑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j=1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</m:t>
                      </m:r>
                    </m:e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</m:t>
                      </m:r>
                    </m:e>
                  </m:d>
                </m:sup>
                <m:e/>
              </m:nary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5D86280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以及每通道串扰抑制比</w:t>
      </w:r>
    </w:p>
    <w:p w14:paraId="7EBA5F2B" w14:textId="71F9081F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E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10</m:t>
              </m:r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eastAsia="Cambria Math" w:hAnsi="Cambria Math"/>
                          <w:sz w:val="21"/>
                        </w:rPr>
                      </m:ctrlP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eastAsia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j</m:t>
                          </m:r>
                        </m:e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j</m:t>
                          </m:r>
                        </m:e>
                      </m:d>
                    </m:e>
                  </m:d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e>
              </m:func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≠</m:t>
                      </m:r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 xml:space="preserve"> j</m:t>
                      </m:r>
                    </m:e>
                  </m:d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</m:t>
                      </m:r>
                    </m:e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</m:t>
                      </m:r>
                    </m:e>
                  </m:d>
                </m:sub>
                <m:sup/>
                <m:e/>
              </m:nary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4EE1F18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对全部通道取平均得到</w:t>
      </w:r>
    </w:p>
    <w:p w14:paraId="4CFB9A17" w14:textId="6FE1789A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E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sum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sSubSup>
                    <m:sSubSup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j=1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ER</m:t>
                      </m:r>
                    </m:sup>
                  </m:sSubSup>
                </m:sub>
                <m:sup/>
                <m:e/>
              </m:nary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6B533A39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这两个指标把折叠谱排布、腔精细度和目标模式组转化为可量化的分选质量评价。</w:t>
      </w:r>
    </w:p>
    <w:p w14:paraId="72ED7CB0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对于连续模式组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在最优分支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=m/M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下，各通道完全等价</w:t>
      </w:r>
      <w:r>
        <w:rPr>
          <w:rFonts w:ascii="Times New Roman" w:hAnsi="Times New Roman" w:eastAsia="??" w:cs="Times New Roman" w:hint="eastAsia"/>
          <w:sz w:val="24"/>
          <w:szCs w:val="24"/>
        </w:rPr>
        <w:t>——</w:t>
      </w:r>
      <w:r>
        <w:rPr>
          <w:rFonts w:ascii="Times New Roman" w:hAnsi="Times New Roman" w:eastAsia="??" w:cs="Times New Roman" w:hint="eastAsia"/>
          <w:sz w:val="24"/>
          <w:szCs w:val="24"/>
        </w:rPr>
        <w:t>每个通道面对的是同一组失谐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d>
          <m:dPr>
            <m:begChr m:val="{"/>
            <m:sepChr m:val="/"/>
            <m:endChr m:val="}"/>
          </m:d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e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>（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r=1,…,M−1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），仅排列次序不同。对任意通道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j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，非目标通道的泄漏和为</w:t>
      </w:r>
    </w:p>
    <w:p w14:paraId="1BD56001" w14:textId="0DFA8B0B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ε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_M=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∑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_(r=1)^(M-1) (1)/(1+((2F)/(π))^2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sin⁡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^2(π r/M)).</m:t>
          </m:r>
        </m:oMath>
      </m:oMathPara>
    </w:p>
    <w:p w14:paraId="63D0C7C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由于各行（列）的归一化因子均为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1+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ϵ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，有</w:t>
      </w:r>
    </w:p>
    <w:p w14:paraId="5B8CE6B9" w14:textId="53C8C929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P(j|j)=(1)/(1+ε_M), η_(sort)=(1)/(1+ε_M), ER_(sum)=10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log⁡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_(10)(1)/(ε_M),</m:t>
          </m:r>
        </m:oMath>
      </m:oMathPara>
    </w:p>
    <w:p w14:paraId="477C2158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在上述有限目标集合、均匀先验和周期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响应归一化定义下，三项均精确成立。随着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增大，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减小，需在给定精细度下评估可达到的分选质量。</w:t>
      </w:r>
    </w:p>
    <w:p w14:paraId="00181A85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为此引入容量条件。设相邻通道的最小线宽归一化间距为</w:t>
      </w:r>
    </w:p>
    <w:p w14:paraId="0F8081A6" w14:textId="0DFCDB33" w:rsidR="008467B0" w:rsidRDefault="0066233F">
      <w:pPr>
        <w:spacing w:after="0" w:line="300" w:lineRule="auto"/>
        <w:jc w:val="both"/>
        <w:ind w:firstLine="480" w:firstLineChars="200"/>
        <w:keepLines/>
      </w:pPr>
      <m:oMath>
        <m:sSub>
          <m:sSubPr>
            <m:ctrlPr>
              <w:rPr>
                <w:rFonts w:ascii="Cambria Math" w:eastAsia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  <m:ctrlPr>
              <w:rPr>
                <w:rFonts w:ascii="Cambria Math" w:eastAsia="Cambria Math" w:hAnsi="Cambria Math" w:hint="eastAsia"/>
                <w:i/>
                <w:sz w:val="21"/>
              </w:rPr>
            </m:ctrlP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 xml:space="preserve">=F </m:t>
        </m:r>
        <m:sSub>
          <m:sSubPr>
            <m:ctrlPr>
              <w:rPr>
                <w:rFonts w:ascii="Cambria Math" w:eastAsia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.</m:t>
        </m:r>
      </m:oMath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</m:oMath>
      <w:r w:rsidR="00BF3579">
        <w:rPr>
          <w:rFonts w:ascii="Times New Roman" w:hAnsi="Times New Roman" w:eastAsia="??" w:cs="Times New Roman" w:hint="eastAsia"/>
          <w:sz w:val="24"/>
          <w:szCs w:val="24"/>
        </w:rPr>
        <w:t>（物理上对应可接受的最小通道间隔，以线宽为单位），要求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≥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</m:oMath>
      <w:r w:rsidR="00BF3579">
        <w:rPr>
          <w:rFonts w:ascii="Times New Roman" w:hAnsi="Times New Roman" w:eastAsia="??" w:cs="Times New Roman" w:hint="eastAsia"/>
          <w:sz w:val="24"/>
          <w:szCs w:val="24"/>
        </w:rPr>
        <w:t>。代入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 w:rsidR="00BF3579">
        <w:rPr>
          <w:rFonts w:ascii="Times New Roman" w:hAnsi="Times New Roman" w:eastAsia="??" w:cs="Times New Roman" w:hint="eastAsia"/>
          <w:sz w:val="24"/>
          <w:szCs w:val="24"/>
        </w:rPr>
        <w:t>，得到连续模式组的容量边界</w:t>
      </w:r>
    </w:p>
    <w:p w14:paraId="4FFA889B" w14:textId="43AD75FF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w:lastRenderedPageBreak/>
            <m:t>M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≤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 lfloor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F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rfloor</m:t>
              </m:r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5957913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这一边界把折叠谱间距和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线宽联系起来，不依赖特定腔型。在边界标度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F=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M→∞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，有限维求和过渡为大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极限</w:t>
      </w:r>
    </w:p>
    <w:p w14:paraId="0F6A4B24" w14:textId="63757943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ε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∞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 2</m:t>
          </m:r>
          <m:nary>
            <m:naryPr>
              <m:chr m:val="∑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naryPr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r=1</m:t>
              </m:r>
            </m:sub>
            <m:sup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7BD14FFC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=3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，数值计算得到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≈91.7635%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≈10.4693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。这一极限给出了给定阈值标度下连续模式组的渐近分选性能。</w:t>
      </w:r>
    </w:p>
    <w:p w14:paraId="27F66152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连续模式组为具体算例，取互素分支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k=2/9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，最优间距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。当腔精细度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F=32.21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时，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=F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≈3.58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，满足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=3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的阈值要求。有限维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计算给出</w:t>
      </w:r>
    </w:p>
    <w:p w14:paraId="32005A7C" w14:textId="113D03F7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η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sort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=94.1166%, E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sum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=12.0404dB.</m:t>
          </m:r>
        </m:oMath>
      </m:oMathPara>
    </w:p>
    <w:p w14:paraId="529C1CC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3 </w:t>
      </w:r>
      <w:r>
        <w:rPr>
          <w:rFonts w:ascii="Times New Roman" w:hAnsi="Times New Roman" w:eastAsia="??" w:cs="Times New Roman" w:hint="eastAsia"/>
          <w:sz w:val="24"/>
          <w:szCs w:val="24"/>
        </w:rPr>
        <w:t>给出了该算例的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串扰热图与条件概率分布。表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 </w:t>
      </w:r>
      <w:r>
        <w:rPr>
          <w:rFonts w:ascii="Times New Roman" w:hAnsi="Times New Roman" w:eastAsia="??" w:cs="Times New Roman" w:hint="eastAsia"/>
          <w:sz w:val="24"/>
          <w:szCs w:val="24"/>
        </w:rPr>
        <w:t>列出了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=3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下不同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的连续模式组设计蓝图及对应性能指标，供器件设计参考。</w:t>
      </w:r>
    </w:p>
    <w:p w14:paraId="4A085D40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C.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构型回代与鲁棒性排序</w:t>
      </w:r>
    </w:p>
    <w:p w14:paraId="3DEE361E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串扰指标和容量边界均在折叠谱设计层获得，与腔型无关。进入几何实现层后，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到几何参数的映射会改变实际工作点的选择。对于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连续模式组，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m=1,2,4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三条互素分支均能达到理论最优间距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。在平凹腔中，它们分别对应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L/R≈0.117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0.413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0.970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。由于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den>
        </m:f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的调节灵敏度在中间区域最低，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m=2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分支成为平凹腔中较鲁棒的代表支。在对称双凹腔中，近平面支和近同心支分别由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L/R=1∓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cos</m:t>
        </m:r>
        <m:r>
          <w:rPr>
            <w:rFonts w:ascii="Cambria Math" w:hAnsi="Cambria Math" w:eastAsia="Cambria Math" w:cs="Cambria Math"/>
            <w:sz w:val="24"/>
            <w:szCs w:val="24"/>
          </w:rPr>
          <m:t>(πk)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给出，低灵敏度区域转移至共焦条件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L/R=1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附近，因而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m=4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分支具有更好的抗扰动能力。图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4 </w:t>
      </w:r>
      <w:r>
        <w:rPr>
          <w:rFonts w:ascii="Times New Roman" w:hAnsi="Times New Roman" w:eastAsia="??" w:cs="Times New Roman" w:hint="eastAsia"/>
          <w:sz w:val="24"/>
          <w:szCs w:val="24"/>
        </w:rPr>
        <w:t>比较了两种腔型的几何映射及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鲁棒分支排序。相同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下串扰性能相同，几何鲁棒性排序则需按腔型重新计算。</w:t>
      </w:r>
    </w:p>
    <w:p w14:paraId="769EFCE1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 xml:space="preserve">V.OAM 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序列、径向寄生与卫星峰来源</w:t>
      </w:r>
    </w:p>
    <w:p w14:paraId="4C5837BA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A.OAM 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序列作为横模阶数的特例</w:t>
      </w:r>
    </w:p>
    <w:p w14:paraId="6F5EBB4D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若目标模式限制在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且只取单符号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序列（例如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l=1,2,…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），则</w:t>
      </w:r>
    </w:p>
    <w:p w14:paraId="204465EC" w14:textId="486CFD07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N=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l</m:t>
              </m:r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+1.</m:t>
          </m:r>
        </m:oMath>
      </m:oMathPara>
    </w:p>
    <w:p w14:paraId="7B06C66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此时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OAM </w:t>
      </w:r>
      <w:r>
        <w:rPr>
          <w:rFonts w:ascii="Times New Roman" w:hAnsi="Times New Roman" w:eastAsia="??" w:cs="Times New Roman" w:hint="eastAsia"/>
          <w:sz w:val="24"/>
          <w:szCs w:val="24"/>
        </w:rPr>
        <w:t>连续序列映射为连续模式组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，第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3–4 </w:t>
      </w:r>
      <w:r>
        <w:rPr>
          <w:rFonts w:ascii="Times New Roman" w:hAnsi="Times New Roman" w:eastAsia="??" w:cs="Times New Roman" w:hint="eastAsia"/>
          <w:sz w:val="24"/>
          <w:szCs w:val="24"/>
        </w:rPr>
        <w:t>节的排布优化和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串扰分析可直接沿用。这一情形是横模阶数响应的一个物理特例。</w:t>
      </w:r>
    </w:p>
    <w:p w14:paraId="4DF65C0C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稳定各向同性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腔的共振频率依赖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d>
          <m:dPr>
            <m:begChr m:val="|"/>
            <m:sepChr m:val=""/>
            <m:endChr m:val="|"/>
          </m:d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e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而非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的符号，单个腔不能将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分配到不同频谱通道。若实验任务需要区分符号，则需引入破坏圆对称性的附加元件、像散或各向异性模式变换，或干涉式模式转换等外部机制。这里讨论的单腔频谱分束对应按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的模式组选通能力。</w:t>
      </w:r>
    </w:p>
    <w:p w14:paraId="7F36114C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B.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轴对称失配与径向泄漏</w:t>
      </w:r>
    </w:p>
    <w:p w14:paraId="584281C0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当入射场保持绕腔轴的圆对称形式</w:t>
      </w:r>
    </w:p>
    <w:p w14:paraId="0A788762" w14:textId="4B5B05CC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E</m:t>
              </m:r>
            </m:e>
            <m:sub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in</m:t>
                  </m:r>
                </m:e>
              </m:d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r,φ</m:t>
                  </m:r>
                </m:e>
              </m:d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=f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e>
          </m:d>
          <m:func>
            <m:funcPr>
              <m:ctrlPr>
                <w:rPr>
                  <w:rFonts w:ascii="Cambria Math" w:eastAsia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4"/>
                  <w:szCs w:val="24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ilφ</m:t>
                  </m:r>
                </m:e>
              </m:d>
            </m:e>
          </m:func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4CEE6BE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其对腔模基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p</m:t>
            </m:r>
          </m:sub>
          <m:sup>
            <m:sSup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′</m:t>
                </m:r>
              </m:sup>
            </m:sSup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的投影在角向积分后满足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′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=l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。因此，束腰大小失配、束腰位置偏差、波前曲率失配以及以腔轴为中心的圆对称截断，主要改变同一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子空间内的径向展开系数，在理想条件下不引入不同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之间的混合。</w:t>
      </w:r>
    </w:p>
    <w:p w14:paraId="71AE6AAF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lastRenderedPageBreak/>
        <w:t>对于仅含束腰大小失配的典型情形，设入射场为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>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η=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/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为束腰比，则同一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子空间内的径向展开权重为</w:t>
      </w:r>
    </w:p>
    <w:p w14:paraId="4B3FBFBF" w14:textId="10584ECA" w:rsidR="008467B0" w:rsidRDefault="0066233F">
      <w:pPr>
        <w:spacing w:before="80" w:after="80" w:line="240" w:lineRule="auto"/>
        <w:jc w:val="center"/>
        <w:keepLines/>
      </w:pPr>
      <m:oMathPara>
        <m:oMath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p,l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4"/>
              <w:szCs w:val="24"/>
            </w:rPr>
            <m:t>= binom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p+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l</m:t>
                  </m:r>
                </m:e>
              </m:d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,p</m:t>
              </m:r>
            </m:e>
          </m:d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2η</m:t>
                      </m:r>
                    </m:num>
                    <m:den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l</m:t>
                  </m:r>
                </m:e>
              </m:d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+2</m:t>
              </m:r>
            </m:sup>
          </m:sSup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2p</m:t>
              </m:r>
            </m:sup>
          </m:sSup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67ABEC1C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每增加一个径向阶，权重额外乘以失配小参数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s=(1−</m:t>
        </m:r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)/(1+</m:t>
        </m:r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)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的平方因子。因此，在轻微失配下，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是首要可观测寄生项，更高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项按更高阶幂次迅速衰减。以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|l|=8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η=0.95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为例，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的功率权重约为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2.308%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p≥2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的总权重保持在更低水平。横向偏移、相位倾斜、像散和偏心截断等破坏圆对称的误差会将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exp</m:t>
        </m:r>
        <m:r>
          <w:rPr>
            <w:rFonts w:ascii="Cambria Math" w:hAnsi="Cambria Math" w:eastAsia="Cambria Math" w:cs="Cambria Math"/>
            <w:sz w:val="24"/>
            <w:szCs w:val="24"/>
          </w:rPr>
          <m:t>(ilϕ)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耦合到多个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l+m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分量中，从而抬升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other-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混模水平。</w:t>
      </w:r>
    </w:p>
    <w:p w14:paraId="498DD353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C.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相同横模阶数简并与卫星峰</w:t>
      </w:r>
    </w:p>
    <w:p w14:paraId="60F0F93B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在稳定各向同性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腔中，横模共振位置由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N=2p+|l|+1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决定。因此，即使输入端名义上制备的是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>，只要其相对于腔本征模基存在少量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或更高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的分量，这些分量在扫频过程中也会在对应的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共振位置透射出来，形成卫星峰。以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4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为例，其横模阶数为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N=5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。若存在少量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4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寄生分量，其阶数为</w:t>
      </w:r>
    </w:p>
    <w:p w14:paraId="179643B9" w14:textId="305BD314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N=2×1+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4</m:t>
              </m:r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+1=7,</m:t>
          </m:r>
        </m:oMath>
      </m:oMathPara>
    </w:p>
    <w:p w14:paraId="7AB0CA4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6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同样具有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N=2×0+|6|+1=7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。因此，频谱中出现在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6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共振位置附近的弱峰，可由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4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径向寄生分量被腔选择性透射来解释，而不必将其理解为角向指数真正从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l=4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转换成了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l=6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5 </w:t>
      </w:r>
      <w:r>
        <w:rPr>
          <w:rFonts w:ascii="Times New Roman" w:hAnsi="Times New Roman" w:eastAsia="??" w:cs="Times New Roman" w:hint="eastAsia"/>
          <w:sz w:val="24"/>
          <w:szCs w:val="24"/>
        </w:rPr>
        <w:t>展示了轴对称束腰失配下的径向泄漏分布以及卫星峰的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简并来源。</w:t>
      </w:r>
    </w:p>
    <w:p w14:paraId="6B4CD6DD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这一解释与第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2–4 </w:t>
      </w:r>
      <w:r>
        <w:rPr>
          <w:rFonts w:ascii="Times New Roman" w:hAnsi="Times New Roman" w:eastAsia="??" w:cs="Times New Roman" w:hint="eastAsia"/>
          <w:sz w:val="24"/>
          <w:szCs w:val="24"/>
        </w:rPr>
        <w:t>节的折叠谱描述一致：折叠谱设计决定不同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在单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FSR </w:t>
      </w:r>
      <w:r>
        <w:rPr>
          <w:rFonts w:ascii="Times New Roman" w:hAnsi="Times New Roman" w:eastAsia="??" w:cs="Times New Roman" w:hint="eastAsia"/>
          <w:sz w:val="24"/>
          <w:szCs w:val="24"/>
        </w:rPr>
        <w:t>内的共振排布，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Airy </w:t>
      </w:r>
      <w:r>
        <w:rPr>
          <w:rFonts w:ascii="Times New Roman" w:hAnsi="Times New Roman" w:eastAsia="??" w:cs="Times New Roman" w:hint="eastAsia"/>
          <w:sz w:val="24"/>
          <w:szCs w:val="24"/>
        </w:rPr>
        <w:t>串扰分析给出有限线宽下的通道泄漏水平，空间模式匹配误差则决定各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位置上实际可被腔选出的权重。主峰位置、容量边界与寄生卫星峰由此处在同一物理图像中。</w:t>
      </w:r>
    </w:p>
    <w:p w14:paraId="7DDBCACD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VI.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结论</w:t>
      </w:r>
    </w:p>
    <w:p w14:paraId="740017AD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本文以有效归一化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步长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描述稳定双镜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LG </w:t>
      </w:r>
      <w:r>
        <w:rPr>
          <w:rFonts w:ascii="Times New Roman" w:hAnsi="Times New Roman" w:eastAsia="??" w:cs="Times New Roman" w:hint="eastAsia"/>
          <w:sz w:val="24"/>
          <w:szCs w:val="24"/>
        </w:rPr>
        <w:t>模式分束。单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FSR </w:t>
      </w:r>
      <w:r>
        <w:rPr>
          <w:rFonts w:ascii="Times New Roman" w:hAnsi="Times New Roman" w:eastAsia="??" w:cs="Times New Roman" w:hint="eastAsia"/>
          <w:sz w:val="24"/>
          <w:szCs w:val="24"/>
        </w:rPr>
        <w:t>内的模式组排布、最小间距和容量条件由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控制；平凹腔和对称双凹腔的差异体现在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den>
        </m:f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的回代关系以及相应的鲁棒性排序上。小几何比极限下，对称双凹腔相对于平凹腔的步长增强因子为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ad>
          <m:radPr>
            <m:degHide m:val="on"/>
          </m:radPr>
          <m:deg/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e>
        </m:rad>
      </m:oMath>
      <w:r>
        <w:rPr>
          <w:rFonts w:ascii="Times New Roman" w:hAnsi="Times New Roman" w:eastAsia="??" w:cs="Times New Roman" w:hint="eastAsia"/>
          <w:sz w:val="24"/>
          <w:szCs w:val="24"/>
        </w:rPr>
        <w:t>，这一结果来自两类边界条件下腔本征模参数与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相位积累方式的共同改变。</w:t>
      </w:r>
    </w:p>
    <w:p w14:paraId="429935C5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对于连续模式组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，解析最优分支为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=m/M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（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gcd(m,M)=1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），对应最优间距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。最小间距景观可由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Farey </w:t>
      </w:r>
      <w:r>
        <w:rPr>
          <w:rFonts w:ascii="Times New Roman" w:hAnsi="Times New Roman" w:eastAsia="??" w:cs="Times New Roman" w:hint="eastAsia"/>
          <w:sz w:val="24"/>
          <w:szCs w:val="24"/>
        </w:rPr>
        <w:t>邻分数骨架组织，目标模式数增加时，高阶差值约束在既有粗轮廓下方继续细化。引入周期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透射函数后，有限维串扰求和给出条件概率矩阵、分选成功率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和串扰指标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，并推出容量边界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M≤⌊F/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⌋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F=32.21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k=2/9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为例，理论值为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=94.1166%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=12.0404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；在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=3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边界标度下，大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极限值为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≈91.7635%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≈10.4693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</w:t>
      </w:r>
    </w:p>
    <w:p w14:paraId="0AB08C0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OAM </w:t>
      </w:r>
      <w:r>
        <w:rPr>
          <w:rFonts w:ascii="Times New Roman" w:hAnsi="Times New Roman" w:eastAsia="??" w:cs="Times New Roman" w:hint="eastAsia"/>
          <w:sz w:val="24"/>
          <w:szCs w:val="24"/>
        </w:rPr>
        <w:t>连续序列对应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、单符号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的特例。单个各向同性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腔按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对模式成组响应，不能单独区分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。轴对称模式失配主要激发同一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子空间内的径向高阶分量，其中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是首要可观测寄生项；破坏圆对称的误差则会引入角向混模。卫星峰可由径向寄生项与目标模式共享同一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的简并关系解释。由此，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相位折叠谱、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Airy </w:t>
      </w:r>
      <w:r>
        <w:rPr>
          <w:rFonts w:ascii="Times New Roman" w:hAnsi="Times New Roman" w:eastAsia="??" w:cs="Times New Roman" w:hint="eastAsia"/>
          <w:sz w:val="24"/>
          <w:szCs w:val="24"/>
        </w:rPr>
        <w:t>串扰、腔型回代和空间模式误差共同给出稳定双镜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LG </w:t>
      </w:r>
      <w:r>
        <w:rPr>
          <w:rFonts w:ascii="Times New Roman" w:hAnsi="Times New Roman" w:eastAsia="??" w:cs="Times New Roman" w:hint="eastAsia"/>
          <w:sz w:val="24"/>
          <w:szCs w:val="24"/>
        </w:rPr>
        <w:t>模式分束的设计依据。</w:t>
      </w:r>
    </w:p>
    <w:p w14:paraId="31F8AAA2" w14:textId="77777777" w:rsidR="008467B0" w:rsidRDefault="00BF3579">
      <w:pPr>
        <w:spacing w:before="160" w:after="80" w:line="240" w:lineRule="auto"/>
        <w:jc w:val="center"/>
        <w:keepNext/>
      </w:pPr>
      <w:r>
        <w:rPr>
          <w:noProof/>
        </w:rPr>
        <w:lastRenderedPageBreak/>
        <w:drawing>
          <wp:inline distT="0" distB="0" distL="0" distR="0" wp14:anchorId="717CFFDB" wp14:editId="63705A29">
            <wp:extent cx="4709160" cy="19284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general_cavity_framewo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92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C445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1. </w:t>
      </w:r>
      <w:r>
        <w:rPr>
          <w:rFonts w:ascii="Times New Roman" w:hAnsi="Times New Roman" w:eastAsia="??" w:cs="Times New Roman" w:hint="eastAsia"/>
          <w:sz w:val="24"/>
          <w:szCs w:val="24"/>
        </w:rPr>
        <w:t>稳定双镜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LG </w:t>
      </w:r>
      <w:r>
        <w:rPr>
          <w:rFonts w:ascii="Times New Roman" w:hAnsi="Times New Roman" w:eastAsia="??" w:cs="Times New Roman" w:hint="eastAsia"/>
          <w:sz w:val="24"/>
          <w:szCs w:val="24"/>
        </w:rPr>
        <w:t>模式分束的统一折叠谱框架。</w:t>
      </w:r>
    </w:p>
    <w:p w14:paraId="1D94667B" w14:textId="77777777" w:rsidR="008467B0" w:rsidRDefault="00BF3579">
      <w:pPr>
        <w:spacing w:after="120" w:line="240" w:lineRule="auto"/>
        <w:jc w:val="center"/>
        <w:keepLines/>
      </w:pPr>
      <w:r>
        <w:rPr>
          <w:rFonts w:ascii="Times New Roman" w:hAnsi="Times New Roman" w:eastAsia="??" w:cs="Times New Roman" w:hint="eastAsia"/>
          <w:sz w:val="20"/>
          <w:szCs w:val="20"/>
        </w:rPr>
        <w:t>Fig. 1. Unified folded-spectrum framework for LG mode sorting in stable two-mirror FP cavities.</w:t>
      </w:r>
    </w:p>
    <w:p w14:paraId="612C473C" w14:textId="77777777" w:rsidR="008467B0" w:rsidRDefault="00BF3579">
      <w:pPr>
        <w:spacing w:before="160" w:after="80" w:line="240" w:lineRule="auto"/>
        <w:jc w:val="center"/>
        <w:keepNext/>
      </w:pPr>
      <w:r>
        <w:rPr>
          <w:noProof/>
        </w:rPr>
        <w:drawing>
          <wp:inline distT="0" distB="0" distL="0" distR="0" wp14:anchorId="683FBC6C" wp14:editId="702C59CB">
            <wp:extent cx="4709160" cy="18172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continuous_N_landsc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8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BEBB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2. </w:t>
      </w:r>
      <w:r>
        <w:rPr>
          <w:rFonts w:ascii="Times New Roman" w:hAnsi="Times New Roman" w:eastAsia="??" w:cs="Times New Roman" w:hint="eastAsia"/>
          <w:sz w:val="24"/>
          <w:szCs w:val="24"/>
        </w:rPr>
        <w:t>连续模式组的最小间距景观与解析最优分支。</w:t>
      </w:r>
    </w:p>
    <w:p w14:paraId="29630864" w14:textId="77777777" w:rsidR="008467B0" w:rsidRDefault="00BF3579">
      <w:pPr>
        <w:spacing w:after="120" w:line="240" w:lineRule="auto"/>
        <w:jc w:val="center"/>
        <w:keepLines/>
      </w:pPr>
      <w:r>
        <w:rPr>
          <w:rFonts w:ascii="Times New Roman" w:hAnsi="Times New Roman" w:eastAsia="??" w:cs="Times New Roman" w:hint="eastAsia"/>
          <w:sz w:val="20"/>
          <w:szCs w:val="20"/>
        </w:rPr>
        <w:t>Fig. 2. Minimum-spacing landscape and analytic optimal branches for consecutive mode groups.</w:t>
      </w:r>
    </w:p>
    <w:p w14:paraId="5745B2ED" w14:textId="77777777" w:rsidR="008467B0" w:rsidRDefault="00BF3579">
      <w:pPr>
        <w:spacing w:before="160" w:after="80" w:line="240" w:lineRule="auto"/>
        <w:jc w:val="center"/>
        <w:keepNext/>
      </w:pPr>
      <w:r>
        <w:rPr>
          <w:noProof/>
        </w:rPr>
        <w:drawing>
          <wp:inline distT="0" distB="0" distL="0" distR="0" wp14:anchorId="707DA36D" wp14:editId="1EF36EFB">
            <wp:extent cx="4709160" cy="2186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airy_response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18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1CB2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3.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连续模式组的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串扰热图与条件概率分布。</w:t>
      </w:r>
    </w:p>
    <w:p w14:paraId="74CF9008" w14:textId="77777777" w:rsidR="008467B0" w:rsidRDefault="00BF3579">
      <w:pPr>
        <w:spacing w:after="120" w:line="240" w:lineRule="auto"/>
        <w:jc w:val="center"/>
        <w:keepLines/>
      </w:pPr>
      <w:r>
        <w:rPr>
          <w:rFonts w:ascii="Times New Roman" w:hAnsi="Times New Roman" w:eastAsia="??" w:cs="Times New Roman" w:hint="eastAsia"/>
          <w:sz w:val="20"/>
          <w:szCs w:val="20"/>
        </w:rPr>
        <w:t xml:space="preserve">Fig. 3. Airy crosstalk maps and conditional probabilities for a consecutive mode group with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0"/>
          <w:szCs w:val="20"/>
        </w:rPr>
        <w:t>.</w:t>
      </w:r>
    </w:p>
    <w:p w14:paraId="59D58C0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1. τ_0=3 </w:t>
      </w:r>
      <w:r>
        <w:rPr>
          <w:rFonts w:ascii="Times New Roman" w:hAnsi="Times New Roman" w:eastAsia="??" w:cs="Times New Roman" w:hint="eastAsia"/>
          <w:sz w:val="24"/>
          <w:szCs w:val="24"/>
        </w:rPr>
        <w:t>下连续模式组设计蓝图</w:t>
      </w:r>
    </w:p>
    <w:tbl>
      <w:tblPr>
        <w:tblStyle w:val="af2"/>
        <w:tblW w:w="0" w:type="auto"/>
        <w:tblLook w:val="04A0" w:firstRow="1" w:lastRow="0" w:firstColumn="1" w:lastColumn="0" w:noHBand="0" w:noVBand="1"/>
        <w:jc w:val="center"/>
      </w:tblPr>
      <w:tblGrid>
        <w:gridCol w:w="1077"/>
        <w:gridCol w:w="1078"/>
        <w:gridCol w:w="1079"/>
        <w:gridCol w:w="1079"/>
        <w:gridCol w:w="1079"/>
        <w:gridCol w:w="1079"/>
        <w:gridCol w:w="1080"/>
        <w:gridCol w:w="1079"/>
      </w:tblGrid>
      <w:tr w:rsidR="008467B0" w14:paraId="567B51D3" w14:textId="77777777">
        <w:trPr>
          <w:jc w:val="center"/>
        </w:trPr>
        <w:tc>
          <w:tcPr>
            <w:tcW w:w="1080" w:type="dxa"/>
            <w:vAlign w:val="center"/>
          </w:tcPr>
          <w:p w14:paraId="7069AB9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M</w:t>
            </w:r>
          </w:p>
        </w:tc>
        <w:tc>
          <w:tcPr>
            <w:tcW w:w="1080" w:type="dxa"/>
            <w:vAlign w:val="center"/>
          </w:tcPr>
          <w:p w14:paraId="20E9229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m</w:t>
            </w:r>
          </w:p>
        </w:tc>
        <w:tc>
          <w:tcPr>
            <w:tcW w:w="1080" w:type="dxa"/>
            <w:vAlign w:val="center"/>
          </w:tcPr>
          <w:p w14:paraId="2AE0C736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k*</w:t>
            </w:r>
          </w:p>
        </w:tc>
        <w:tc>
          <w:tcPr>
            <w:tcW w:w="1080" w:type="dxa"/>
            <w:vAlign w:val="center"/>
          </w:tcPr>
          <w:p w14:paraId="0C47199E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s_min</w:t>
            </w:r>
          </w:p>
        </w:tc>
        <w:tc>
          <w:tcPr>
            <w:tcW w:w="1080" w:type="dxa"/>
            <w:vAlign w:val="center"/>
          </w:tcPr>
          <w:p w14:paraId="1EAE8251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F_min</w:t>
            </w:r>
          </w:p>
        </w:tc>
        <w:tc>
          <w:tcPr>
            <w:tcW w:w="1080" w:type="dxa"/>
            <w:vAlign w:val="center"/>
          </w:tcPr>
          <w:p w14:paraId="27CA0E95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L/R</w:t>
            </w:r>
          </w:p>
        </w:tc>
        <w:tc>
          <w:tcPr>
            <w:tcW w:w="1080" w:type="dxa"/>
            <w:vAlign w:val="center"/>
          </w:tcPr>
          <w:p w14:paraId="0D9E239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ER_sum/dB</w:t>
            </w:r>
          </w:p>
        </w:tc>
        <w:tc>
          <w:tcPr>
            <w:tcW w:w="1080" w:type="dxa"/>
            <w:vAlign w:val="center"/>
          </w:tcPr>
          <w:p w14:paraId="06C88AA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eta_sort</w:t>
            </w:r>
          </w:p>
        </w:tc>
      </w:tr>
      <w:tr w:rsidR="008467B0" w14:paraId="3F7DDB06" w14:textId="77777777">
        <w:trPr>
          <w:jc w:val="center"/>
        </w:trPr>
        <w:tc>
          <w:tcPr>
            <w:tcW w:w="1080" w:type="dxa"/>
            <w:vAlign w:val="center"/>
          </w:tcPr>
          <w:p w14:paraId="53FEF7D9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4</w:t>
            </w:r>
          </w:p>
        </w:tc>
        <w:tc>
          <w:tcPr>
            <w:tcW w:w="1080" w:type="dxa"/>
            <w:vAlign w:val="center"/>
          </w:tcPr>
          <w:p w14:paraId="777724C2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</w:t>
            </w:r>
          </w:p>
        </w:tc>
        <w:tc>
          <w:tcPr>
            <w:tcW w:w="1080" w:type="dxa"/>
            <w:vAlign w:val="center"/>
          </w:tcPr>
          <w:p w14:paraId="30CA1A04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0.2500</w:t>
            </w:r>
          </w:p>
        </w:tc>
        <w:tc>
          <w:tcPr>
            <w:tcW w:w="1080" w:type="dxa"/>
            <w:vAlign w:val="center"/>
          </w:tcPr>
          <w:p w14:paraId="5454E8E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0.2500</w:t>
            </w:r>
          </w:p>
        </w:tc>
        <w:tc>
          <w:tcPr>
            <w:tcW w:w="1080" w:type="dxa"/>
            <w:vAlign w:val="center"/>
          </w:tcPr>
          <w:p w14:paraId="587739B6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12.0000</w:t>
            </w:r>
          </w:p>
        </w:tc>
        <w:tc>
          <w:tcPr>
            <w:tcW w:w="1080" w:type="dxa"/>
            <w:vAlign w:val="center"/>
          </w:tcPr>
          <w:p w14:paraId="70EDCE82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0.5000</w:t>
            </w:r>
          </w:p>
        </w:tc>
        <w:tc>
          <w:tcPr>
            <w:tcW w:w="1080" w:type="dxa"/>
            <w:vAlign w:val="center"/>
          </w:tcPr>
          <w:p w14:paraId="6E1857CC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10.803</w:t>
            </w:r>
          </w:p>
        </w:tc>
        <w:tc>
          <w:tcPr>
            <w:tcW w:w="1080" w:type="dxa"/>
            <w:vAlign w:val="center"/>
          </w:tcPr>
          <w:p w14:paraId="36ED0FA4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92.326%</w:t>
            </w:r>
          </w:p>
        </w:tc>
      </w:tr>
      <w:tr w:rsidR="008467B0" w14:paraId="010999D9" w14:textId="77777777">
        <w:trPr>
          <w:jc w:val="center"/>
        </w:trPr>
        <w:tc>
          <w:tcPr>
            <w:tcW w:w="1080" w:type="dxa"/>
            <w:vAlign w:val="center"/>
          </w:tcPr>
          <w:p w14:paraId="5A4843D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6</w:t>
            </w:r>
          </w:p>
        </w:tc>
        <w:tc>
          <w:tcPr>
            <w:tcW w:w="1080" w:type="dxa"/>
            <w:vAlign w:val="center"/>
          </w:tcPr>
          <w:p w14:paraId="215FF7C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</w:t>
            </w:r>
          </w:p>
        </w:tc>
        <w:tc>
          <w:tcPr>
            <w:tcW w:w="1080" w:type="dxa"/>
            <w:vAlign w:val="center"/>
          </w:tcPr>
          <w:p w14:paraId="79B0A716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0.1667</w:t>
            </w:r>
          </w:p>
        </w:tc>
        <w:tc>
          <w:tcPr>
            <w:tcW w:w="1080" w:type="dxa"/>
            <w:vAlign w:val="center"/>
          </w:tcPr>
          <w:p w14:paraId="0907007D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0.1667</w:t>
            </w:r>
          </w:p>
        </w:tc>
        <w:tc>
          <w:tcPr>
            <w:tcW w:w="1080" w:type="dxa"/>
            <w:vAlign w:val="center"/>
          </w:tcPr>
          <w:p w14:paraId="6CAA7ADF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18.0000</w:t>
            </w:r>
          </w:p>
        </w:tc>
        <w:tc>
          <w:tcPr>
            <w:tcW w:w="1080" w:type="dxa"/>
            <w:vAlign w:val="center"/>
          </w:tcPr>
          <w:p w14:paraId="6338B771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0.2500</w:t>
            </w:r>
          </w:p>
        </w:tc>
        <w:tc>
          <w:tcPr>
            <w:tcW w:w="1080" w:type="dxa"/>
            <w:vAlign w:val="center"/>
          </w:tcPr>
          <w:p w14:paraId="11E262C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10.616</w:t>
            </w:r>
          </w:p>
        </w:tc>
        <w:tc>
          <w:tcPr>
            <w:tcW w:w="1080" w:type="dxa"/>
            <w:vAlign w:val="center"/>
          </w:tcPr>
          <w:p w14:paraId="34F39E38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92.015%</w:t>
            </w:r>
          </w:p>
        </w:tc>
      </w:tr>
      <w:tr w:rsidR="008467B0" w14:paraId="4C81E585" w14:textId="77777777">
        <w:trPr>
          <w:jc w:val="center"/>
        </w:trPr>
        <w:tc>
          <w:tcPr>
            <w:tcW w:w="1080" w:type="dxa"/>
            <w:vAlign w:val="center"/>
          </w:tcPr>
          <w:p w14:paraId="685FC29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</w:t>
            </w:r>
          </w:p>
        </w:tc>
        <w:tc>
          <w:tcPr>
            <w:tcW w:w="1080" w:type="dxa"/>
            <w:vAlign w:val="center"/>
          </w:tcPr>
          <w:p w14:paraId="3CB913DE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2</w:t>
            </w:r>
          </w:p>
        </w:tc>
        <w:tc>
          <w:tcPr>
            <w:tcW w:w="1080" w:type="dxa"/>
            <w:vAlign w:val="center"/>
          </w:tcPr>
          <w:p w14:paraId="233BF801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0.2222</w:t>
            </w:r>
          </w:p>
        </w:tc>
        <w:tc>
          <w:tcPr>
            <w:tcW w:w="1080" w:type="dxa"/>
            <w:vAlign w:val="center"/>
          </w:tcPr>
          <w:p w14:paraId="4EA5F55C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0.1111</w:t>
            </w:r>
          </w:p>
        </w:tc>
        <w:tc>
          <w:tcPr>
            <w:tcW w:w="1080" w:type="dxa"/>
            <w:vAlign w:val="center"/>
          </w:tcPr>
          <w:p w14:paraId="4FC2B0B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27.0000</w:t>
            </w:r>
          </w:p>
        </w:tc>
        <w:tc>
          <w:tcPr>
            <w:tcW w:w="1080" w:type="dxa"/>
            <w:vAlign w:val="center"/>
          </w:tcPr>
          <w:p w14:paraId="7B019A8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0.4132</w:t>
            </w:r>
          </w:p>
        </w:tc>
        <w:tc>
          <w:tcPr>
            <w:tcW w:w="1080" w:type="dxa"/>
            <w:vAlign w:val="center"/>
          </w:tcPr>
          <w:p w14:paraId="0792A655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10.534</w:t>
            </w:r>
          </w:p>
        </w:tc>
        <w:tc>
          <w:tcPr>
            <w:tcW w:w="1080" w:type="dxa"/>
            <w:vAlign w:val="center"/>
          </w:tcPr>
          <w:p w14:paraId="2003CAA5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91.875%</w:t>
            </w:r>
          </w:p>
        </w:tc>
      </w:tr>
      <w:tr w:rsidR="008467B0" w14:paraId="3BCCA40A" w14:textId="77777777">
        <w:trPr>
          <w:jc w:val="center"/>
        </w:trPr>
        <w:tc>
          <w:tcPr>
            <w:tcW w:w="1080" w:type="dxa"/>
            <w:vAlign w:val="center"/>
          </w:tcPr>
          <w:p w14:paraId="2E4F0765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12</w:t>
            </w:r>
          </w:p>
        </w:tc>
        <w:tc>
          <w:tcPr>
            <w:tcW w:w="1080" w:type="dxa"/>
            <w:vAlign w:val="center"/>
          </w:tcPr>
          <w:p w14:paraId="28DB6CA2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</w:t>
            </w:r>
          </w:p>
        </w:tc>
        <w:tc>
          <w:tcPr>
            <w:tcW w:w="1080" w:type="dxa"/>
            <w:vAlign w:val="center"/>
          </w:tcPr>
          <w:p w14:paraId="04E34C8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0.0833</w:t>
            </w:r>
          </w:p>
        </w:tc>
        <w:tc>
          <w:tcPr>
            <w:tcW w:w="1080" w:type="dxa"/>
            <w:vAlign w:val="center"/>
          </w:tcPr>
          <w:p w14:paraId="1EFADFE9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0.0833</w:t>
            </w:r>
          </w:p>
        </w:tc>
        <w:tc>
          <w:tcPr>
            <w:tcW w:w="1080" w:type="dxa"/>
            <w:vAlign w:val="center"/>
          </w:tcPr>
          <w:p w14:paraId="196CA87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36.0000</w:t>
            </w:r>
          </w:p>
        </w:tc>
        <w:tc>
          <w:tcPr>
            <w:tcW w:w="1080" w:type="dxa"/>
            <w:vAlign w:val="center"/>
          </w:tcPr>
          <w:p w14:paraId="7887A742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0.0670</w:t>
            </w:r>
          </w:p>
        </w:tc>
        <w:tc>
          <w:tcPr>
            <w:tcW w:w="1080" w:type="dxa"/>
            <w:vAlign w:val="center"/>
          </w:tcPr>
          <w:p w14:paraId="07287A81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10.506</w:t>
            </w:r>
          </w:p>
        </w:tc>
        <w:tc>
          <w:tcPr>
            <w:tcW w:w="1080" w:type="dxa"/>
            <w:vAlign w:val="center"/>
          </w:tcPr>
          <w:p w14:paraId="36F04D2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91.826%</w:t>
            </w:r>
          </w:p>
        </w:tc>
      </w:tr>
      <w:tr w:rsidR="008467B0" w14:paraId="299BE997" w14:textId="77777777">
        <w:trPr>
          <w:jc w:val="center"/>
        </w:trPr>
        <w:tc>
          <w:tcPr>
            <w:tcW w:w="1080" w:type="dxa"/>
            <w:vAlign w:val="center"/>
          </w:tcPr>
          <w:p w14:paraId="34BDE96D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15</w:t>
            </w:r>
          </w:p>
        </w:tc>
        <w:tc>
          <w:tcPr>
            <w:tcW w:w="1080" w:type="dxa"/>
            <w:vAlign w:val="center"/>
          </w:tcPr>
          <w:p w14:paraId="74B0D39C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4</w:t>
            </w:r>
          </w:p>
        </w:tc>
        <w:tc>
          <w:tcPr>
            <w:tcW w:w="1080" w:type="dxa"/>
            <w:vAlign w:val="center"/>
          </w:tcPr>
          <w:p w14:paraId="3EB2FFC8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0.2667</w:t>
            </w:r>
          </w:p>
        </w:tc>
        <w:tc>
          <w:tcPr>
            <w:tcW w:w="1080" w:type="dxa"/>
            <w:vAlign w:val="center"/>
          </w:tcPr>
          <w:p w14:paraId="740B7C16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0.0667</w:t>
            </w:r>
          </w:p>
        </w:tc>
        <w:tc>
          <w:tcPr>
            <w:tcW w:w="1080" w:type="dxa"/>
            <w:vAlign w:val="center"/>
          </w:tcPr>
          <w:p w14:paraId="77A44F6D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45.0000</w:t>
            </w:r>
          </w:p>
        </w:tc>
        <w:tc>
          <w:tcPr>
            <w:tcW w:w="1080" w:type="dxa"/>
            <w:vAlign w:val="center"/>
          </w:tcPr>
          <w:p w14:paraId="7587F71D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0.5523</w:t>
            </w:r>
          </w:p>
        </w:tc>
        <w:tc>
          <w:tcPr>
            <w:tcW w:w="1080" w:type="dxa"/>
            <w:vAlign w:val="center"/>
          </w:tcPr>
          <w:p w14:paraId="7C2010BD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10.492</w:t>
            </w:r>
          </w:p>
        </w:tc>
        <w:tc>
          <w:tcPr>
            <w:tcW w:w="1080" w:type="dxa"/>
            <w:vAlign w:val="center"/>
          </w:tcPr>
          <w:p w14:paraId="752F1094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91.804%</w:t>
            </w:r>
          </w:p>
        </w:tc>
      </w:tr>
      <w:tr w:rsidR="008467B0" w14:paraId="38903B42" w14:textId="77777777">
        <w:trPr>
          <w:jc w:val="center"/>
        </w:trPr>
        <w:tc>
          <w:tcPr>
            <w:tcW w:w="1080" w:type="dxa"/>
            <w:vAlign w:val="center"/>
          </w:tcPr>
          <w:p w14:paraId="5D5D0804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20</w:t>
            </w:r>
          </w:p>
        </w:tc>
        <w:tc>
          <w:tcPr>
            <w:tcW w:w="1080" w:type="dxa"/>
            <w:vAlign w:val="center"/>
          </w:tcPr>
          <w:p w14:paraId="55096A34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7</w:t>
            </w:r>
          </w:p>
        </w:tc>
        <w:tc>
          <w:tcPr>
            <w:tcW w:w="1080" w:type="dxa"/>
            <w:vAlign w:val="center"/>
          </w:tcPr>
          <w:p w14:paraId="653C242E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0.3500</w:t>
            </w:r>
          </w:p>
        </w:tc>
        <w:tc>
          <w:tcPr>
            <w:tcW w:w="1080" w:type="dxa"/>
            <w:vAlign w:val="center"/>
          </w:tcPr>
          <w:p w14:paraId="4F44EA00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0.0500</w:t>
            </w:r>
          </w:p>
        </w:tc>
        <w:tc>
          <w:tcPr>
            <w:tcW w:w="1080" w:type="dxa"/>
            <w:vAlign w:val="center"/>
          </w:tcPr>
          <w:p w14:paraId="21D1F46B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60.0000</w:t>
            </w:r>
          </w:p>
        </w:tc>
        <w:tc>
          <w:tcPr>
            <w:tcW w:w="1080" w:type="dxa"/>
            <w:vAlign w:val="center"/>
          </w:tcPr>
          <w:p w14:paraId="0E9A6E5D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0.7939</w:t>
            </w:r>
          </w:p>
        </w:tc>
        <w:tc>
          <w:tcPr>
            <w:tcW w:w="1080" w:type="dxa"/>
            <w:vAlign w:val="center"/>
          </w:tcPr>
          <w:p w14:paraId="55888FD2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10.482</w:t>
            </w:r>
          </w:p>
        </w:tc>
        <w:tc>
          <w:tcPr>
            <w:tcW w:w="1080" w:type="dxa"/>
            <w:vAlign w:val="center"/>
          </w:tcPr>
          <w:p w14:paraId="7302414E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91.786%</w:t>
            </w:r>
          </w:p>
        </w:tc>
      </w:tr>
      <w:tr w:rsidR="008467B0" w14:paraId="0D7CDCF4" w14:textId="77777777">
        <w:trPr>
          <w:jc w:val="center"/>
        </w:trPr>
        <w:tc>
          <w:tcPr>
            <w:tcW w:w="1080" w:type="dxa"/>
            <w:vAlign w:val="center"/>
          </w:tcPr>
          <w:p w14:paraId="103E1870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30</w:t>
            </w:r>
          </w:p>
        </w:tc>
        <w:tc>
          <w:tcPr>
            <w:tcW w:w="1080" w:type="dxa"/>
            <w:vAlign w:val="center"/>
          </w:tcPr>
          <w:p w14:paraId="393C42C6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7</w:t>
            </w:r>
          </w:p>
        </w:tc>
        <w:tc>
          <w:tcPr>
            <w:tcW w:w="1080" w:type="dxa"/>
            <w:vAlign w:val="center"/>
          </w:tcPr>
          <w:p w14:paraId="57DA87B6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0.2333</w:t>
            </w:r>
          </w:p>
        </w:tc>
        <w:tc>
          <w:tcPr>
            <w:tcW w:w="1080" w:type="dxa"/>
            <w:vAlign w:val="center"/>
          </w:tcPr>
          <w:p w14:paraId="75952C8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0.0333</w:t>
            </w:r>
          </w:p>
        </w:tc>
        <w:tc>
          <w:tcPr>
            <w:tcW w:w="1080" w:type="dxa"/>
            <w:vAlign w:val="center"/>
          </w:tcPr>
          <w:p w14:paraId="76DA27F5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90.0000</w:t>
            </w:r>
          </w:p>
        </w:tc>
        <w:tc>
          <w:tcPr>
            <w:tcW w:w="1080" w:type="dxa"/>
            <w:vAlign w:val="center"/>
          </w:tcPr>
          <w:p w14:paraId="2A3BD805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0.4477</w:t>
            </w:r>
          </w:p>
        </w:tc>
        <w:tc>
          <w:tcPr>
            <w:tcW w:w="1080" w:type="dxa"/>
            <w:vAlign w:val="center"/>
          </w:tcPr>
          <w:p w14:paraId="54DAEE9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10.475</w:t>
            </w:r>
          </w:p>
        </w:tc>
        <w:tc>
          <w:tcPr>
            <w:tcW w:w="1080" w:type="dxa"/>
            <w:vAlign w:val="center"/>
          </w:tcPr>
          <w:p w14:paraId="6DFFE83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91.774%</w:t>
            </w:r>
          </w:p>
        </w:tc>
      </w:tr>
      <w:tr w:rsidR="008467B0" w14:paraId="34D4491C" w14:textId="77777777">
        <w:trPr>
          <w:jc w:val="center"/>
        </w:trPr>
        <w:tc>
          <w:tcPr>
            <w:tcW w:w="1080" w:type="dxa"/>
            <w:vAlign w:val="center"/>
          </w:tcPr>
          <w:p w14:paraId="0A353511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50</w:t>
            </w:r>
          </w:p>
        </w:tc>
        <w:tc>
          <w:tcPr>
            <w:tcW w:w="1080" w:type="dxa"/>
            <w:vAlign w:val="center"/>
          </w:tcPr>
          <w:p w14:paraId="36417809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13</w:t>
            </w:r>
          </w:p>
        </w:tc>
        <w:tc>
          <w:tcPr>
            <w:tcW w:w="1080" w:type="dxa"/>
            <w:vAlign w:val="center"/>
          </w:tcPr>
          <w:p w14:paraId="08A6C73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0.2600</w:t>
            </w:r>
          </w:p>
        </w:tc>
        <w:tc>
          <w:tcPr>
            <w:tcW w:w="1080" w:type="dxa"/>
            <w:vAlign w:val="center"/>
          </w:tcPr>
          <w:p w14:paraId="0135499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0.0200</w:t>
            </w:r>
          </w:p>
        </w:tc>
        <w:tc>
          <w:tcPr>
            <w:tcW w:w="1080" w:type="dxa"/>
            <w:vAlign w:val="center"/>
          </w:tcPr>
          <w:p w14:paraId="74542F8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150.0000</w:t>
            </w:r>
          </w:p>
        </w:tc>
        <w:tc>
          <w:tcPr>
            <w:tcW w:w="1080" w:type="dxa"/>
            <w:vAlign w:val="center"/>
          </w:tcPr>
          <w:p w14:paraId="5CB0C89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0.5314</w:t>
            </w:r>
          </w:p>
        </w:tc>
        <w:tc>
          <w:tcPr>
            <w:tcW w:w="1080" w:type="dxa"/>
            <w:vAlign w:val="center"/>
          </w:tcPr>
          <w:p w14:paraId="050CB0E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10.471</w:t>
            </w:r>
          </w:p>
        </w:tc>
        <w:tc>
          <w:tcPr>
            <w:tcW w:w="1080" w:type="dxa"/>
            <w:vAlign w:val="center"/>
          </w:tcPr>
          <w:p w14:paraId="52EBA2E0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91.767%</w:t>
            </w:r>
          </w:p>
        </w:tc>
      </w:tr>
    </w:tbl>
    <w:p w14:paraId="4F0599ED" w14:textId="77777777" w:rsidR="008467B0" w:rsidRDefault="00BF3579">
      <w:pPr>
        <w:spacing w:before="160" w:after="80" w:line="240" w:lineRule="auto"/>
        <w:jc w:val="center"/>
        <w:keepNext/>
      </w:pPr>
      <w:r>
        <w:rPr>
          <w:noProof/>
        </w:rPr>
        <w:drawing>
          <wp:inline distT="0" distB="0" distL="0" distR="0" wp14:anchorId="7BF559B0" wp14:editId="0E7EB239">
            <wp:extent cx="4709160" cy="17778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capacity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77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0260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4. </w:t>
      </w:r>
      <w:r>
        <w:rPr>
          <w:rFonts w:ascii="Times New Roman" w:hAnsi="Times New Roman" w:eastAsia="??" w:cs="Times New Roman" w:hint="eastAsia"/>
          <w:sz w:val="24"/>
          <w:szCs w:val="24"/>
        </w:rPr>
        <w:t>平凹腔与对称双凹腔的几何实现及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鲁棒分支比较。</w:t>
      </w:r>
    </w:p>
    <w:p w14:paraId="003AD839" w14:textId="77777777" w:rsidR="008467B0" w:rsidRDefault="00BF3579">
      <w:pPr>
        <w:spacing w:after="120" w:line="240" w:lineRule="auto"/>
        <w:jc w:val="center"/>
        <w:keepLines/>
      </w:pPr>
      <w:r>
        <w:rPr>
          <w:rFonts w:ascii="Times New Roman" w:hAnsi="Times New Roman" w:eastAsia="??" w:cs="Times New Roman" w:hint="eastAsia"/>
          <w:sz w:val="20"/>
          <w:szCs w:val="20"/>
        </w:rPr>
        <w:t xml:space="preserve">Fig. 4. Geometry realization and robust-branch comparison between plane-concave and symmetric double-concave cavities for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0"/>
          <w:szCs w:val="20"/>
        </w:rPr>
        <w:t>.</w:t>
      </w:r>
    </w:p>
    <w:p w14:paraId="6C85B0C9" w14:textId="77777777" w:rsidR="008467B0" w:rsidRDefault="00BF3579">
      <w:pPr>
        <w:spacing w:before="160" w:after="80" w:line="240" w:lineRule="auto"/>
        <w:jc w:val="center"/>
        <w:keepNext/>
      </w:pPr>
      <w:r>
        <w:rPr>
          <w:noProof/>
        </w:rPr>
        <w:drawing>
          <wp:inline distT="0" distB="0" distL="0" distR="0" wp14:anchorId="2D87DCCC" wp14:editId="502E3867">
            <wp:extent cx="4709160" cy="18654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oam_special_case_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86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040F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lastRenderedPageBreak/>
        <w:t>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5. </w:t>
      </w:r>
      <w:r>
        <w:rPr>
          <w:rFonts w:ascii="Times New Roman" w:hAnsi="Times New Roman" w:eastAsia="??" w:cs="Times New Roman" w:hint="eastAsia"/>
          <w:sz w:val="24"/>
          <w:szCs w:val="24"/>
        </w:rPr>
        <w:t>径向寄生分量与卫星峰来源。</w:t>
      </w:r>
    </w:p>
    <w:p w14:paraId="1694910A" w14:textId="77777777" w:rsidR="008467B0" w:rsidRDefault="00BF3579">
      <w:pPr>
        <w:spacing w:after="120" w:line="240" w:lineRule="auto"/>
        <w:jc w:val="center"/>
        <w:keepLines/>
      </w:pPr>
      <w:r>
        <w:rPr>
          <w:rFonts w:ascii="Times New Roman" w:hAnsi="Times New Roman" w:eastAsia="??" w:cs="Times New Roman" w:hint="eastAsia"/>
          <w:sz w:val="20"/>
          <w:szCs w:val="20"/>
        </w:rPr>
        <w:t>Fig. 5. Radial parasitic components and the origin of satellite peaks.</w:t>
      </w:r>
    </w:p>
    <w:p>
      <w:r>
        <w:br w:type="page"/>
      </w:r>
    </w:p>
    <w:p w14:paraId="5C8CDB1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参考文献</w:t>
      </w:r>
    </w:p>
    <w:p w14:paraId="22BDCC83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[1] Allen L, Beijersbergen M W, Spreeuw R J C, et al. Orbital angular momentum of light and the transformation of Laguerre-Gaussian laser modes[J]. Physical Review A, 1992, 45(11): 8185-8189.</w:t>
      </w:r>
    </w:p>
    <w:p w14:paraId="665B782F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[2] Shen Y, Wang X, Xie Z, et al. Optical vortices 30 years on: OAM manipulation from topological charge to multiple singularities[J]. Light: Science &amp; Applications, 2019, 8: 90.</w:t>
      </w:r>
    </w:p>
    <w:p w14:paraId="5E1E7E8F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[3] Gibson G, Courtial J, Padgett M J, et al. Free-space information transfer using light beams carrying orbital angular momentum[J]. Optics Express, 2004, 12(22): 5448-5456.</w:t>
      </w:r>
    </w:p>
    <w:p w14:paraId="52EA2BD5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[4] Wang J, Yang J Y, Fazal I M, et al. Terabit free-space data transmission employing orbital angular momentum multiplexing[J]. Nature Photonics, 2012, 6(7): 488-496.</w:t>
      </w:r>
    </w:p>
    <w:p w14:paraId="7CA07C31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[5] Bozinovic N, Yue Y, Ren Y, et al. Terabit-scale orbital angular momentum mode division multiplexing in fibers[J]. Science, 2013, 340(6140): 1545-1548.</w:t>
      </w:r>
    </w:p>
    <w:p w14:paraId="33C960A2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[6] Erhard M, Krenn M, Zeilinger A. Advances in high-dimensional quantum entanglement[J]. Nature Reviews Physics, 2020, 2(7): 365-381.</w:t>
      </w:r>
    </w:p>
    <w:p w14:paraId="4F8CF201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 xml:space="preserve">[7] </w:t>
      </w:r>
      <w:r>
        <w:rPr>
          <w:rFonts w:ascii="Times New Roman" w:hAnsi="Times New Roman" w:eastAsia="??" w:cs="Times New Roman" w:hint="eastAsia"/>
          <w:sz w:val="20"/>
          <w:szCs w:val="20"/>
        </w:rPr>
        <w:t>刘俊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, </w:t>
      </w:r>
      <w:r>
        <w:rPr>
          <w:rFonts w:ascii="Times New Roman" w:hAnsi="Times New Roman" w:eastAsia="??" w:cs="Times New Roman" w:hint="eastAsia"/>
          <w:sz w:val="20"/>
          <w:szCs w:val="20"/>
        </w:rPr>
        <w:t>王健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. </w:t>
      </w:r>
      <w:r>
        <w:rPr>
          <w:rFonts w:ascii="Times New Roman" w:hAnsi="Times New Roman" w:eastAsia="??" w:cs="Times New Roman" w:hint="eastAsia"/>
          <w:sz w:val="20"/>
          <w:szCs w:val="20"/>
        </w:rPr>
        <w:t>轨道角动量光信号处理研究进展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[J]. </w:t>
      </w:r>
      <w:r>
        <w:rPr>
          <w:rFonts w:ascii="Times New Roman" w:hAnsi="Times New Roman" w:eastAsia="??" w:cs="Times New Roman" w:hint="eastAsia"/>
          <w:sz w:val="20"/>
          <w:szCs w:val="20"/>
        </w:rPr>
        <w:t>通信学报</w:t>
      </w:r>
      <w:r>
        <w:rPr>
          <w:rFonts w:ascii="Times New Roman" w:hAnsi="Times New Roman" w:eastAsia="??" w:cs="Times New Roman" w:hint="eastAsia"/>
          <w:sz w:val="20"/>
          <w:szCs w:val="20"/>
        </w:rPr>
        <w:t>, 2021, 42(11): 217-232.</w:t>
      </w:r>
    </w:p>
    <w:p w14:paraId="6D2CF151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[8] Guo H, Liu N, Li Z, et al. Generation of continuous-variable high-dimensional entanglement with three degrees of freedom and multiplexing quantum dense coding[J]. Photonics Research, 2022, 10(12): 2828-2835.</w:t>
      </w:r>
    </w:p>
    <w:p w14:paraId="7032B246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[9] Leach J, Padgett M J, Barnett S M, et al. Measuring the orbital angular momentum of a single photon[J]. Physical Review Letters, 2002, 88(25): 257901.</w:t>
      </w:r>
    </w:p>
    <w:p w14:paraId="63EE1F63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[10] Berkhout G C G, Lavery M P J, Courtial J, et al. Efficient sorting of orbital angular momentum states of light[J]. Physical Review Letters, 2010, 105(15): 153601.</w:t>
      </w:r>
    </w:p>
    <w:p w14:paraId="413711D3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[11] Mirhosseini M, Malik M, Shi Z, et al. Efficient separation of the orbital angular momentum eigenstates of light[J]. Nature Communications, 2013, 4: 2781.</w:t>
      </w:r>
    </w:p>
    <w:p w14:paraId="78B3A4F7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[12] Labroille G, Denolle B, Jian P, et al. Efficient and mode selective spatial mode multiplexer based on multi-plane light conversion[J]. Optics Express, 2014, 22(13): 15599-15607.</w:t>
      </w:r>
    </w:p>
    <w:p w14:paraId="1ECC855A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[13] Fontaine N K, Ryf R, Chen H, et al. Laguerre-Gaussian mode sorter[J]. Nature Communications, 2019, 10: 1865.</w:t>
      </w:r>
    </w:p>
    <w:p w14:paraId="27249DA5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[14] Brandt F, Hiekkamaki M, Bouchard F, et al. High-dimensional quantum gates using full-field spatial modes of photons[J]. Optica, 2020, 7(2): 98-107.</w:t>
      </w:r>
    </w:p>
    <w:p w14:paraId="42C09583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[15] Kogelnik H, Li T. Laser beams and resonators[J]. Applied Optics, 1966, 5(10): 1550-1567.</w:t>
      </w:r>
    </w:p>
    <w:p w14:paraId="7134A2DF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[16] Siegman A E. Lasers[M]. Sausalito: University Science Books, 1986.</w:t>
      </w:r>
    </w:p>
    <w:p w14:paraId="0B592E84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 xml:space="preserve">[17] </w:t>
      </w:r>
      <w:r>
        <w:rPr>
          <w:rFonts w:ascii="Times New Roman" w:hAnsi="Times New Roman" w:eastAsia="??" w:cs="Times New Roman" w:hint="eastAsia"/>
          <w:sz w:val="20"/>
          <w:szCs w:val="20"/>
        </w:rPr>
        <w:t>张天才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, </w:t>
      </w:r>
      <w:r>
        <w:rPr>
          <w:rFonts w:ascii="Times New Roman" w:hAnsi="Times New Roman" w:eastAsia="??" w:cs="Times New Roman" w:hint="eastAsia"/>
          <w:sz w:val="20"/>
          <w:szCs w:val="20"/>
        </w:rPr>
        <w:t>毋伟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, </w:t>
      </w:r>
      <w:r>
        <w:rPr>
          <w:rFonts w:ascii="Times New Roman" w:hAnsi="Times New Roman" w:eastAsia="??" w:cs="Times New Roman" w:hint="eastAsia"/>
          <w:sz w:val="20"/>
          <w:szCs w:val="20"/>
        </w:rPr>
        <w:t>杨鹏飞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, </w:t>
      </w:r>
      <w:r>
        <w:rPr>
          <w:rFonts w:ascii="Times New Roman" w:hAnsi="Times New Roman" w:eastAsia="??" w:cs="Times New Roman" w:hint="eastAsia"/>
          <w:sz w:val="20"/>
          <w:szCs w:val="20"/>
        </w:rPr>
        <w:t>等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. </w:t>
      </w:r>
      <w:r>
        <w:rPr>
          <w:rFonts w:ascii="Times New Roman" w:hAnsi="Times New Roman" w:eastAsia="??" w:cs="Times New Roman" w:hint="eastAsia"/>
          <w:sz w:val="20"/>
          <w:szCs w:val="20"/>
        </w:rPr>
        <w:t>高精细度法布里</w:t>
      </w:r>
      <w:r>
        <w:rPr>
          <w:rFonts w:ascii="Times New Roman" w:hAnsi="Times New Roman" w:eastAsia="??" w:cs="Times New Roman" w:hint="eastAsia"/>
          <w:sz w:val="20"/>
          <w:szCs w:val="20"/>
        </w:rPr>
        <w:t>-</w:t>
      </w:r>
      <w:r>
        <w:rPr>
          <w:rFonts w:ascii="Times New Roman" w:hAnsi="Times New Roman" w:eastAsia="??" w:cs="Times New Roman" w:hint="eastAsia"/>
          <w:sz w:val="20"/>
          <w:szCs w:val="20"/>
        </w:rPr>
        <w:t>珀罗光学微腔及其在强耦合腔量子电动力学中的应用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[J]. </w:t>
      </w:r>
      <w:r>
        <w:rPr>
          <w:rFonts w:ascii="Times New Roman" w:hAnsi="Times New Roman" w:eastAsia="??" w:cs="Times New Roman" w:hint="eastAsia"/>
          <w:sz w:val="20"/>
          <w:szCs w:val="20"/>
        </w:rPr>
        <w:t>光学学报</w:t>
      </w:r>
      <w:r>
        <w:rPr>
          <w:rFonts w:ascii="Times New Roman" w:hAnsi="Times New Roman" w:eastAsia="??" w:cs="Times New Roman" w:hint="eastAsia"/>
          <w:sz w:val="20"/>
          <w:szCs w:val="20"/>
        </w:rPr>
        <w:t>, 2021, 41(1): 0127001.</w:t>
      </w:r>
    </w:p>
    <w:p w14:paraId="775A27D6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[18] Foster D H, Nöckel J U. Bragg-induced orbital-angular-momentum mixing in paraxial high-finesse cavities[J]. Optics Letters, 2004, 29(23): 2788-2790.</w:t>
      </w:r>
    </w:p>
    <w:p w14:paraId="58B72B2F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[19] Paul S, Lyubopytov V S, Schumann M F, et al. Wavelength-selective orbital-angular-momentum beam generation using MEMS tunable Fabry-Perot filter[J]. Optics Letters, 2016, 41(14): 3249-3252.</w:t>
      </w:r>
    </w:p>
    <w:p w14:paraId="0600A064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[20] Lyubopytov V S, Porfirev A P, Gurbatov S O, et al. Simultaneous wavelength and orbital angular momentum demultiplexing using tunable MEMS-based Fabry-Perot filter[J]. Optics Express, 2017, 25(9): 9634-9646.</w:t>
      </w:r>
    </w:p>
    <w:p w14:paraId="6115C889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[21] Wei S, Earl S K, Lin J, et al. Active sorting of orbital angular momentum states of light with a cascaded tunable resonator[J]. Light: Science &amp; Applications, 2020, 9: 10.</w:t>
      </w:r>
    </w:p>
    <w:p w14:paraId="1BBB100E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[22] Vanani F G, Fardoost A, Zhang Y, et al. Low-crosstalk mode-group demultiplexers based on Fabry-Perot thin-film filters[J]. Optics Express, 2022, 30(22): 39258-39268.</w:t>
      </w:r>
    </w:p>
    <w:p w14:paraId="7263AC38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[23] Yang Y F, Chen M Y, Li F P, et al. Scalable cyclic transformation of orbital angular momentum modes based on a nonreciprocal Mach-Zehnder interferometer[J]. Photonics Research, 2024, 12(10): 2249-2256.</w:t>
      </w:r>
    </w:p>
    <w:p>
      <w:r>
        <w:br w:type="page"/>
      </w:r>
    </w:p>
    <w:p w14:paraId="74D2D6F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英文摘要</w:t>
      </w:r>
    </w:p>
    <w:p w14:paraId="578D3D29" w14:textId="77777777" w:rsidR="008467B0" w:rsidRDefault="00BF3579">
      <w:pPr>
        <w:spacing w:after="240" w:line="300" w:lineRule="auto"/>
        <w:jc w:val="center"/>
        <w:keepNext/>
      </w:pPr>
      <w:r>
        <w:rPr>
          <w:rFonts w:ascii="Times New Roman" w:hAnsi="Times New Roman" w:eastAsia="??" w:cs="Times New Roman" w:hint="eastAsia"/>
          <w:sz w:val="28"/>
          <w:szCs w:val="28"/>
          <w:b/>
          <w:bCs/>
        </w:rPr>
        <w:t>Unified design framework and error mechanism for Laguerre-Gaussian mode sorting in stable two-mirror Fabry-Perot cavities</w:t>
      </w:r>
    </w:p>
    <w:p w14:paraId="607024BC" w14:textId="77777777" w:rsidR="008467B0" w:rsidRDefault="00BF3579">
      <w:pPr>
        <w:spacing w:after="120" w:line="300" w:lineRule="auto"/>
        <w:jc w:val="both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Abstract: Fabry-Perot (FP) cavities can perform mode-preserving spectral sorting of Laguerre-Gaussian (LG) modes through Gouy-phase-dependent resonances. In a stable isotropic FP cavity, the transverse resonance frequency is determined by the mode order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N=2p+|l|+1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so a single cavity responds to LG modes as groups with the same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. Using the effective normalized Gouy step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as the design parameter, this work gives a folded-spectrum method for stable two-mirror FP cavities and derives the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corresponding geometric back-substitution relations for plane-concave, symmetric double-concave, and general stable two-mirror cavities. For consecutive mode groups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={1,2,…,M}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the optimal arrangement is obtained at </w:t>
      </w:r>
      <m:oMath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=m/M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with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gcd(m,M)=1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giving the minimum circular spacing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. The hierarchy </w:t>
      </w:r>
      <w:r>
        <w:rPr>
          <w:rFonts w:ascii="Times New Roman" w:hAnsi="Times New Roman" w:eastAsia="??" w:cs="Times New Roman" w:hint="eastAsia"/>
          <w:sz w:val="24"/>
          <w:szCs w:val="24"/>
        </w:rPr>
        <w:lastRenderedPageBreak/>
        <w:t>of the spacing landscape is organized by the Farey-neighbor structure. A periodic Airy transmission function is then used to calculate finite-dimensional crosstalk sums and conditional p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robabilities, leading to the sorting efficiency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the crosstalk metric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and the capacity boundary. For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F=32.21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and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k=2/9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the theoretical calculation gives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=94.1166%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and an average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=12.0404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. A consecutive OAM sequence is a special case with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and a single sign of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. A single isotropic FP cavity does not distinguish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from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, and radial parasitic peaks in the measured spectrum can be expla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ined by degeneracy between modes with the same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.</w:t>
      </w:r>
    </w:p>
    <w:p w14:paraId="493E2E24" w14:textId="77777777" w:rsidR="008467B0" w:rsidRDefault="00BF3579">
      <w:pPr>
        <w:spacing w:after="120" w:line="300" w:lineRule="auto"/>
        <w:jc w:val="both"/>
      </w:pPr>
      <w:r>
        <w:rPr>
          <w:rFonts w:ascii="Times New Roman" w:hAnsi="Times New Roman" w:eastAsia="??" w:cs="Times New Roman" w:hint="eastAsia"/>
          <w:sz w:val="24"/>
          <w:szCs w:val="24"/>
        </w:rPr>
        <w:t>Keywords: Fabry-Perot cavity; Laguerre-Gaussian mode; Gouy phase; mode sorting; Airy transmission; radial parasitic mode</w:t>
      </w:r>
    </w:p>
    <w:sectPr w:rsidR="008467B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EC531" w14:textId="77777777" w:rsidR="00BF3579" w:rsidRDefault="00BF3579">
      <w:pPr>
        <w:spacing w:after="0" w:line="240" w:lineRule="auto"/>
      </w:pPr>
      <w:r>
        <w:separator/>
      </w:r>
    </w:p>
  </w:endnote>
  <w:endnote w:type="continuationSeparator" w:id="0">
    <w:p w14:paraId="0ED9F70D" w14:textId="77777777" w:rsidR="00BF3579" w:rsidRDefault="00BF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??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90DC7" w14:textId="77777777" w:rsidR="00BF3579" w:rsidRDefault="00BF3579">
      <w:r>
        <w:separator/>
      </w:r>
    </w:p>
  </w:footnote>
  <w:footnote w:type="continuationSeparator" w:id="0">
    <w:p w14:paraId="458243E4" w14:textId="77777777" w:rsidR="00BF3579" w:rsidRDefault="00BF3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DEF67B"/>
    <w:multiLevelType w:val="singleLevel"/>
    <w:tmpl w:val="B3DEF67B"/>
    <w:lvl w:ilvl="0">
      <w:start w:val="1"/>
      <w:numFmt w:val="decimal"/>
      <w:suff w:val="space"/>
      <w:lvlText w:val="[%1]"/>
      <w:lvlJc w:val="left"/>
      <w:pPr>
        <w:ind w:left="420" w:hanging="420"/>
      </w:pPr>
      <w:rPr>
        <w:rFonts w:hint="default"/>
      </w:rPr>
    </w:lvl>
  </w:abstractNum>
  <w:abstractNum w:abstractNumId="1" w15:restartNumberingAfterBreak="0">
    <w:nsid w:val="2C1AE401"/>
    <w:multiLevelType w:val="multilevel"/>
    <w:tmpl w:val="0C520C3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63F87493"/>
    <w:multiLevelType w:val="hybridMultilevel"/>
    <w:tmpl w:val="550E562A"/>
    <w:lvl w:ilvl="0" w:tplc="C46AC1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2332057">
    <w:abstractNumId w:val="1"/>
  </w:num>
  <w:num w:numId="2" w16cid:durableId="645160281">
    <w:abstractNumId w:val="2"/>
  </w:num>
  <w:num w:numId="3" w16cid:durableId="9374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4BC"/>
    <w:rsid w:val="00002AFA"/>
    <w:rsid w:val="00002B17"/>
    <w:rsid w:val="000053E3"/>
    <w:rsid w:val="0000576F"/>
    <w:rsid w:val="00005BE4"/>
    <w:rsid w:val="00007783"/>
    <w:rsid w:val="00010D02"/>
    <w:rsid w:val="00011C8B"/>
    <w:rsid w:val="00011D28"/>
    <w:rsid w:val="00012560"/>
    <w:rsid w:val="000157E7"/>
    <w:rsid w:val="00016BC5"/>
    <w:rsid w:val="000210B6"/>
    <w:rsid w:val="000217AE"/>
    <w:rsid w:val="00022A49"/>
    <w:rsid w:val="00025624"/>
    <w:rsid w:val="00025CD0"/>
    <w:rsid w:val="00026172"/>
    <w:rsid w:val="0003090A"/>
    <w:rsid w:val="000323B1"/>
    <w:rsid w:val="000336CB"/>
    <w:rsid w:val="000375F1"/>
    <w:rsid w:val="00040027"/>
    <w:rsid w:val="0004405D"/>
    <w:rsid w:val="00045794"/>
    <w:rsid w:val="000459A7"/>
    <w:rsid w:val="00045A31"/>
    <w:rsid w:val="00046D67"/>
    <w:rsid w:val="00046DAD"/>
    <w:rsid w:val="00053821"/>
    <w:rsid w:val="0005538F"/>
    <w:rsid w:val="0005565A"/>
    <w:rsid w:val="00055ACC"/>
    <w:rsid w:val="00055D75"/>
    <w:rsid w:val="000612DD"/>
    <w:rsid w:val="00061E90"/>
    <w:rsid w:val="0006380C"/>
    <w:rsid w:val="00064B86"/>
    <w:rsid w:val="00064E6A"/>
    <w:rsid w:val="00065719"/>
    <w:rsid w:val="00073932"/>
    <w:rsid w:val="0007532D"/>
    <w:rsid w:val="0007649B"/>
    <w:rsid w:val="000770BA"/>
    <w:rsid w:val="00077234"/>
    <w:rsid w:val="00077F11"/>
    <w:rsid w:val="00080187"/>
    <w:rsid w:val="00080D1A"/>
    <w:rsid w:val="00082596"/>
    <w:rsid w:val="000829B0"/>
    <w:rsid w:val="00083087"/>
    <w:rsid w:val="00084B4D"/>
    <w:rsid w:val="00084ED0"/>
    <w:rsid w:val="00085304"/>
    <w:rsid w:val="00086A81"/>
    <w:rsid w:val="00086E9C"/>
    <w:rsid w:val="0009056B"/>
    <w:rsid w:val="000912FC"/>
    <w:rsid w:val="000942EA"/>
    <w:rsid w:val="00094807"/>
    <w:rsid w:val="000959A9"/>
    <w:rsid w:val="00097B15"/>
    <w:rsid w:val="000A2055"/>
    <w:rsid w:val="000A353C"/>
    <w:rsid w:val="000A5BDB"/>
    <w:rsid w:val="000B09B4"/>
    <w:rsid w:val="000B0E47"/>
    <w:rsid w:val="000B1FDB"/>
    <w:rsid w:val="000B376F"/>
    <w:rsid w:val="000B5898"/>
    <w:rsid w:val="000B5DE7"/>
    <w:rsid w:val="000B7DC9"/>
    <w:rsid w:val="000C2A19"/>
    <w:rsid w:val="000C5B31"/>
    <w:rsid w:val="000C6CC6"/>
    <w:rsid w:val="000D0B77"/>
    <w:rsid w:val="000D3CA1"/>
    <w:rsid w:val="000D4985"/>
    <w:rsid w:val="000D4C26"/>
    <w:rsid w:val="000D4EF3"/>
    <w:rsid w:val="000D6457"/>
    <w:rsid w:val="000D6D07"/>
    <w:rsid w:val="000E3818"/>
    <w:rsid w:val="000E4921"/>
    <w:rsid w:val="000E59F3"/>
    <w:rsid w:val="000E5FA2"/>
    <w:rsid w:val="000E7773"/>
    <w:rsid w:val="000E7981"/>
    <w:rsid w:val="000F1890"/>
    <w:rsid w:val="000F212E"/>
    <w:rsid w:val="000F2548"/>
    <w:rsid w:val="000F2F6B"/>
    <w:rsid w:val="000F35AD"/>
    <w:rsid w:val="000F552F"/>
    <w:rsid w:val="00100654"/>
    <w:rsid w:val="00100A37"/>
    <w:rsid w:val="001013CF"/>
    <w:rsid w:val="00101D6B"/>
    <w:rsid w:val="00102870"/>
    <w:rsid w:val="00103024"/>
    <w:rsid w:val="0010366C"/>
    <w:rsid w:val="0010397A"/>
    <w:rsid w:val="001066B7"/>
    <w:rsid w:val="00106DB3"/>
    <w:rsid w:val="001077E0"/>
    <w:rsid w:val="0011042E"/>
    <w:rsid w:val="00114400"/>
    <w:rsid w:val="001149F6"/>
    <w:rsid w:val="00121782"/>
    <w:rsid w:val="00122BC3"/>
    <w:rsid w:val="00122F34"/>
    <w:rsid w:val="00122FE7"/>
    <w:rsid w:val="00123650"/>
    <w:rsid w:val="00123EE1"/>
    <w:rsid w:val="001260F8"/>
    <w:rsid w:val="00126349"/>
    <w:rsid w:val="001302F4"/>
    <w:rsid w:val="0013191F"/>
    <w:rsid w:val="00132225"/>
    <w:rsid w:val="00132F09"/>
    <w:rsid w:val="0013369E"/>
    <w:rsid w:val="001337F3"/>
    <w:rsid w:val="00133A5D"/>
    <w:rsid w:val="00133E8C"/>
    <w:rsid w:val="0013499C"/>
    <w:rsid w:val="00135038"/>
    <w:rsid w:val="00135B44"/>
    <w:rsid w:val="0013692A"/>
    <w:rsid w:val="00136FDD"/>
    <w:rsid w:val="001376AA"/>
    <w:rsid w:val="001402BD"/>
    <w:rsid w:val="00143A90"/>
    <w:rsid w:val="001471EB"/>
    <w:rsid w:val="001527F5"/>
    <w:rsid w:val="0015282A"/>
    <w:rsid w:val="00154B79"/>
    <w:rsid w:val="00156269"/>
    <w:rsid w:val="001609DF"/>
    <w:rsid w:val="00161025"/>
    <w:rsid w:val="00163AA0"/>
    <w:rsid w:val="00164745"/>
    <w:rsid w:val="00164FDC"/>
    <w:rsid w:val="00165286"/>
    <w:rsid w:val="00165B07"/>
    <w:rsid w:val="00166A5C"/>
    <w:rsid w:val="00172AF1"/>
    <w:rsid w:val="001735A7"/>
    <w:rsid w:val="0017455A"/>
    <w:rsid w:val="001774D1"/>
    <w:rsid w:val="00181729"/>
    <w:rsid w:val="00181E2F"/>
    <w:rsid w:val="001820D5"/>
    <w:rsid w:val="00182383"/>
    <w:rsid w:val="00184107"/>
    <w:rsid w:val="0018443D"/>
    <w:rsid w:val="001844A5"/>
    <w:rsid w:val="001847CD"/>
    <w:rsid w:val="001865C6"/>
    <w:rsid w:val="00186652"/>
    <w:rsid w:val="00186F14"/>
    <w:rsid w:val="00187C54"/>
    <w:rsid w:val="00190A31"/>
    <w:rsid w:val="001916A2"/>
    <w:rsid w:val="001918F8"/>
    <w:rsid w:val="001925B0"/>
    <w:rsid w:val="00192BF6"/>
    <w:rsid w:val="0019334E"/>
    <w:rsid w:val="001933AE"/>
    <w:rsid w:val="001937CF"/>
    <w:rsid w:val="00193C0C"/>
    <w:rsid w:val="00195B81"/>
    <w:rsid w:val="00195DD0"/>
    <w:rsid w:val="00196512"/>
    <w:rsid w:val="00197163"/>
    <w:rsid w:val="00197A6C"/>
    <w:rsid w:val="001A035D"/>
    <w:rsid w:val="001A062E"/>
    <w:rsid w:val="001A14A2"/>
    <w:rsid w:val="001A42A8"/>
    <w:rsid w:val="001A6690"/>
    <w:rsid w:val="001B0E94"/>
    <w:rsid w:val="001B1610"/>
    <w:rsid w:val="001B1C50"/>
    <w:rsid w:val="001B3F60"/>
    <w:rsid w:val="001B43F9"/>
    <w:rsid w:val="001B476B"/>
    <w:rsid w:val="001B509D"/>
    <w:rsid w:val="001B52B6"/>
    <w:rsid w:val="001B7BE6"/>
    <w:rsid w:val="001B7DCD"/>
    <w:rsid w:val="001C02E4"/>
    <w:rsid w:val="001C0475"/>
    <w:rsid w:val="001C0AC5"/>
    <w:rsid w:val="001C265C"/>
    <w:rsid w:val="001C269F"/>
    <w:rsid w:val="001C2A8E"/>
    <w:rsid w:val="001C41A4"/>
    <w:rsid w:val="001C5A5E"/>
    <w:rsid w:val="001C65ED"/>
    <w:rsid w:val="001D1288"/>
    <w:rsid w:val="001D197F"/>
    <w:rsid w:val="001D453C"/>
    <w:rsid w:val="001D4AA0"/>
    <w:rsid w:val="001D4CC6"/>
    <w:rsid w:val="001D77CD"/>
    <w:rsid w:val="001D7884"/>
    <w:rsid w:val="001D7A45"/>
    <w:rsid w:val="001E0C7F"/>
    <w:rsid w:val="001E34B1"/>
    <w:rsid w:val="001E3757"/>
    <w:rsid w:val="001E4F16"/>
    <w:rsid w:val="001E5803"/>
    <w:rsid w:val="001E5B6D"/>
    <w:rsid w:val="001F08CC"/>
    <w:rsid w:val="001F0CD2"/>
    <w:rsid w:val="001F0D8D"/>
    <w:rsid w:val="001F1072"/>
    <w:rsid w:val="001F1AA5"/>
    <w:rsid w:val="001F1BD0"/>
    <w:rsid w:val="001F346E"/>
    <w:rsid w:val="001F6292"/>
    <w:rsid w:val="001F6FC9"/>
    <w:rsid w:val="00200B6E"/>
    <w:rsid w:val="002013FF"/>
    <w:rsid w:val="00203044"/>
    <w:rsid w:val="00203654"/>
    <w:rsid w:val="002036F2"/>
    <w:rsid w:val="00203929"/>
    <w:rsid w:val="00203A3C"/>
    <w:rsid w:val="00204BEC"/>
    <w:rsid w:val="00205F19"/>
    <w:rsid w:val="00206C79"/>
    <w:rsid w:val="00207934"/>
    <w:rsid w:val="00207A14"/>
    <w:rsid w:val="00210428"/>
    <w:rsid w:val="002128E9"/>
    <w:rsid w:val="00212F40"/>
    <w:rsid w:val="002151BA"/>
    <w:rsid w:val="0021549E"/>
    <w:rsid w:val="002161F7"/>
    <w:rsid w:val="00216FDD"/>
    <w:rsid w:val="0022114D"/>
    <w:rsid w:val="00223B02"/>
    <w:rsid w:val="002250D8"/>
    <w:rsid w:val="002269DD"/>
    <w:rsid w:val="00226BE0"/>
    <w:rsid w:val="00227BE3"/>
    <w:rsid w:val="00227DA6"/>
    <w:rsid w:val="0023012D"/>
    <w:rsid w:val="0023190B"/>
    <w:rsid w:val="00232981"/>
    <w:rsid w:val="00233948"/>
    <w:rsid w:val="0023396B"/>
    <w:rsid w:val="002340F3"/>
    <w:rsid w:val="00235C83"/>
    <w:rsid w:val="0023634F"/>
    <w:rsid w:val="00236B20"/>
    <w:rsid w:val="0024160C"/>
    <w:rsid w:val="00241AD9"/>
    <w:rsid w:val="00241C56"/>
    <w:rsid w:val="0024298D"/>
    <w:rsid w:val="00244D81"/>
    <w:rsid w:val="002457DA"/>
    <w:rsid w:val="00245F1D"/>
    <w:rsid w:val="00251A36"/>
    <w:rsid w:val="002531B1"/>
    <w:rsid w:val="00253A92"/>
    <w:rsid w:val="002548B3"/>
    <w:rsid w:val="00254C81"/>
    <w:rsid w:val="002550D0"/>
    <w:rsid w:val="0025552A"/>
    <w:rsid w:val="0025749D"/>
    <w:rsid w:val="00264BD3"/>
    <w:rsid w:val="00266696"/>
    <w:rsid w:val="00270388"/>
    <w:rsid w:val="002716BE"/>
    <w:rsid w:val="00271D9C"/>
    <w:rsid w:val="00272692"/>
    <w:rsid w:val="00272D95"/>
    <w:rsid w:val="00272E4E"/>
    <w:rsid w:val="002735F7"/>
    <w:rsid w:val="00273EA1"/>
    <w:rsid w:val="00274A83"/>
    <w:rsid w:val="00276DBD"/>
    <w:rsid w:val="0027759D"/>
    <w:rsid w:val="002834EC"/>
    <w:rsid w:val="00284E17"/>
    <w:rsid w:val="0028517F"/>
    <w:rsid w:val="002854B9"/>
    <w:rsid w:val="00285B0C"/>
    <w:rsid w:val="00286F45"/>
    <w:rsid w:val="0029093B"/>
    <w:rsid w:val="00293F95"/>
    <w:rsid w:val="00294F0B"/>
    <w:rsid w:val="002A097D"/>
    <w:rsid w:val="002A2190"/>
    <w:rsid w:val="002A294B"/>
    <w:rsid w:val="002A44F1"/>
    <w:rsid w:val="002A455C"/>
    <w:rsid w:val="002A4D06"/>
    <w:rsid w:val="002A4E83"/>
    <w:rsid w:val="002A7E66"/>
    <w:rsid w:val="002B0BF1"/>
    <w:rsid w:val="002B1907"/>
    <w:rsid w:val="002B1CB3"/>
    <w:rsid w:val="002B22BD"/>
    <w:rsid w:val="002B251C"/>
    <w:rsid w:val="002B298F"/>
    <w:rsid w:val="002B6787"/>
    <w:rsid w:val="002C11C3"/>
    <w:rsid w:val="002C1274"/>
    <w:rsid w:val="002C2530"/>
    <w:rsid w:val="002C6695"/>
    <w:rsid w:val="002D03CB"/>
    <w:rsid w:val="002D16AC"/>
    <w:rsid w:val="002D1718"/>
    <w:rsid w:val="002D1EE9"/>
    <w:rsid w:val="002D28BE"/>
    <w:rsid w:val="002D2F9B"/>
    <w:rsid w:val="002D3951"/>
    <w:rsid w:val="002D408D"/>
    <w:rsid w:val="002D458B"/>
    <w:rsid w:val="002D55E4"/>
    <w:rsid w:val="002D5F6B"/>
    <w:rsid w:val="002D6453"/>
    <w:rsid w:val="002D6BAC"/>
    <w:rsid w:val="002D7C71"/>
    <w:rsid w:val="002E04DD"/>
    <w:rsid w:val="002E5D09"/>
    <w:rsid w:val="002E732F"/>
    <w:rsid w:val="002F2980"/>
    <w:rsid w:val="002F602A"/>
    <w:rsid w:val="002F75A5"/>
    <w:rsid w:val="00300237"/>
    <w:rsid w:val="00300790"/>
    <w:rsid w:val="00310CDA"/>
    <w:rsid w:val="0031466E"/>
    <w:rsid w:val="0031695F"/>
    <w:rsid w:val="00320A88"/>
    <w:rsid w:val="003219E3"/>
    <w:rsid w:val="00323498"/>
    <w:rsid w:val="00323F3B"/>
    <w:rsid w:val="00324B26"/>
    <w:rsid w:val="00325D53"/>
    <w:rsid w:val="00331C72"/>
    <w:rsid w:val="00331E58"/>
    <w:rsid w:val="0033406C"/>
    <w:rsid w:val="003359DA"/>
    <w:rsid w:val="00337FD3"/>
    <w:rsid w:val="00340774"/>
    <w:rsid w:val="003415FA"/>
    <w:rsid w:val="00342BFB"/>
    <w:rsid w:val="00346759"/>
    <w:rsid w:val="003471FE"/>
    <w:rsid w:val="003475CB"/>
    <w:rsid w:val="00354C9D"/>
    <w:rsid w:val="003555AD"/>
    <w:rsid w:val="003571BA"/>
    <w:rsid w:val="0036216B"/>
    <w:rsid w:val="003633E0"/>
    <w:rsid w:val="003636E8"/>
    <w:rsid w:val="003638BB"/>
    <w:rsid w:val="00364C7E"/>
    <w:rsid w:val="00365070"/>
    <w:rsid w:val="00366DBE"/>
    <w:rsid w:val="00366F6F"/>
    <w:rsid w:val="00367CE5"/>
    <w:rsid w:val="0037002B"/>
    <w:rsid w:val="003706FE"/>
    <w:rsid w:val="00370B8D"/>
    <w:rsid w:val="00370CED"/>
    <w:rsid w:val="00372485"/>
    <w:rsid w:val="00374FF4"/>
    <w:rsid w:val="0037564C"/>
    <w:rsid w:val="003758CA"/>
    <w:rsid w:val="00376358"/>
    <w:rsid w:val="00376A14"/>
    <w:rsid w:val="00376C08"/>
    <w:rsid w:val="00376EBD"/>
    <w:rsid w:val="003772E4"/>
    <w:rsid w:val="0037730A"/>
    <w:rsid w:val="00377430"/>
    <w:rsid w:val="00380F75"/>
    <w:rsid w:val="00382AA9"/>
    <w:rsid w:val="00382E7F"/>
    <w:rsid w:val="00382EE2"/>
    <w:rsid w:val="00383E05"/>
    <w:rsid w:val="00390D37"/>
    <w:rsid w:val="00391706"/>
    <w:rsid w:val="00393000"/>
    <w:rsid w:val="0039708A"/>
    <w:rsid w:val="003A08EA"/>
    <w:rsid w:val="003A0BB1"/>
    <w:rsid w:val="003A12D1"/>
    <w:rsid w:val="003A698C"/>
    <w:rsid w:val="003A6E33"/>
    <w:rsid w:val="003A7446"/>
    <w:rsid w:val="003B007D"/>
    <w:rsid w:val="003B0F02"/>
    <w:rsid w:val="003B1BD0"/>
    <w:rsid w:val="003B381C"/>
    <w:rsid w:val="003B3FF5"/>
    <w:rsid w:val="003B475B"/>
    <w:rsid w:val="003B4F20"/>
    <w:rsid w:val="003B606E"/>
    <w:rsid w:val="003B6314"/>
    <w:rsid w:val="003B6758"/>
    <w:rsid w:val="003B7301"/>
    <w:rsid w:val="003B7FED"/>
    <w:rsid w:val="003C00DA"/>
    <w:rsid w:val="003C1813"/>
    <w:rsid w:val="003C1ECE"/>
    <w:rsid w:val="003C42C1"/>
    <w:rsid w:val="003C57D7"/>
    <w:rsid w:val="003D0069"/>
    <w:rsid w:val="003D23E4"/>
    <w:rsid w:val="003D38F1"/>
    <w:rsid w:val="003D4668"/>
    <w:rsid w:val="003D56D3"/>
    <w:rsid w:val="003D58BC"/>
    <w:rsid w:val="003D61BD"/>
    <w:rsid w:val="003E1A9C"/>
    <w:rsid w:val="003E4A66"/>
    <w:rsid w:val="003E73EA"/>
    <w:rsid w:val="003E7A57"/>
    <w:rsid w:val="003F13B0"/>
    <w:rsid w:val="003F2173"/>
    <w:rsid w:val="003F2413"/>
    <w:rsid w:val="003F5D37"/>
    <w:rsid w:val="003F61AA"/>
    <w:rsid w:val="003F6F29"/>
    <w:rsid w:val="00400514"/>
    <w:rsid w:val="004015FD"/>
    <w:rsid w:val="00401FF2"/>
    <w:rsid w:val="00402F74"/>
    <w:rsid w:val="00403407"/>
    <w:rsid w:val="00404967"/>
    <w:rsid w:val="00404E6B"/>
    <w:rsid w:val="00407870"/>
    <w:rsid w:val="00410390"/>
    <w:rsid w:val="00410CFC"/>
    <w:rsid w:val="00414BDF"/>
    <w:rsid w:val="00416BED"/>
    <w:rsid w:val="00416CE1"/>
    <w:rsid w:val="00420515"/>
    <w:rsid w:val="00420A94"/>
    <w:rsid w:val="00420D35"/>
    <w:rsid w:val="00422B82"/>
    <w:rsid w:val="0042527C"/>
    <w:rsid w:val="004300B1"/>
    <w:rsid w:val="00430FF8"/>
    <w:rsid w:val="00435411"/>
    <w:rsid w:val="004374F7"/>
    <w:rsid w:val="00437873"/>
    <w:rsid w:val="00441554"/>
    <w:rsid w:val="00441C17"/>
    <w:rsid w:val="0044200C"/>
    <w:rsid w:val="00443B94"/>
    <w:rsid w:val="00443BFD"/>
    <w:rsid w:val="00445853"/>
    <w:rsid w:val="004468D7"/>
    <w:rsid w:val="00447F88"/>
    <w:rsid w:val="00450438"/>
    <w:rsid w:val="004511DE"/>
    <w:rsid w:val="00452B3A"/>
    <w:rsid w:val="00460665"/>
    <w:rsid w:val="004608AE"/>
    <w:rsid w:val="00460FBE"/>
    <w:rsid w:val="00461279"/>
    <w:rsid w:val="00463ACA"/>
    <w:rsid w:val="00463B0C"/>
    <w:rsid w:val="00464E7F"/>
    <w:rsid w:val="0046699C"/>
    <w:rsid w:val="00467C52"/>
    <w:rsid w:val="00470E3C"/>
    <w:rsid w:val="00471909"/>
    <w:rsid w:val="00471D3A"/>
    <w:rsid w:val="00475015"/>
    <w:rsid w:val="00475211"/>
    <w:rsid w:val="00476B25"/>
    <w:rsid w:val="00476CD1"/>
    <w:rsid w:val="00480630"/>
    <w:rsid w:val="00480C01"/>
    <w:rsid w:val="004818CF"/>
    <w:rsid w:val="00483B1B"/>
    <w:rsid w:val="004866C0"/>
    <w:rsid w:val="004873F0"/>
    <w:rsid w:val="00487B64"/>
    <w:rsid w:val="00487B72"/>
    <w:rsid w:val="00491A19"/>
    <w:rsid w:val="00493C05"/>
    <w:rsid w:val="00493E1B"/>
    <w:rsid w:val="00494C4E"/>
    <w:rsid w:val="00494CCE"/>
    <w:rsid w:val="004956B6"/>
    <w:rsid w:val="0049570E"/>
    <w:rsid w:val="004958F3"/>
    <w:rsid w:val="004959C1"/>
    <w:rsid w:val="004A3207"/>
    <w:rsid w:val="004A5E3C"/>
    <w:rsid w:val="004A6880"/>
    <w:rsid w:val="004A753E"/>
    <w:rsid w:val="004A7E0B"/>
    <w:rsid w:val="004B25C9"/>
    <w:rsid w:val="004B45FE"/>
    <w:rsid w:val="004B7525"/>
    <w:rsid w:val="004C0865"/>
    <w:rsid w:val="004C20B2"/>
    <w:rsid w:val="004C229F"/>
    <w:rsid w:val="004C35B9"/>
    <w:rsid w:val="004C5867"/>
    <w:rsid w:val="004C60FD"/>
    <w:rsid w:val="004C65BE"/>
    <w:rsid w:val="004D00D9"/>
    <w:rsid w:val="004D017D"/>
    <w:rsid w:val="004D021F"/>
    <w:rsid w:val="004D0BC3"/>
    <w:rsid w:val="004D188E"/>
    <w:rsid w:val="004D2CD2"/>
    <w:rsid w:val="004D329A"/>
    <w:rsid w:val="004D41A6"/>
    <w:rsid w:val="004D4972"/>
    <w:rsid w:val="004E00F5"/>
    <w:rsid w:val="004E07EF"/>
    <w:rsid w:val="004E29B3"/>
    <w:rsid w:val="004E3146"/>
    <w:rsid w:val="004E39B9"/>
    <w:rsid w:val="004E58E5"/>
    <w:rsid w:val="004E5AAF"/>
    <w:rsid w:val="004E5C65"/>
    <w:rsid w:val="004E6E0E"/>
    <w:rsid w:val="004E73C1"/>
    <w:rsid w:val="004F26BD"/>
    <w:rsid w:val="004F3E4F"/>
    <w:rsid w:val="004F43E3"/>
    <w:rsid w:val="004F4DCA"/>
    <w:rsid w:val="004F6226"/>
    <w:rsid w:val="004F6534"/>
    <w:rsid w:val="004F6836"/>
    <w:rsid w:val="004F7D56"/>
    <w:rsid w:val="00501116"/>
    <w:rsid w:val="00501888"/>
    <w:rsid w:val="00506D08"/>
    <w:rsid w:val="00507301"/>
    <w:rsid w:val="00507DDC"/>
    <w:rsid w:val="00510097"/>
    <w:rsid w:val="00510FFD"/>
    <w:rsid w:val="00511789"/>
    <w:rsid w:val="005130E1"/>
    <w:rsid w:val="00513633"/>
    <w:rsid w:val="00515205"/>
    <w:rsid w:val="0051597F"/>
    <w:rsid w:val="00516C5B"/>
    <w:rsid w:val="00516CD1"/>
    <w:rsid w:val="00517DDB"/>
    <w:rsid w:val="0052008C"/>
    <w:rsid w:val="00524E17"/>
    <w:rsid w:val="00525BE8"/>
    <w:rsid w:val="005261E9"/>
    <w:rsid w:val="00530284"/>
    <w:rsid w:val="00531998"/>
    <w:rsid w:val="00532842"/>
    <w:rsid w:val="00536ECB"/>
    <w:rsid w:val="0053736D"/>
    <w:rsid w:val="00537F70"/>
    <w:rsid w:val="00542275"/>
    <w:rsid w:val="00542718"/>
    <w:rsid w:val="005452E8"/>
    <w:rsid w:val="005454E8"/>
    <w:rsid w:val="00547645"/>
    <w:rsid w:val="00551424"/>
    <w:rsid w:val="005519FB"/>
    <w:rsid w:val="00552AFE"/>
    <w:rsid w:val="00554082"/>
    <w:rsid w:val="005557EF"/>
    <w:rsid w:val="005560B4"/>
    <w:rsid w:val="0055676F"/>
    <w:rsid w:val="00557321"/>
    <w:rsid w:val="005578AA"/>
    <w:rsid w:val="00557D98"/>
    <w:rsid w:val="005618EF"/>
    <w:rsid w:val="00566391"/>
    <w:rsid w:val="0057007A"/>
    <w:rsid w:val="00570D93"/>
    <w:rsid w:val="00573263"/>
    <w:rsid w:val="00582662"/>
    <w:rsid w:val="00582F66"/>
    <w:rsid w:val="00583527"/>
    <w:rsid w:val="00583BC7"/>
    <w:rsid w:val="005871FE"/>
    <w:rsid w:val="005873A6"/>
    <w:rsid w:val="00587646"/>
    <w:rsid w:val="00590D07"/>
    <w:rsid w:val="005914EB"/>
    <w:rsid w:val="00593602"/>
    <w:rsid w:val="00593F15"/>
    <w:rsid w:val="005946FB"/>
    <w:rsid w:val="00595AA5"/>
    <w:rsid w:val="00595CE8"/>
    <w:rsid w:val="0059600A"/>
    <w:rsid w:val="00596468"/>
    <w:rsid w:val="005A04F9"/>
    <w:rsid w:val="005A2587"/>
    <w:rsid w:val="005A2F74"/>
    <w:rsid w:val="005A3071"/>
    <w:rsid w:val="005A4C5F"/>
    <w:rsid w:val="005A57BB"/>
    <w:rsid w:val="005A68C4"/>
    <w:rsid w:val="005A7901"/>
    <w:rsid w:val="005B06B7"/>
    <w:rsid w:val="005B0D4C"/>
    <w:rsid w:val="005B3CE2"/>
    <w:rsid w:val="005B43DF"/>
    <w:rsid w:val="005B589C"/>
    <w:rsid w:val="005B5BB5"/>
    <w:rsid w:val="005B5D36"/>
    <w:rsid w:val="005B70EC"/>
    <w:rsid w:val="005B75B9"/>
    <w:rsid w:val="005B76D7"/>
    <w:rsid w:val="005C0C12"/>
    <w:rsid w:val="005C1CAA"/>
    <w:rsid w:val="005C1D8B"/>
    <w:rsid w:val="005C21E5"/>
    <w:rsid w:val="005C2268"/>
    <w:rsid w:val="005C32C0"/>
    <w:rsid w:val="005C4EC9"/>
    <w:rsid w:val="005C5570"/>
    <w:rsid w:val="005C6311"/>
    <w:rsid w:val="005D1FFC"/>
    <w:rsid w:val="005D2B4A"/>
    <w:rsid w:val="005D3D9A"/>
    <w:rsid w:val="005D4BAD"/>
    <w:rsid w:val="005D5019"/>
    <w:rsid w:val="005D5FE8"/>
    <w:rsid w:val="005D7C53"/>
    <w:rsid w:val="005E1CF8"/>
    <w:rsid w:val="005E2A81"/>
    <w:rsid w:val="005E2D83"/>
    <w:rsid w:val="005E300B"/>
    <w:rsid w:val="005E44B2"/>
    <w:rsid w:val="005E56EF"/>
    <w:rsid w:val="005E579F"/>
    <w:rsid w:val="005E59D4"/>
    <w:rsid w:val="005E5E49"/>
    <w:rsid w:val="005E69BA"/>
    <w:rsid w:val="005E7320"/>
    <w:rsid w:val="005F2B42"/>
    <w:rsid w:val="005F499F"/>
    <w:rsid w:val="005F4AE2"/>
    <w:rsid w:val="005F76D0"/>
    <w:rsid w:val="00600FB3"/>
    <w:rsid w:val="006025D0"/>
    <w:rsid w:val="00603161"/>
    <w:rsid w:val="00604876"/>
    <w:rsid w:val="00610AFE"/>
    <w:rsid w:val="00611E67"/>
    <w:rsid w:val="00612C75"/>
    <w:rsid w:val="00612E17"/>
    <w:rsid w:val="006131D6"/>
    <w:rsid w:val="00614252"/>
    <w:rsid w:val="0061477F"/>
    <w:rsid w:val="00615EC7"/>
    <w:rsid w:val="006161A9"/>
    <w:rsid w:val="00617B49"/>
    <w:rsid w:val="006213EA"/>
    <w:rsid w:val="00621A8C"/>
    <w:rsid w:val="00624495"/>
    <w:rsid w:val="006256DC"/>
    <w:rsid w:val="00626043"/>
    <w:rsid w:val="006261D2"/>
    <w:rsid w:val="00626879"/>
    <w:rsid w:val="006341B6"/>
    <w:rsid w:val="00636A91"/>
    <w:rsid w:val="00637A0C"/>
    <w:rsid w:val="00642750"/>
    <w:rsid w:val="00642958"/>
    <w:rsid w:val="0064304B"/>
    <w:rsid w:val="00643158"/>
    <w:rsid w:val="00644BF1"/>
    <w:rsid w:val="00644EA8"/>
    <w:rsid w:val="00645BCF"/>
    <w:rsid w:val="00645CDA"/>
    <w:rsid w:val="006465D1"/>
    <w:rsid w:val="006466C3"/>
    <w:rsid w:val="0065321A"/>
    <w:rsid w:val="00657222"/>
    <w:rsid w:val="0066233F"/>
    <w:rsid w:val="006636B9"/>
    <w:rsid w:val="006708D4"/>
    <w:rsid w:val="0067514B"/>
    <w:rsid w:val="00675CC8"/>
    <w:rsid w:val="00675E4B"/>
    <w:rsid w:val="006762F2"/>
    <w:rsid w:val="00676E73"/>
    <w:rsid w:val="006812A7"/>
    <w:rsid w:val="006823B2"/>
    <w:rsid w:val="00682666"/>
    <w:rsid w:val="006837C0"/>
    <w:rsid w:val="00683C85"/>
    <w:rsid w:val="00684CE3"/>
    <w:rsid w:val="00684F90"/>
    <w:rsid w:val="00686768"/>
    <w:rsid w:val="00686A9E"/>
    <w:rsid w:val="006876EA"/>
    <w:rsid w:val="0069012A"/>
    <w:rsid w:val="00692044"/>
    <w:rsid w:val="00692D62"/>
    <w:rsid w:val="006932EE"/>
    <w:rsid w:val="00694EF2"/>
    <w:rsid w:val="00697BEC"/>
    <w:rsid w:val="006A0100"/>
    <w:rsid w:val="006A0285"/>
    <w:rsid w:val="006A205B"/>
    <w:rsid w:val="006A28DA"/>
    <w:rsid w:val="006A47AF"/>
    <w:rsid w:val="006A5BB6"/>
    <w:rsid w:val="006A62EA"/>
    <w:rsid w:val="006A6399"/>
    <w:rsid w:val="006B0905"/>
    <w:rsid w:val="006B469F"/>
    <w:rsid w:val="006B4A41"/>
    <w:rsid w:val="006B4ABF"/>
    <w:rsid w:val="006B704A"/>
    <w:rsid w:val="006C0C36"/>
    <w:rsid w:val="006C25E7"/>
    <w:rsid w:val="006C2A14"/>
    <w:rsid w:val="006C2EF5"/>
    <w:rsid w:val="006C4480"/>
    <w:rsid w:val="006C7BC0"/>
    <w:rsid w:val="006D054E"/>
    <w:rsid w:val="006D2D5F"/>
    <w:rsid w:val="006D2EA8"/>
    <w:rsid w:val="006D3783"/>
    <w:rsid w:val="006D39B9"/>
    <w:rsid w:val="006D4C7F"/>
    <w:rsid w:val="006E0093"/>
    <w:rsid w:val="006E0336"/>
    <w:rsid w:val="006E04AB"/>
    <w:rsid w:val="006E1FFE"/>
    <w:rsid w:val="006E2BE1"/>
    <w:rsid w:val="006E33F6"/>
    <w:rsid w:val="006E34B4"/>
    <w:rsid w:val="006E458C"/>
    <w:rsid w:val="006E4F6F"/>
    <w:rsid w:val="006F0974"/>
    <w:rsid w:val="006F0BCF"/>
    <w:rsid w:val="006F0C35"/>
    <w:rsid w:val="006F10BF"/>
    <w:rsid w:val="006F2E2A"/>
    <w:rsid w:val="006F326A"/>
    <w:rsid w:val="006F47DE"/>
    <w:rsid w:val="006F578E"/>
    <w:rsid w:val="0070094E"/>
    <w:rsid w:val="00700CC1"/>
    <w:rsid w:val="00700CCB"/>
    <w:rsid w:val="00700F96"/>
    <w:rsid w:val="00702D68"/>
    <w:rsid w:val="00705CD1"/>
    <w:rsid w:val="00706A74"/>
    <w:rsid w:val="007072C5"/>
    <w:rsid w:val="00707F34"/>
    <w:rsid w:val="00710EF6"/>
    <w:rsid w:val="007120F4"/>
    <w:rsid w:val="0071234D"/>
    <w:rsid w:val="00712758"/>
    <w:rsid w:val="00714D72"/>
    <w:rsid w:val="00715B30"/>
    <w:rsid w:val="00720AB1"/>
    <w:rsid w:val="00722741"/>
    <w:rsid w:val="00723F46"/>
    <w:rsid w:val="00726EBA"/>
    <w:rsid w:val="00727268"/>
    <w:rsid w:val="00734193"/>
    <w:rsid w:val="00734280"/>
    <w:rsid w:val="007362B0"/>
    <w:rsid w:val="0073651F"/>
    <w:rsid w:val="00736E22"/>
    <w:rsid w:val="007377A1"/>
    <w:rsid w:val="0074033A"/>
    <w:rsid w:val="00742690"/>
    <w:rsid w:val="00745B12"/>
    <w:rsid w:val="0075059B"/>
    <w:rsid w:val="007517B2"/>
    <w:rsid w:val="00753478"/>
    <w:rsid w:val="007539A6"/>
    <w:rsid w:val="00755041"/>
    <w:rsid w:val="00755C1E"/>
    <w:rsid w:val="00756A2C"/>
    <w:rsid w:val="0076012E"/>
    <w:rsid w:val="007618EC"/>
    <w:rsid w:val="00761E56"/>
    <w:rsid w:val="00761E84"/>
    <w:rsid w:val="00763AFF"/>
    <w:rsid w:val="007643DB"/>
    <w:rsid w:val="00770D23"/>
    <w:rsid w:val="00774D7C"/>
    <w:rsid w:val="00781218"/>
    <w:rsid w:val="00782301"/>
    <w:rsid w:val="00784D58"/>
    <w:rsid w:val="00785060"/>
    <w:rsid w:val="0078526D"/>
    <w:rsid w:val="00786407"/>
    <w:rsid w:val="00786C02"/>
    <w:rsid w:val="0078793E"/>
    <w:rsid w:val="00790310"/>
    <w:rsid w:val="00791E24"/>
    <w:rsid w:val="0079229F"/>
    <w:rsid w:val="007928D2"/>
    <w:rsid w:val="00792FC5"/>
    <w:rsid w:val="00793A8B"/>
    <w:rsid w:val="00794441"/>
    <w:rsid w:val="0079459E"/>
    <w:rsid w:val="00794E9A"/>
    <w:rsid w:val="00795169"/>
    <w:rsid w:val="007956DB"/>
    <w:rsid w:val="00795F01"/>
    <w:rsid w:val="0079667E"/>
    <w:rsid w:val="0079695A"/>
    <w:rsid w:val="007A03CF"/>
    <w:rsid w:val="007A2890"/>
    <w:rsid w:val="007A2CEC"/>
    <w:rsid w:val="007B1436"/>
    <w:rsid w:val="007B2245"/>
    <w:rsid w:val="007B3673"/>
    <w:rsid w:val="007B4F51"/>
    <w:rsid w:val="007C110B"/>
    <w:rsid w:val="007C1C32"/>
    <w:rsid w:val="007C3960"/>
    <w:rsid w:val="007C68E6"/>
    <w:rsid w:val="007C76CE"/>
    <w:rsid w:val="007D55FA"/>
    <w:rsid w:val="007D57DE"/>
    <w:rsid w:val="007E1238"/>
    <w:rsid w:val="007E2D70"/>
    <w:rsid w:val="007E3E24"/>
    <w:rsid w:val="007E60A5"/>
    <w:rsid w:val="007E635F"/>
    <w:rsid w:val="007E6450"/>
    <w:rsid w:val="007E69D5"/>
    <w:rsid w:val="007F07B2"/>
    <w:rsid w:val="007F0E75"/>
    <w:rsid w:val="007F1394"/>
    <w:rsid w:val="007F2AA5"/>
    <w:rsid w:val="007F3F35"/>
    <w:rsid w:val="007F6E92"/>
    <w:rsid w:val="007F70D8"/>
    <w:rsid w:val="007F7350"/>
    <w:rsid w:val="007F7CFF"/>
    <w:rsid w:val="00800E29"/>
    <w:rsid w:val="00800F4A"/>
    <w:rsid w:val="0080215F"/>
    <w:rsid w:val="00802EB5"/>
    <w:rsid w:val="008101A1"/>
    <w:rsid w:val="00811021"/>
    <w:rsid w:val="00811042"/>
    <w:rsid w:val="0081268A"/>
    <w:rsid w:val="008142BA"/>
    <w:rsid w:val="008145DF"/>
    <w:rsid w:val="00823A8A"/>
    <w:rsid w:val="008251A7"/>
    <w:rsid w:val="008305F4"/>
    <w:rsid w:val="00830621"/>
    <w:rsid w:val="00831FFA"/>
    <w:rsid w:val="00836188"/>
    <w:rsid w:val="008406A4"/>
    <w:rsid w:val="00842559"/>
    <w:rsid w:val="00844760"/>
    <w:rsid w:val="00845E1A"/>
    <w:rsid w:val="008467B0"/>
    <w:rsid w:val="0085014B"/>
    <w:rsid w:val="00850900"/>
    <w:rsid w:val="00850956"/>
    <w:rsid w:val="00853C10"/>
    <w:rsid w:val="0085588F"/>
    <w:rsid w:val="00855F4D"/>
    <w:rsid w:val="008605F5"/>
    <w:rsid w:val="0086144A"/>
    <w:rsid w:val="00861822"/>
    <w:rsid w:val="00861DF2"/>
    <w:rsid w:val="008631EA"/>
    <w:rsid w:val="00863A3A"/>
    <w:rsid w:val="008661B9"/>
    <w:rsid w:val="00867E9C"/>
    <w:rsid w:val="00871DAE"/>
    <w:rsid w:val="00873971"/>
    <w:rsid w:val="00874B21"/>
    <w:rsid w:val="0087553B"/>
    <w:rsid w:val="008765CC"/>
    <w:rsid w:val="008766E0"/>
    <w:rsid w:val="0088015D"/>
    <w:rsid w:val="008801B6"/>
    <w:rsid w:val="0088495F"/>
    <w:rsid w:val="00884A11"/>
    <w:rsid w:val="00884BC2"/>
    <w:rsid w:val="00885DC4"/>
    <w:rsid w:val="00885E34"/>
    <w:rsid w:val="00886C68"/>
    <w:rsid w:val="00887831"/>
    <w:rsid w:val="0089054F"/>
    <w:rsid w:val="00891E9F"/>
    <w:rsid w:val="00892401"/>
    <w:rsid w:val="008928C1"/>
    <w:rsid w:val="00892CEF"/>
    <w:rsid w:val="00892FBE"/>
    <w:rsid w:val="008948A8"/>
    <w:rsid w:val="00894A5F"/>
    <w:rsid w:val="0089536D"/>
    <w:rsid w:val="00897609"/>
    <w:rsid w:val="008A47E2"/>
    <w:rsid w:val="008A540B"/>
    <w:rsid w:val="008B0C6F"/>
    <w:rsid w:val="008B1655"/>
    <w:rsid w:val="008B2ECD"/>
    <w:rsid w:val="008B3F13"/>
    <w:rsid w:val="008B4ABF"/>
    <w:rsid w:val="008B5BF7"/>
    <w:rsid w:val="008B6B11"/>
    <w:rsid w:val="008B75F2"/>
    <w:rsid w:val="008C403B"/>
    <w:rsid w:val="008C5EF1"/>
    <w:rsid w:val="008D08B9"/>
    <w:rsid w:val="008D08FE"/>
    <w:rsid w:val="008D0D26"/>
    <w:rsid w:val="008D336C"/>
    <w:rsid w:val="008D4FE9"/>
    <w:rsid w:val="008D6863"/>
    <w:rsid w:val="008D6A4D"/>
    <w:rsid w:val="008D7C03"/>
    <w:rsid w:val="008E1086"/>
    <w:rsid w:val="008E412E"/>
    <w:rsid w:val="008E472B"/>
    <w:rsid w:val="008E4D7A"/>
    <w:rsid w:val="008E6DE7"/>
    <w:rsid w:val="008F104E"/>
    <w:rsid w:val="008F2262"/>
    <w:rsid w:val="008F5FA2"/>
    <w:rsid w:val="008F7234"/>
    <w:rsid w:val="0090173A"/>
    <w:rsid w:val="009039EB"/>
    <w:rsid w:val="009056DF"/>
    <w:rsid w:val="00905E94"/>
    <w:rsid w:val="00906D40"/>
    <w:rsid w:val="00911682"/>
    <w:rsid w:val="009117C2"/>
    <w:rsid w:val="00911F9E"/>
    <w:rsid w:val="00912504"/>
    <w:rsid w:val="00912CEC"/>
    <w:rsid w:val="009136EB"/>
    <w:rsid w:val="00913D0B"/>
    <w:rsid w:val="009143C0"/>
    <w:rsid w:val="009148F5"/>
    <w:rsid w:val="0091640A"/>
    <w:rsid w:val="00916EEA"/>
    <w:rsid w:val="00920CC5"/>
    <w:rsid w:val="00920E6F"/>
    <w:rsid w:val="00920F85"/>
    <w:rsid w:val="0092257A"/>
    <w:rsid w:val="00924424"/>
    <w:rsid w:val="00925C2A"/>
    <w:rsid w:val="00925D07"/>
    <w:rsid w:val="009267EA"/>
    <w:rsid w:val="00932F5A"/>
    <w:rsid w:val="0093370A"/>
    <w:rsid w:val="0093637C"/>
    <w:rsid w:val="00936428"/>
    <w:rsid w:val="00940CBD"/>
    <w:rsid w:val="00945950"/>
    <w:rsid w:val="00946A22"/>
    <w:rsid w:val="00952FA4"/>
    <w:rsid w:val="009549BB"/>
    <w:rsid w:val="00954C1C"/>
    <w:rsid w:val="00957DC4"/>
    <w:rsid w:val="00960285"/>
    <w:rsid w:val="009621C5"/>
    <w:rsid w:val="00962E23"/>
    <w:rsid w:val="009641A5"/>
    <w:rsid w:val="009677C5"/>
    <w:rsid w:val="00970A67"/>
    <w:rsid w:val="0097175E"/>
    <w:rsid w:val="00972326"/>
    <w:rsid w:val="00972B5C"/>
    <w:rsid w:val="00972F4F"/>
    <w:rsid w:val="00973961"/>
    <w:rsid w:val="00975CF2"/>
    <w:rsid w:val="009763A2"/>
    <w:rsid w:val="009803C1"/>
    <w:rsid w:val="009810B7"/>
    <w:rsid w:val="0098150C"/>
    <w:rsid w:val="009821BA"/>
    <w:rsid w:val="00982D5A"/>
    <w:rsid w:val="009832E3"/>
    <w:rsid w:val="00983CDD"/>
    <w:rsid w:val="00983E94"/>
    <w:rsid w:val="00984AA5"/>
    <w:rsid w:val="00985498"/>
    <w:rsid w:val="00986579"/>
    <w:rsid w:val="00986CCC"/>
    <w:rsid w:val="00986F3E"/>
    <w:rsid w:val="00990015"/>
    <w:rsid w:val="009904F9"/>
    <w:rsid w:val="00990A66"/>
    <w:rsid w:val="0099271A"/>
    <w:rsid w:val="00992FD1"/>
    <w:rsid w:val="009954E3"/>
    <w:rsid w:val="009968FC"/>
    <w:rsid w:val="009A0B72"/>
    <w:rsid w:val="009A1F80"/>
    <w:rsid w:val="009A2802"/>
    <w:rsid w:val="009A3D20"/>
    <w:rsid w:val="009A4462"/>
    <w:rsid w:val="009A4BD0"/>
    <w:rsid w:val="009A4D19"/>
    <w:rsid w:val="009A4DD1"/>
    <w:rsid w:val="009A5E59"/>
    <w:rsid w:val="009A69EC"/>
    <w:rsid w:val="009B1302"/>
    <w:rsid w:val="009B2789"/>
    <w:rsid w:val="009B48BA"/>
    <w:rsid w:val="009B62BE"/>
    <w:rsid w:val="009C0560"/>
    <w:rsid w:val="009C1322"/>
    <w:rsid w:val="009C1B94"/>
    <w:rsid w:val="009C28DF"/>
    <w:rsid w:val="009C2E46"/>
    <w:rsid w:val="009C457F"/>
    <w:rsid w:val="009C4777"/>
    <w:rsid w:val="009C6C59"/>
    <w:rsid w:val="009C6C63"/>
    <w:rsid w:val="009C7944"/>
    <w:rsid w:val="009C7C01"/>
    <w:rsid w:val="009D1CD7"/>
    <w:rsid w:val="009D3890"/>
    <w:rsid w:val="009D473E"/>
    <w:rsid w:val="009D4D93"/>
    <w:rsid w:val="009D6471"/>
    <w:rsid w:val="009D78FC"/>
    <w:rsid w:val="009E052C"/>
    <w:rsid w:val="009E1865"/>
    <w:rsid w:val="009E291C"/>
    <w:rsid w:val="009E2A2A"/>
    <w:rsid w:val="009E3942"/>
    <w:rsid w:val="009E46B5"/>
    <w:rsid w:val="009E4D5C"/>
    <w:rsid w:val="009E61F6"/>
    <w:rsid w:val="009F0F02"/>
    <w:rsid w:val="009F2250"/>
    <w:rsid w:val="009F3E16"/>
    <w:rsid w:val="009F5F3C"/>
    <w:rsid w:val="00A000E7"/>
    <w:rsid w:val="00A00144"/>
    <w:rsid w:val="00A00BF8"/>
    <w:rsid w:val="00A00CC9"/>
    <w:rsid w:val="00A01881"/>
    <w:rsid w:val="00A01ED2"/>
    <w:rsid w:val="00A01EF0"/>
    <w:rsid w:val="00A0487F"/>
    <w:rsid w:val="00A06048"/>
    <w:rsid w:val="00A10466"/>
    <w:rsid w:val="00A10BA9"/>
    <w:rsid w:val="00A11697"/>
    <w:rsid w:val="00A11E70"/>
    <w:rsid w:val="00A13479"/>
    <w:rsid w:val="00A15531"/>
    <w:rsid w:val="00A160DA"/>
    <w:rsid w:val="00A2064F"/>
    <w:rsid w:val="00A21A52"/>
    <w:rsid w:val="00A224DA"/>
    <w:rsid w:val="00A22CA0"/>
    <w:rsid w:val="00A24C6D"/>
    <w:rsid w:val="00A26876"/>
    <w:rsid w:val="00A26CEC"/>
    <w:rsid w:val="00A27C60"/>
    <w:rsid w:val="00A30492"/>
    <w:rsid w:val="00A31540"/>
    <w:rsid w:val="00A31FE5"/>
    <w:rsid w:val="00A343F8"/>
    <w:rsid w:val="00A35B84"/>
    <w:rsid w:val="00A35CBB"/>
    <w:rsid w:val="00A35DA3"/>
    <w:rsid w:val="00A360F1"/>
    <w:rsid w:val="00A365F6"/>
    <w:rsid w:val="00A37531"/>
    <w:rsid w:val="00A37ABF"/>
    <w:rsid w:val="00A40D82"/>
    <w:rsid w:val="00A4118F"/>
    <w:rsid w:val="00A41642"/>
    <w:rsid w:val="00A41F2E"/>
    <w:rsid w:val="00A42162"/>
    <w:rsid w:val="00A423E8"/>
    <w:rsid w:val="00A432A9"/>
    <w:rsid w:val="00A4364F"/>
    <w:rsid w:val="00A4372D"/>
    <w:rsid w:val="00A44448"/>
    <w:rsid w:val="00A44DE2"/>
    <w:rsid w:val="00A45D6F"/>
    <w:rsid w:val="00A47C42"/>
    <w:rsid w:val="00A5064D"/>
    <w:rsid w:val="00A537AC"/>
    <w:rsid w:val="00A53B27"/>
    <w:rsid w:val="00A5587E"/>
    <w:rsid w:val="00A56FED"/>
    <w:rsid w:val="00A57B59"/>
    <w:rsid w:val="00A6069E"/>
    <w:rsid w:val="00A61631"/>
    <w:rsid w:val="00A64B45"/>
    <w:rsid w:val="00A70DD9"/>
    <w:rsid w:val="00A73ABB"/>
    <w:rsid w:val="00A748D6"/>
    <w:rsid w:val="00A752D0"/>
    <w:rsid w:val="00A75924"/>
    <w:rsid w:val="00A775C8"/>
    <w:rsid w:val="00A81EBB"/>
    <w:rsid w:val="00A82631"/>
    <w:rsid w:val="00A83518"/>
    <w:rsid w:val="00A83BB9"/>
    <w:rsid w:val="00A84322"/>
    <w:rsid w:val="00A8467F"/>
    <w:rsid w:val="00A870DE"/>
    <w:rsid w:val="00A87254"/>
    <w:rsid w:val="00A87590"/>
    <w:rsid w:val="00A9048E"/>
    <w:rsid w:val="00A90619"/>
    <w:rsid w:val="00A90B80"/>
    <w:rsid w:val="00A9227D"/>
    <w:rsid w:val="00A92534"/>
    <w:rsid w:val="00A946DB"/>
    <w:rsid w:val="00A96681"/>
    <w:rsid w:val="00AA0987"/>
    <w:rsid w:val="00AA2834"/>
    <w:rsid w:val="00AA2A86"/>
    <w:rsid w:val="00AA2F66"/>
    <w:rsid w:val="00AA56C1"/>
    <w:rsid w:val="00AA631E"/>
    <w:rsid w:val="00AB076A"/>
    <w:rsid w:val="00AB1D16"/>
    <w:rsid w:val="00AB1F03"/>
    <w:rsid w:val="00AB20A7"/>
    <w:rsid w:val="00AB52B6"/>
    <w:rsid w:val="00AC0187"/>
    <w:rsid w:val="00AC05A5"/>
    <w:rsid w:val="00AC0FAF"/>
    <w:rsid w:val="00AC3D0E"/>
    <w:rsid w:val="00AC3FA9"/>
    <w:rsid w:val="00AC4164"/>
    <w:rsid w:val="00AC44FC"/>
    <w:rsid w:val="00AC46FF"/>
    <w:rsid w:val="00AC4CE3"/>
    <w:rsid w:val="00AC618D"/>
    <w:rsid w:val="00AC72CB"/>
    <w:rsid w:val="00AD1BF2"/>
    <w:rsid w:val="00AD466D"/>
    <w:rsid w:val="00AD6DAC"/>
    <w:rsid w:val="00AE082F"/>
    <w:rsid w:val="00AE0FBA"/>
    <w:rsid w:val="00AE162B"/>
    <w:rsid w:val="00AE1A40"/>
    <w:rsid w:val="00AE1F24"/>
    <w:rsid w:val="00AE239E"/>
    <w:rsid w:val="00AE3012"/>
    <w:rsid w:val="00AE41D0"/>
    <w:rsid w:val="00AE62EC"/>
    <w:rsid w:val="00AE6954"/>
    <w:rsid w:val="00AF0F6A"/>
    <w:rsid w:val="00AF1B61"/>
    <w:rsid w:val="00AF1FEF"/>
    <w:rsid w:val="00AF2800"/>
    <w:rsid w:val="00AF3A5E"/>
    <w:rsid w:val="00AF596C"/>
    <w:rsid w:val="00AF68C5"/>
    <w:rsid w:val="00AF79AF"/>
    <w:rsid w:val="00B00CE2"/>
    <w:rsid w:val="00B0479F"/>
    <w:rsid w:val="00B053E8"/>
    <w:rsid w:val="00B0774C"/>
    <w:rsid w:val="00B10711"/>
    <w:rsid w:val="00B109AC"/>
    <w:rsid w:val="00B13067"/>
    <w:rsid w:val="00B13681"/>
    <w:rsid w:val="00B13BEB"/>
    <w:rsid w:val="00B14694"/>
    <w:rsid w:val="00B14CEA"/>
    <w:rsid w:val="00B21277"/>
    <w:rsid w:val="00B22596"/>
    <w:rsid w:val="00B232AC"/>
    <w:rsid w:val="00B234B8"/>
    <w:rsid w:val="00B2368C"/>
    <w:rsid w:val="00B2635D"/>
    <w:rsid w:val="00B26788"/>
    <w:rsid w:val="00B267C2"/>
    <w:rsid w:val="00B26836"/>
    <w:rsid w:val="00B27203"/>
    <w:rsid w:val="00B27505"/>
    <w:rsid w:val="00B2774A"/>
    <w:rsid w:val="00B31453"/>
    <w:rsid w:val="00B31F88"/>
    <w:rsid w:val="00B32538"/>
    <w:rsid w:val="00B32A11"/>
    <w:rsid w:val="00B34252"/>
    <w:rsid w:val="00B362FD"/>
    <w:rsid w:val="00B3693F"/>
    <w:rsid w:val="00B3715E"/>
    <w:rsid w:val="00B41F6E"/>
    <w:rsid w:val="00B42896"/>
    <w:rsid w:val="00B43D67"/>
    <w:rsid w:val="00B44860"/>
    <w:rsid w:val="00B45CC8"/>
    <w:rsid w:val="00B4601D"/>
    <w:rsid w:val="00B503BF"/>
    <w:rsid w:val="00B522D8"/>
    <w:rsid w:val="00B53EAB"/>
    <w:rsid w:val="00B57F68"/>
    <w:rsid w:val="00B61A00"/>
    <w:rsid w:val="00B625B8"/>
    <w:rsid w:val="00B6468C"/>
    <w:rsid w:val="00B64FF4"/>
    <w:rsid w:val="00B66D33"/>
    <w:rsid w:val="00B66E91"/>
    <w:rsid w:val="00B72405"/>
    <w:rsid w:val="00B72AE9"/>
    <w:rsid w:val="00B734B7"/>
    <w:rsid w:val="00B75B15"/>
    <w:rsid w:val="00B75FCB"/>
    <w:rsid w:val="00B778B3"/>
    <w:rsid w:val="00B8052A"/>
    <w:rsid w:val="00B813AF"/>
    <w:rsid w:val="00B81A24"/>
    <w:rsid w:val="00B81C5C"/>
    <w:rsid w:val="00B8407C"/>
    <w:rsid w:val="00B85D95"/>
    <w:rsid w:val="00B86504"/>
    <w:rsid w:val="00B86B75"/>
    <w:rsid w:val="00B909BD"/>
    <w:rsid w:val="00B91E39"/>
    <w:rsid w:val="00B9314B"/>
    <w:rsid w:val="00B93495"/>
    <w:rsid w:val="00B939CB"/>
    <w:rsid w:val="00B9405E"/>
    <w:rsid w:val="00B9464F"/>
    <w:rsid w:val="00B96368"/>
    <w:rsid w:val="00B97929"/>
    <w:rsid w:val="00BA0DDA"/>
    <w:rsid w:val="00BA1854"/>
    <w:rsid w:val="00BA1C9F"/>
    <w:rsid w:val="00BA4847"/>
    <w:rsid w:val="00BA5BA8"/>
    <w:rsid w:val="00BA703F"/>
    <w:rsid w:val="00BA78C2"/>
    <w:rsid w:val="00BB08BF"/>
    <w:rsid w:val="00BB1342"/>
    <w:rsid w:val="00BB20DB"/>
    <w:rsid w:val="00BB3EDE"/>
    <w:rsid w:val="00BB52A5"/>
    <w:rsid w:val="00BC09F7"/>
    <w:rsid w:val="00BC1A24"/>
    <w:rsid w:val="00BC205E"/>
    <w:rsid w:val="00BC277E"/>
    <w:rsid w:val="00BC2790"/>
    <w:rsid w:val="00BC3987"/>
    <w:rsid w:val="00BC48D5"/>
    <w:rsid w:val="00BC4F1A"/>
    <w:rsid w:val="00BC5C0A"/>
    <w:rsid w:val="00BC7082"/>
    <w:rsid w:val="00BD1666"/>
    <w:rsid w:val="00BD4109"/>
    <w:rsid w:val="00BD4D1D"/>
    <w:rsid w:val="00BD5E17"/>
    <w:rsid w:val="00BD64B4"/>
    <w:rsid w:val="00BE0814"/>
    <w:rsid w:val="00BE19E6"/>
    <w:rsid w:val="00BE2EF2"/>
    <w:rsid w:val="00BE4738"/>
    <w:rsid w:val="00BE79C5"/>
    <w:rsid w:val="00BF3579"/>
    <w:rsid w:val="00BF3B8E"/>
    <w:rsid w:val="00BF49A2"/>
    <w:rsid w:val="00BF594A"/>
    <w:rsid w:val="00BF5EC9"/>
    <w:rsid w:val="00C01B5E"/>
    <w:rsid w:val="00C024D1"/>
    <w:rsid w:val="00C02568"/>
    <w:rsid w:val="00C03D65"/>
    <w:rsid w:val="00C05353"/>
    <w:rsid w:val="00C05C5E"/>
    <w:rsid w:val="00C05F9C"/>
    <w:rsid w:val="00C064C7"/>
    <w:rsid w:val="00C06D31"/>
    <w:rsid w:val="00C07EB8"/>
    <w:rsid w:val="00C10C14"/>
    <w:rsid w:val="00C11AE4"/>
    <w:rsid w:val="00C12451"/>
    <w:rsid w:val="00C12497"/>
    <w:rsid w:val="00C13C4C"/>
    <w:rsid w:val="00C1723A"/>
    <w:rsid w:val="00C172EA"/>
    <w:rsid w:val="00C200CC"/>
    <w:rsid w:val="00C21D73"/>
    <w:rsid w:val="00C2450F"/>
    <w:rsid w:val="00C24D85"/>
    <w:rsid w:val="00C25FE8"/>
    <w:rsid w:val="00C2646C"/>
    <w:rsid w:val="00C27DD4"/>
    <w:rsid w:val="00C31B45"/>
    <w:rsid w:val="00C34B75"/>
    <w:rsid w:val="00C34D9E"/>
    <w:rsid w:val="00C36279"/>
    <w:rsid w:val="00C40148"/>
    <w:rsid w:val="00C421EE"/>
    <w:rsid w:val="00C43CFB"/>
    <w:rsid w:val="00C4411C"/>
    <w:rsid w:val="00C44151"/>
    <w:rsid w:val="00C44D5A"/>
    <w:rsid w:val="00C458BB"/>
    <w:rsid w:val="00C45B71"/>
    <w:rsid w:val="00C45CEB"/>
    <w:rsid w:val="00C45D56"/>
    <w:rsid w:val="00C47E35"/>
    <w:rsid w:val="00C508B8"/>
    <w:rsid w:val="00C510E6"/>
    <w:rsid w:val="00C51BC7"/>
    <w:rsid w:val="00C52658"/>
    <w:rsid w:val="00C56109"/>
    <w:rsid w:val="00C5650B"/>
    <w:rsid w:val="00C565F6"/>
    <w:rsid w:val="00C5700E"/>
    <w:rsid w:val="00C6000A"/>
    <w:rsid w:val="00C60678"/>
    <w:rsid w:val="00C6104E"/>
    <w:rsid w:val="00C61B70"/>
    <w:rsid w:val="00C628BF"/>
    <w:rsid w:val="00C639EA"/>
    <w:rsid w:val="00C63DEF"/>
    <w:rsid w:val="00C6467A"/>
    <w:rsid w:val="00C66255"/>
    <w:rsid w:val="00C669FE"/>
    <w:rsid w:val="00C66EC9"/>
    <w:rsid w:val="00C71A96"/>
    <w:rsid w:val="00C71AA4"/>
    <w:rsid w:val="00C739D1"/>
    <w:rsid w:val="00C74579"/>
    <w:rsid w:val="00C749B4"/>
    <w:rsid w:val="00C750B6"/>
    <w:rsid w:val="00C7561F"/>
    <w:rsid w:val="00C75C93"/>
    <w:rsid w:val="00C75F2A"/>
    <w:rsid w:val="00C80B15"/>
    <w:rsid w:val="00C825CD"/>
    <w:rsid w:val="00C90E41"/>
    <w:rsid w:val="00C91911"/>
    <w:rsid w:val="00C94AFA"/>
    <w:rsid w:val="00C94BEB"/>
    <w:rsid w:val="00C9663F"/>
    <w:rsid w:val="00CA09E6"/>
    <w:rsid w:val="00CA287C"/>
    <w:rsid w:val="00CA3151"/>
    <w:rsid w:val="00CA3CC7"/>
    <w:rsid w:val="00CA3DD1"/>
    <w:rsid w:val="00CA452B"/>
    <w:rsid w:val="00CA456B"/>
    <w:rsid w:val="00CA4837"/>
    <w:rsid w:val="00CA7249"/>
    <w:rsid w:val="00CA751C"/>
    <w:rsid w:val="00CB4529"/>
    <w:rsid w:val="00CC093A"/>
    <w:rsid w:val="00CC1779"/>
    <w:rsid w:val="00CC2F99"/>
    <w:rsid w:val="00CC3BCD"/>
    <w:rsid w:val="00CC50C5"/>
    <w:rsid w:val="00CC5106"/>
    <w:rsid w:val="00CC5380"/>
    <w:rsid w:val="00CC53D9"/>
    <w:rsid w:val="00CC6F0E"/>
    <w:rsid w:val="00CD0675"/>
    <w:rsid w:val="00CD5C58"/>
    <w:rsid w:val="00CD6517"/>
    <w:rsid w:val="00CE12C1"/>
    <w:rsid w:val="00CE15D0"/>
    <w:rsid w:val="00CE235E"/>
    <w:rsid w:val="00CE4CAA"/>
    <w:rsid w:val="00CE5A1E"/>
    <w:rsid w:val="00CE7241"/>
    <w:rsid w:val="00CE7336"/>
    <w:rsid w:val="00CF103A"/>
    <w:rsid w:val="00CF2AB5"/>
    <w:rsid w:val="00CF3956"/>
    <w:rsid w:val="00CF42F2"/>
    <w:rsid w:val="00CF4E9D"/>
    <w:rsid w:val="00CF6493"/>
    <w:rsid w:val="00CF6AD7"/>
    <w:rsid w:val="00CF71E0"/>
    <w:rsid w:val="00CF741B"/>
    <w:rsid w:val="00D0076E"/>
    <w:rsid w:val="00D00BA7"/>
    <w:rsid w:val="00D015B2"/>
    <w:rsid w:val="00D042D7"/>
    <w:rsid w:val="00D0485C"/>
    <w:rsid w:val="00D04CC5"/>
    <w:rsid w:val="00D05E0D"/>
    <w:rsid w:val="00D104E3"/>
    <w:rsid w:val="00D11B34"/>
    <w:rsid w:val="00D12CDA"/>
    <w:rsid w:val="00D15B7E"/>
    <w:rsid w:val="00D17556"/>
    <w:rsid w:val="00D21889"/>
    <w:rsid w:val="00D24372"/>
    <w:rsid w:val="00D266F4"/>
    <w:rsid w:val="00D270D5"/>
    <w:rsid w:val="00D3009B"/>
    <w:rsid w:val="00D32C92"/>
    <w:rsid w:val="00D33BC3"/>
    <w:rsid w:val="00D37D73"/>
    <w:rsid w:val="00D41CEA"/>
    <w:rsid w:val="00D42DDF"/>
    <w:rsid w:val="00D4620C"/>
    <w:rsid w:val="00D471B0"/>
    <w:rsid w:val="00D50C47"/>
    <w:rsid w:val="00D51850"/>
    <w:rsid w:val="00D521AE"/>
    <w:rsid w:val="00D52551"/>
    <w:rsid w:val="00D52BFC"/>
    <w:rsid w:val="00D52CFF"/>
    <w:rsid w:val="00D54CF9"/>
    <w:rsid w:val="00D55217"/>
    <w:rsid w:val="00D55396"/>
    <w:rsid w:val="00D5548E"/>
    <w:rsid w:val="00D61B50"/>
    <w:rsid w:val="00D61D09"/>
    <w:rsid w:val="00D6266C"/>
    <w:rsid w:val="00D62982"/>
    <w:rsid w:val="00D64782"/>
    <w:rsid w:val="00D655F9"/>
    <w:rsid w:val="00D707D0"/>
    <w:rsid w:val="00D716BE"/>
    <w:rsid w:val="00D734B4"/>
    <w:rsid w:val="00D73666"/>
    <w:rsid w:val="00D73945"/>
    <w:rsid w:val="00D764BF"/>
    <w:rsid w:val="00D76520"/>
    <w:rsid w:val="00D77F2E"/>
    <w:rsid w:val="00D80859"/>
    <w:rsid w:val="00D8101C"/>
    <w:rsid w:val="00D810BA"/>
    <w:rsid w:val="00D82D72"/>
    <w:rsid w:val="00D8618F"/>
    <w:rsid w:val="00D86D8D"/>
    <w:rsid w:val="00D92C07"/>
    <w:rsid w:val="00D930DF"/>
    <w:rsid w:val="00D933B1"/>
    <w:rsid w:val="00D945CA"/>
    <w:rsid w:val="00D957CD"/>
    <w:rsid w:val="00D957CE"/>
    <w:rsid w:val="00DA2051"/>
    <w:rsid w:val="00DA2B46"/>
    <w:rsid w:val="00DA45B5"/>
    <w:rsid w:val="00DA5C7F"/>
    <w:rsid w:val="00DA6353"/>
    <w:rsid w:val="00DB1EB7"/>
    <w:rsid w:val="00DB22D1"/>
    <w:rsid w:val="00DB3730"/>
    <w:rsid w:val="00DB4C00"/>
    <w:rsid w:val="00DB63D9"/>
    <w:rsid w:val="00DB7340"/>
    <w:rsid w:val="00DC070C"/>
    <w:rsid w:val="00DC25CA"/>
    <w:rsid w:val="00DC454F"/>
    <w:rsid w:val="00DC60F6"/>
    <w:rsid w:val="00DC7514"/>
    <w:rsid w:val="00DC7CC9"/>
    <w:rsid w:val="00DD2EA9"/>
    <w:rsid w:val="00DD33DE"/>
    <w:rsid w:val="00DD4E76"/>
    <w:rsid w:val="00DD58EF"/>
    <w:rsid w:val="00DE05B7"/>
    <w:rsid w:val="00DE17D1"/>
    <w:rsid w:val="00DE1B25"/>
    <w:rsid w:val="00DE36DD"/>
    <w:rsid w:val="00DE3DEC"/>
    <w:rsid w:val="00DE4AA8"/>
    <w:rsid w:val="00DE5B9C"/>
    <w:rsid w:val="00DE68F3"/>
    <w:rsid w:val="00DE75A4"/>
    <w:rsid w:val="00DF1D05"/>
    <w:rsid w:val="00DF265C"/>
    <w:rsid w:val="00DF3C3C"/>
    <w:rsid w:val="00DF4744"/>
    <w:rsid w:val="00DF483C"/>
    <w:rsid w:val="00E01017"/>
    <w:rsid w:val="00E02B31"/>
    <w:rsid w:val="00E03855"/>
    <w:rsid w:val="00E03D95"/>
    <w:rsid w:val="00E05920"/>
    <w:rsid w:val="00E0659B"/>
    <w:rsid w:val="00E06955"/>
    <w:rsid w:val="00E07739"/>
    <w:rsid w:val="00E07B39"/>
    <w:rsid w:val="00E12686"/>
    <w:rsid w:val="00E12CA6"/>
    <w:rsid w:val="00E14DE5"/>
    <w:rsid w:val="00E169E2"/>
    <w:rsid w:val="00E21948"/>
    <w:rsid w:val="00E22EEE"/>
    <w:rsid w:val="00E24359"/>
    <w:rsid w:val="00E251D5"/>
    <w:rsid w:val="00E3098B"/>
    <w:rsid w:val="00E315A3"/>
    <w:rsid w:val="00E330CA"/>
    <w:rsid w:val="00E33540"/>
    <w:rsid w:val="00E34AD5"/>
    <w:rsid w:val="00E35177"/>
    <w:rsid w:val="00E368B9"/>
    <w:rsid w:val="00E42121"/>
    <w:rsid w:val="00E4385A"/>
    <w:rsid w:val="00E46975"/>
    <w:rsid w:val="00E47E38"/>
    <w:rsid w:val="00E502E4"/>
    <w:rsid w:val="00E5046A"/>
    <w:rsid w:val="00E50AE8"/>
    <w:rsid w:val="00E50F89"/>
    <w:rsid w:val="00E51B49"/>
    <w:rsid w:val="00E5207E"/>
    <w:rsid w:val="00E52B1A"/>
    <w:rsid w:val="00E537F6"/>
    <w:rsid w:val="00E53A25"/>
    <w:rsid w:val="00E57CF1"/>
    <w:rsid w:val="00E57F65"/>
    <w:rsid w:val="00E609D8"/>
    <w:rsid w:val="00E619D8"/>
    <w:rsid w:val="00E62458"/>
    <w:rsid w:val="00E640A6"/>
    <w:rsid w:val="00E71D80"/>
    <w:rsid w:val="00E73627"/>
    <w:rsid w:val="00E74CAE"/>
    <w:rsid w:val="00E74D48"/>
    <w:rsid w:val="00E7723D"/>
    <w:rsid w:val="00E81910"/>
    <w:rsid w:val="00E81F20"/>
    <w:rsid w:val="00E82047"/>
    <w:rsid w:val="00E85162"/>
    <w:rsid w:val="00E85F70"/>
    <w:rsid w:val="00E86E2B"/>
    <w:rsid w:val="00E9027B"/>
    <w:rsid w:val="00E903CC"/>
    <w:rsid w:val="00E90FCE"/>
    <w:rsid w:val="00E9260A"/>
    <w:rsid w:val="00E93C1B"/>
    <w:rsid w:val="00E96628"/>
    <w:rsid w:val="00E97DE3"/>
    <w:rsid w:val="00EA061B"/>
    <w:rsid w:val="00EA0B59"/>
    <w:rsid w:val="00EA5882"/>
    <w:rsid w:val="00EA6AE4"/>
    <w:rsid w:val="00EA6B56"/>
    <w:rsid w:val="00EB0353"/>
    <w:rsid w:val="00EB1F6D"/>
    <w:rsid w:val="00EB320A"/>
    <w:rsid w:val="00EC26F0"/>
    <w:rsid w:val="00EC4771"/>
    <w:rsid w:val="00EC4A07"/>
    <w:rsid w:val="00EC6045"/>
    <w:rsid w:val="00EC67CB"/>
    <w:rsid w:val="00EC6FDE"/>
    <w:rsid w:val="00EC6FF3"/>
    <w:rsid w:val="00EC772A"/>
    <w:rsid w:val="00EC784B"/>
    <w:rsid w:val="00ED250E"/>
    <w:rsid w:val="00ED45E7"/>
    <w:rsid w:val="00ED5549"/>
    <w:rsid w:val="00EE05F8"/>
    <w:rsid w:val="00EE0E3C"/>
    <w:rsid w:val="00EE172C"/>
    <w:rsid w:val="00EE4C5B"/>
    <w:rsid w:val="00EE5EC3"/>
    <w:rsid w:val="00EE7199"/>
    <w:rsid w:val="00EF19BB"/>
    <w:rsid w:val="00EF499D"/>
    <w:rsid w:val="00EF4C27"/>
    <w:rsid w:val="00EF56C5"/>
    <w:rsid w:val="00EF77EF"/>
    <w:rsid w:val="00F01238"/>
    <w:rsid w:val="00F02982"/>
    <w:rsid w:val="00F02C8A"/>
    <w:rsid w:val="00F039A0"/>
    <w:rsid w:val="00F04C45"/>
    <w:rsid w:val="00F06E1C"/>
    <w:rsid w:val="00F070E6"/>
    <w:rsid w:val="00F073BA"/>
    <w:rsid w:val="00F0752B"/>
    <w:rsid w:val="00F104D2"/>
    <w:rsid w:val="00F1197A"/>
    <w:rsid w:val="00F1200D"/>
    <w:rsid w:val="00F15620"/>
    <w:rsid w:val="00F16171"/>
    <w:rsid w:val="00F16763"/>
    <w:rsid w:val="00F20D2C"/>
    <w:rsid w:val="00F2177D"/>
    <w:rsid w:val="00F225A3"/>
    <w:rsid w:val="00F2268D"/>
    <w:rsid w:val="00F23E69"/>
    <w:rsid w:val="00F27FC3"/>
    <w:rsid w:val="00F30390"/>
    <w:rsid w:val="00F31E4A"/>
    <w:rsid w:val="00F34268"/>
    <w:rsid w:val="00F34877"/>
    <w:rsid w:val="00F34996"/>
    <w:rsid w:val="00F365E8"/>
    <w:rsid w:val="00F37B1E"/>
    <w:rsid w:val="00F406C9"/>
    <w:rsid w:val="00F406CD"/>
    <w:rsid w:val="00F42D58"/>
    <w:rsid w:val="00F43A15"/>
    <w:rsid w:val="00F444DF"/>
    <w:rsid w:val="00F46102"/>
    <w:rsid w:val="00F46282"/>
    <w:rsid w:val="00F52647"/>
    <w:rsid w:val="00F52996"/>
    <w:rsid w:val="00F5323F"/>
    <w:rsid w:val="00F53583"/>
    <w:rsid w:val="00F543A0"/>
    <w:rsid w:val="00F550FA"/>
    <w:rsid w:val="00F55F22"/>
    <w:rsid w:val="00F57BDD"/>
    <w:rsid w:val="00F60E30"/>
    <w:rsid w:val="00F61341"/>
    <w:rsid w:val="00F618C7"/>
    <w:rsid w:val="00F61D83"/>
    <w:rsid w:val="00F62307"/>
    <w:rsid w:val="00F6522D"/>
    <w:rsid w:val="00F65C37"/>
    <w:rsid w:val="00F670BE"/>
    <w:rsid w:val="00F7136A"/>
    <w:rsid w:val="00F71A72"/>
    <w:rsid w:val="00F72D7D"/>
    <w:rsid w:val="00F7429D"/>
    <w:rsid w:val="00F745AE"/>
    <w:rsid w:val="00F75D80"/>
    <w:rsid w:val="00F7607A"/>
    <w:rsid w:val="00F80A9C"/>
    <w:rsid w:val="00F8117C"/>
    <w:rsid w:val="00F814EC"/>
    <w:rsid w:val="00F81AFE"/>
    <w:rsid w:val="00F8231F"/>
    <w:rsid w:val="00F82CB9"/>
    <w:rsid w:val="00F86414"/>
    <w:rsid w:val="00F869D1"/>
    <w:rsid w:val="00F900EF"/>
    <w:rsid w:val="00F906A0"/>
    <w:rsid w:val="00F90E3B"/>
    <w:rsid w:val="00F925EE"/>
    <w:rsid w:val="00F940CE"/>
    <w:rsid w:val="00F95BFE"/>
    <w:rsid w:val="00F95C69"/>
    <w:rsid w:val="00F9613B"/>
    <w:rsid w:val="00F96325"/>
    <w:rsid w:val="00F96E00"/>
    <w:rsid w:val="00F97CD4"/>
    <w:rsid w:val="00F97F5E"/>
    <w:rsid w:val="00FA497A"/>
    <w:rsid w:val="00FA4EC2"/>
    <w:rsid w:val="00FA6506"/>
    <w:rsid w:val="00FA6B76"/>
    <w:rsid w:val="00FB01B9"/>
    <w:rsid w:val="00FB048A"/>
    <w:rsid w:val="00FB07AF"/>
    <w:rsid w:val="00FB2001"/>
    <w:rsid w:val="00FB3AD1"/>
    <w:rsid w:val="00FB3AEB"/>
    <w:rsid w:val="00FB3CD5"/>
    <w:rsid w:val="00FB51B0"/>
    <w:rsid w:val="00FB51B2"/>
    <w:rsid w:val="00FC1AB9"/>
    <w:rsid w:val="00FC1BC4"/>
    <w:rsid w:val="00FC4886"/>
    <w:rsid w:val="00FC4D66"/>
    <w:rsid w:val="00FC4F28"/>
    <w:rsid w:val="00FC61CB"/>
    <w:rsid w:val="00FC632C"/>
    <w:rsid w:val="00FC6A53"/>
    <w:rsid w:val="00FC7C65"/>
    <w:rsid w:val="00FD1C8D"/>
    <w:rsid w:val="00FD4742"/>
    <w:rsid w:val="00FD545B"/>
    <w:rsid w:val="00FD7155"/>
    <w:rsid w:val="00FE0E05"/>
    <w:rsid w:val="00FE0FAC"/>
    <w:rsid w:val="00FE2FF6"/>
    <w:rsid w:val="00FE3583"/>
    <w:rsid w:val="00FE3FA7"/>
    <w:rsid w:val="00FE4861"/>
    <w:rsid w:val="00FE72AF"/>
    <w:rsid w:val="00FF0F4F"/>
    <w:rsid w:val="00FF20DD"/>
    <w:rsid w:val="00FF34B7"/>
    <w:rsid w:val="00FF3823"/>
    <w:rsid w:val="00FF6DD9"/>
    <w:rsid w:val="00FF7144"/>
    <w:rsid w:val="00FF7487"/>
    <w:rsid w:val="00FF78C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D5A96"/>
  <w15:docId w15:val="{EB4EAEE1-BD67-4DA4-AB5B-9E5625BE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qFormat="1"/>
    <w:lsdException w:name="Default Paragraph Font" w:semiHidden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0968"/>
    <w:pPr>
      <w:spacing w:after="200" w:line="360" w:lineRule="auto"/>
    </w:pPr>
    <w:rPr>
      <w:rFonts w:ascii="Times New Roman" w:eastAsiaTheme="minorHAnsi" w:hAnsi="Times New Roman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 w:themeColor="tex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CA0968"/>
    <w:pPr>
      <w:spacing w:before="180" w:after="180"/>
    </w:pPr>
    <w:rPr>
      <w:rFonts w:eastAsia="宋体"/>
      <w:sz w:val="21"/>
    </w:rPr>
  </w:style>
  <w:style w:type="paragraph" w:styleId="a5">
    <w:name w:val="caption"/>
    <w:basedOn w:val="a"/>
    <w:qFormat/>
    <w:rsid w:val="00CA0968"/>
    <w:pPr>
      <w:spacing w:after="120"/>
    </w:p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rFonts w:ascii="Times New Roman" w:eastAsia="宋体" w:hAnsi="Times New Roman"/>
      <w:color w:val="4F81BD" w:themeColor="accent1"/>
      <w:sz w:val="21"/>
      <w:szCs w:val="24"/>
      <w:lang w:eastAsia="en-US"/>
    </w:rPr>
  </w:style>
  <w:style w:type="character" w:customStyle="1" w:styleId="a4">
    <w:name w:val="正文文本 字符"/>
    <w:basedOn w:val="a1"/>
    <w:link w:val="a0"/>
    <w:qFormat/>
    <w:rsid w:val="00CA0968"/>
    <w:rPr>
      <w:rFonts w:ascii="Times New Roman" w:eastAsia="宋体" w:hAnsi="Times New Roman"/>
      <w:sz w:val="21"/>
      <w:szCs w:val="24"/>
      <w:lang w:eastAsia="en-US"/>
    </w:rPr>
  </w:style>
  <w:style w:type="character" w:styleId="ac">
    <w:name w:val="footnote reference"/>
    <w:basedOn w:val="a4"/>
    <w:qFormat/>
    <w:rsid w:val="00CA0968"/>
    <w:rPr>
      <w:rFonts w:ascii="Times New Roman" w:eastAsia="宋体" w:hAnsi="Times New Roman"/>
      <w:sz w:val="21"/>
      <w:szCs w:val="24"/>
      <w:vertAlign w:val="superscript"/>
      <w:lang w:eastAsia="en-US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CA0968"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eastAsia="宋体" w:hAnsi="Consolas"/>
      <w:sz w:val="22"/>
      <w:szCs w:val="24"/>
      <w:lang w:eastAsia="en-US"/>
    </w:rPr>
  </w:style>
  <w:style w:type="paragraph" w:customStyle="1" w:styleId="TOC1">
    <w:name w:val="TOC 标题1"/>
    <w:basedOn w:val="1"/>
    <w:next w:val="a0"/>
    <w:uiPriority w:val="39"/>
    <w:unhideWhenUsed/>
    <w:qFormat/>
    <w:rsid w:val="00CA0968"/>
    <w:pPr>
      <w:spacing w:before="240" w:line="259" w:lineRule="auto"/>
      <w:outlineLvl w:val="9"/>
    </w:pPr>
    <w:rPr>
      <w:b w:val="0"/>
      <w:bCs w:val="0"/>
      <w:color w:val="auto"/>
    </w:rPr>
  </w:style>
  <w:style w:type="paragraph" w:styleId="ad">
    <w:name w:val="header"/>
    <w:basedOn w:val="a"/>
    <w:link w:val="ae"/>
    <w:rsid w:val="00CA09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CA0968"/>
    <w:rPr>
      <w:rFonts w:eastAsiaTheme="minorHAnsi"/>
      <w:sz w:val="18"/>
      <w:szCs w:val="18"/>
      <w:lang w:eastAsia="en-US"/>
    </w:rPr>
  </w:style>
  <w:style w:type="paragraph" w:styleId="af">
    <w:name w:val="footer"/>
    <w:basedOn w:val="a"/>
    <w:link w:val="af0"/>
    <w:rsid w:val="00CA096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CA0968"/>
    <w:rPr>
      <w:rFonts w:eastAsiaTheme="minorHAnsi"/>
      <w:sz w:val="18"/>
      <w:szCs w:val="18"/>
      <w:lang w:eastAsia="en-US"/>
    </w:rPr>
  </w:style>
  <w:style w:type="character" w:styleId="af1">
    <w:name w:val="Book Title"/>
    <w:basedOn w:val="a1"/>
    <w:uiPriority w:val="33"/>
    <w:qFormat/>
    <w:rsid w:val="00CA0968"/>
    <w:rPr>
      <w:b/>
      <w:bCs/>
      <w:i w:val="0"/>
      <w:iCs/>
      <w:spacing w:val="5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宋体" w:hAnsi="Consolas"/>
      <w:b/>
      <w:color w:val="007020"/>
      <w:sz w:val="22"/>
      <w:szCs w:val="24"/>
      <w:lang w:eastAsia="en-US"/>
    </w:rPr>
  </w:style>
  <w:style w:type="character" w:customStyle="1" w:styleId="DataTypeTok">
    <w:name w:val="DataTypeTok"/>
    <w:basedOn w:val="VerbatimChar"/>
    <w:rPr>
      <w:rFonts w:ascii="Consolas" w:eastAsia="宋体" w:hAnsi="Consolas"/>
      <w:color w:val="902000"/>
      <w:sz w:val="22"/>
      <w:szCs w:val="24"/>
      <w:lang w:eastAsia="en-US"/>
    </w:rPr>
  </w:style>
  <w:style w:type="character" w:customStyle="1" w:styleId="DecValTok">
    <w:name w:val="DecVal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BaseNTok">
    <w:name w:val="BaseN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FloatTok">
    <w:name w:val="Float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ConstantTok">
    <w:name w:val="ConstantTok"/>
    <w:basedOn w:val="VerbatimChar"/>
    <w:rPr>
      <w:rFonts w:ascii="Consolas" w:eastAsia="宋体" w:hAnsi="Consolas"/>
      <w:color w:val="880000"/>
      <w:sz w:val="22"/>
      <w:szCs w:val="24"/>
      <w:lang w:eastAsia="en-US"/>
    </w:rPr>
  </w:style>
  <w:style w:type="character" w:customStyle="1" w:styleId="CharTok">
    <w:name w:val="Char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pecialCharTok">
    <w:name w:val="SpecialChar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tringTok">
    <w:name w:val="String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Pr>
      <w:rFonts w:ascii="Consolas" w:eastAsia="宋体" w:hAnsi="Consolas"/>
      <w:color w:val="BB6688"/>
      <w:sz w:val="22"/>
      <w:szCs w:val="24"/>
      <w:lang w:eastAsia="en-US"/>
    </w:rPr>
  </w:style>
  <w:style w:type="character" w:customStyle="1" w:styleId="ImportTok">
    <w:name w:val="Import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CommentTok">
    <w:name w:val="CommentTok"/>
    <w:basedOn w:val="VerbatimChar"/>
    <w:rPr>
      <w:rFonts w:ascii="Consolas" w:eastAsia="宋体" w:hAnsi="Consolas"/>
      <w:i/>
      <w:color w:val="60A0B0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Pr>
      <w:rFonts w:ascii="Consolas" w:eastAsia="宋体" w:hAnsi="Consolas"/>
      <w:i/>
      <w:color w:val="BA2121"/>
      <w:sz w:val="22"/>
      <w:szCs w:val="24"/>
      <w:lang w:eastAsia="en-US"/>
    </w:rPr>
  </w:style>
  <w:style w:type="character" w:customStyle="1" w:styleId="AnnotationTok">
    <w:name w:val="Annotation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CommentVarTok">
    <w:name w:val="CommentVar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OtherTok">
    <w:name w:val="OtherTok"/>
    <w:basedOn w:val="VerbatimChar"/>
    <w:rPr>
      <w:rFonts w:ascii="Consolas" w:eastAsia="宋体" w:hAnsi="Consolas"/>
      <w:color w:val="007020"/>
      <w:sz w:val="22"/>
      <w:szCs w:val="24"/>
      <w:lang w:eastAsia="en-US"/>
    </w:rPr>
  </w:style>
  <w:style w:type="character" w:customStyle="1" w:styleId="FunctionTok">
    <w:name w:val="FunctionTok"/>
    <w:basedOn w:val="VerbatimChar"/>
    <w:rPr>
      <w:rFonts w:ascii="Consolas" w:eastAsia="宋体" w:hAnsi="Consolas"/>
      <w:color w:val="06287E"/>
      <w:sz w:val="22"/>
      <w:szCs w:val="24"/>
      <w:lang w:eastAsia="en-US"/>
    </w:rPr>
  </w:style>
  <w:style w:type="character" w:customStyle="1" w:styleId="VariableTok">
    <w:name w:val="VariableTok"/>
    <w:basedOn w:val="VerbatimChar"/>
    <w:rPr>
      <w:rFonts w:ascii="Consolas" w:eastAsia="宋体" w:hAnsi="Consolas"/>
      <w:color w:val="19177C"/>
      <w:sz w:val="22"/>
      <w:szCs w:val="24"/>
      <w:lang w:eastAsia="en-US"/>
    </w:rPr>
  </w:style>
  <w:style w:type="character" w:customStyle="1" w:styleId="ControlFlowTok">
    <w:name w:val="ControlFlowTok"/>
    <w:basedOn w:val="VerbatimChar"/>
    <w:rPr>
      <w:rFonts w:ascii="Consolas" w:eastAsia="宋体" w:hAnsi="Consolas"/>
      <w:b/>
      <w:color w:val="007020"/>
      <w:sz w:val="22"/>
      <w:szCs w:val="24"/>
      <w:lang w:eastAsia="en-US"/>
    </w:rPr>
  </w:style>
  <w:style w:type="character" w:customStyle="1" w:styleId="OperatorTok">
    <w:name w:val="OperatorTok"/>
    <w:basedOn w:val="VerbatimChar"/>
    <w:rPr>
      <w:rFonts w:ascii="Consolas" w:eastAsia="宋体" w:hAnsi="Consolas"/>
      <w:color w:val="666666"/>
      <w:sz w:val="22"/>
      <w:szCs w:val="24"/>
      <w:lang w:eastAsia="en-US"/>
    </w:rPr>
  </w:style>
  <w:style w:type="character" w:customStyle="1" w:styleId="BuiltInTok">
    <w:name w:val="BuiltIn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ExtensionTok">
    <w:name w:val="Extension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PreprocessorTok">
    <w:name w:val="PreprocessorTok"/>
    <w:basedOn w:val="VerbatimChar"/>
    <w:rPr>
      <w:rFonts w:ascii="Consolas" w:eastAsia="宋体" w:hAnsi="Consolas"/>
      <w:color w:val="BC7A00"/>
      <w:sz w:val="22"/>
      <w:szCs w:val="24"/>
      <w:lang w:eastAsia="en-US"/>
    </w:rPr>
  </w:style>
  <w:style w:type="character" w:customStyle="1" w:styleId="AttributeTok">
    <w:name w:val="AttributeTok"/>
    <w:basedOn w:val="VerbatimChar"/>
    <w:rPr>
      <w:rFonts w:ascii="Consolas" w:eastAsia="宋体" w:hAnsi="Consolas"/>
      <w:color w:val="7D9029"/>
      <w:sz w:val="22"/>
      <w:szCs w:val="24"/>
      <w:lang w:eastAsia="en-US"/>
    </w:rPr>
  </w:style>
  <w:style w:type="character" w:customStyle="1" w:styleId="RegionMarkerTok">
    <w:name w:val="RegionMarker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InformationTok">
    <w:name w:val="Information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WarningTok">
    <w:name w:val="Warning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AlertTok">
    <w:name w:val="AlertTok"/>
    <w:basedOn w:val="VerbatimChar"/>
    <w:rPr>
      <w:rFonts w:ascii="Consolas" w:eastAsia="宋体" w:hAnsi="Consolas"/>
      <w:b/>
      <w:color w:val="FF0000"/>
      <w:sz w:val="22"/>
      <w:szCs w:val="24"/>
      <w:lang w:eastAsia="en-US"/>
    </w:rPr>
  </w:style>
  <w:style w:type="character" w:customStyle="1" w:styleId="ErrorTok">
    <w:name w:val="ErrorTok"/>
    <w:basedOn w:val="VerbatimChar"/>
    <w:rPr>
      <w:rFonts w:ascii="Consolas" w:eastAsia="宋体" w:hAnsi="Consolas"/>
      <w:b/>
      <w:color w:val="FF0000"/>
      <w:sz w:val="22"/>
      <w:szCs w:val="24"/>
      <w:lang w:eastAsia="en-US"/>
    </w:rPr>
  </w:style>
  <w:style w:type="character" w:customStyle="1" w:styleId="NormalTok">
    <w:name w:val="NormalTok"/>
    <w:basedOn w:val="VerbatimChar"/>
    <w:rPr>
      <w:rFonts w:ascii="Consolas" w:eastAsia="宋体" w:hAnsi="Consolas"/>
      <w:sz w:val="22"/>
      <w:szCs w:val="24"/>
      <w:lang w:eastAsia="en-US"/>
    </w:rPr>
  </w:style>
  <w:style w:type="table" w:styleId="af2">
    <w:name w:val="Table Grid"/>
    <w:basedOn w:val="a2"/>
    <w:rsid w:val="00914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1"/>
    <w:uiPriority w:val="99"/>
    <w:unhideWhenUsed/>
    <w:rsid w:val="00D41CEA"/>
    <w:rPr>
      <w:color w:val="666666"/>
    </w:rPr>
  </w:style>
  <w:style w:type="paragraph" w:styleId="af4">
    <w:name w:val="List Paragraph"/>
    <w:basedOn w:val="a"/>
    <w:uiPriority w:val="34"/>
    <w:unhideWhenUsed/>
    <w:qFormat/>
    <w:rsid w:val="00E07739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0612DD"/>
    <w:pPr>
      <w:widowControl w:val="0"/>
      <w:tabs>
        <w:tab w:val="center" w:pos="4160"/>
        <w:tab w:val="right" w:pos="8300"/>
      </w:tabs>
      <w:spacing w:after="0"/>
      <w:jc w:val="both"/>
      <w:textAlignment w:val="center"/>
    </w:pPr>
    <w:rPr>
      <w:rFonts w:ascii="宋体" w:eastAsia="宋体" w:hAnsi="宋体"/>
      <w:kern w:val="2"/>
      <w:lang w:eastAsia="zh-CN"/>
    </w:rPr>
  </w:style>
  <w:style w:type="character" w:customStyle="1" w:styleId="MTDisplayEquation0">
    <w:name w:val="MTDisplayEquation 字符"/>
    <w:basedOn w:val="a1"/>
    <w:link w:val="MTDisplayEquation"/>
    <w:rsid w:val="000612DD"/>
    <w:rPr>
      <w:rFonts w:ascii="宋体" w:eastAsia="宋体" w:hAnsi="宋体"/>
      <w:kern w:val="2"/>
      <w:sz w:val="24"/>
      <w:szCs w:val="24"/>
    </w:rPr>
  </w:style>
  <w:style w:type="paragraph" w:styleId="af5">
    <w:name w:val="Normal (Web)"/>
    <w:basedOn w:val="a"/>
    <w:rsid w:val="00376A14"/>
    <w:rPr>
      <w:rFonts w:cs="Times New Roman"/>
    </w:rPr>
  </w:style>
  <w:style w:type="character" w:styleId="af6">
    <w:name w:val="Unresolved Mention"/>
    <w:basedOn w:val="a1"/>
    <w:uiPriority w:val="99"/>
    <w:semiHidden/>
    <w:unhideWhenUsed/>
    <w:rsid w:val="00F6522D"/>
    <w:rPr>
      <w:color w:val="605E5C"/>
      <w:shd w:val="clear" w:color="auto" w:fill="E1DFDD"/>
    </w:rPr>
  </w:style>
  <w:style w:type="character" w:styleId="af7">
    <w:name w:val="Strong"/>
    <w:basedOn w:val="a1"/>
    <w:uiPriority w:val="22"/>
    <w:qFormat/>
    <w:rsid w:val="009A28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09CDC-23B1-4E44-A758-084FD36EE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4800</Words>
  <Characters>11090</Characters>
  <Application>Microsoft Office Word</Application>
  <DocSecurity>0</DocSecurity>
  <Lines>316</Lines>
  <Paragraphs>260</Paragraphs>
  <ScaleCrop>false</ScaleCrop>
  <Company/>
  <LinksUpToDate>false</LinksUpToDate>
  <CharactersWithSpaces>15630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婷妤 杨</dc:creator>
  <cp:keywords/>
  <cp:lastModifiedBy>涵 张</cp:lastModifiedBy>
  <cp:revision>2</cp:revision>
  <dcterms:created xsi:type="dcterms:W3CDTF">2026-05-19T08:03:00Z</dcterms:created>
  <dcterms:modified xsi:type="dcterms:W3CDTF">2026-05-19T08:03:00Z</dcterms:modified>
</cp:coreProperties>
</file>