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E5712">
      <w:pPr>
        <w:spacing w:after="240" w:line="240" w:lineRule="auto"/>
        <w:jc w:val="center"/>
      </w:pPr>
      <w:r>
        <w:rPr>
          <w:rFonts w:hint="eastAsia" w:ascii="Times New Roman" w:hAnsi="Times New Roman" w:eastAsia="??" w:cs="Times New Roman"/>
          <w:b/>
          <w:bCs/>
          <w:sz w:val="32"/>
          <w:szCs w:val="32"/>
        </w:rPr>
        <w:t>稳定双镜法布里-珀罗腔中拉盖尔-高斯模式分束的统一设计框架及误差机理</w:t>
      </w:r>
    </w:p>
    <w:p w14:paraId="340F3265">
      <w:pPr>
        <w:spacing w:after="0" w:line="240" w:lineRule="auto"/>
        <w:jc w:val="center"/>
      </w:pPr>
      <w:r>
        <w:rPr>
          <w:rFonts w:hint="eastAsia" w:ascii="Times New Roman" w:hAnsi="Times New Roman" w:eastAsia="??" w:cs="Times New Roman"/>
          <w:sz w:val="28"/>
          <w:szCs w:val="28"/>
        </w:rPr>
        <w:t>李莞江1，彭登辉1，陈建兰2†，张涵1‡</w:t>
      </w:r>
    </w:p>
    <w:p w14:paraId="460D12E6">
      <w:pPr>
        <w:spacing w:after="0" w:line="240" w:lineRule="auto"/>
        <w:jc w:val="center"/>
      </w:pPr>
      <w:r>
        <w:rPr>
          <w:rFonts w:hint="eastAsia" w:ascii="Times New Roman" w:hAnsi="Times New Roman" w:eastAsia="??" w:cs="Times New Roman"/>
          <w:sz w:val="24"/>
          <w:szCs w:val="24"/>
        </w:rPr>
        <w:t>1.南京大学物理学院，固体微结构物理全国重点实验室，江苏，南京，210093</w:t>
      </w:r>
    </w:p>
    <w:p w14:paraId="7E9AE2F5">
      <w:pPr>
        <w:spacing w:after="0" w:line="240" w:lineRule="auto"/>
        <w:jc w:val="center"/>
      </w:pPr>
      <w:r>
        <w:rPr>
          <w:rFonts w:hint="eastAsia" w:ascii="Times New Roman" w:hAnsi="Times New Roman" w:eastAsia="??" w:cs="Times New Roman"/>
          <w:sz w:val="24"/>
          <w:szCs w:val="24"/>
        </w:rPr>
        <w:t>2. 安徽大学物理学院，安徽，合肥，230039</w:t>
      </w:r>
    </w:p>
    <w:p w14:paraId="1701D64E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摘要：法布里-珀罗（Fabry-Perot, FP）腔可利用 Gouy 相位依赖共振实现拉盖</w:t>
      </w:r>
      <w:bookmarkStart w:id="0" w:name="_GoBack"/>
      <w:bookmarkEnd w:id="0"/>
      <w:r>
        <w:rPr>
          <w:rFonts w:hint="eastAsia" w:ascii="Times New Roman" w:hAnsi="Times New Roman" w:eastAsia="??" w:cs="Times New Roman"/>
          <w:sz w:val="24"/>
          <w:szCs w:val="24"/>
        </w:rPr>
        <w:t xml:space="preserve">尔-高斯（Laguerre-Gaussian, LG）模式的保态频谱分束。稳定各向同性 FP 腔的横模共振位置由横模阶数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决定，单腔频谱响应对应按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的模式组选通。本文以有效归一化 Gouy 步长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为统一参数，给出稳定双镜 FP 腔中的折叠谱设计方法，并推导平凹腔、对称双凹腔和一般稳定两镜腔的几何回代关系。对于连续模式组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={1,2,…,M}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，最优排布满足 </w:t>
      </w:r>
      <m:oMath>
        <m:sSup>
          <m:s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∗</m:t>
            </m:r>
          </m:sup>
        </m:sSup>
        <m:r>
          <m:rPr/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且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，最小圆周间距为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，其层级结构可由 Farey 邻分数骨架组织。在此基础上，周期 Airy 透射函数给出有限维串扰求和、条件概率、分选成功率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、串扰指标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以及容量边界。以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为例，理论计算得到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，平均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。OAM 连续序列对应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、单符号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的特例；单个各向同性 FP 腔不区分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与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，实验频谱中的径向寄生峰可由相同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模式简并解释。</w:t>
      </w:r>
    </w:p>
    <w:p w14:paraId="3C872735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关键词：法布里-珀罗腔；拉盖尔-高斯模式；Gouy 相位；模式分束；Airy 透射；径向寄生</w:t>
      </w:r>
    </w:p>
    <w:p w14:paraId="27F7F0ED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中图分类号：O431.2    文献标识码：A</w:t>
      </w:r>
    </w:p>
    <w:p w14:paraId="6DE27150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†E-mail: cjl@ahu.edu.cn</w:t>
      </w:r>
    </w:p>
    <w:p w14:paraId="2321F344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‡E-mail: zhanghan@nju.edu.cn</w:t>
      </w:r>
      <w:r>
        <w:br w:type="page"/>
      </w:r>
    </w:p>
    <w:p w14:paraId="687E2C13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目录</w:t>
      </w:r>
    </w:p>
    <w:p w14:paraId="4B6DD3D5">
      <w:pPr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I. 引言</w:t>
      </w:r>
    </w:p>
    <w:p w14:paraId="4F6460AE">
      <w:pPr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II. 稳定双镜 FP 腔的 Gouy 相位折叠谱框架</w:t>
      </w:r>
    </w:p>
    <w:p w14:paraId="58DDC5EE">
      <w:pPr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III. 连续模式组的最小间距景观与最优排布</w:t>
      </w:r>
    </w:p>
    <w:p w14:paraId="4EFF29AE">
      <w:pPr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IV. Airy 透射下的有限维串扰、性能指标与容量边界</w:t>
      </w:r>
    </w:p>
    <w:p w14:paraId="2DEED978">
      <w:pPr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V. OAM 序列、径向寄生与卫星峰来源</w:t>
      </w:r>
    </w:p>
    <w:p w14:paraId="3F19A197">
      <w:pPr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VI. 结论</w:t>
      </w:r>
    </w:p>
    <w:p w14:paraId="55590541">
      <w:pPr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参考文献</w:t>
      </w:r>
    </w:p>
    <w:p w14:paraId="532B81ED">
      <w:r>
        <w:br w:type="page"/>
      </w:r>
    </w:p>
    <w:p w14:paraId="47244FD7">
      <w:pPr>
        <w:spacing w:after="240" w:line="240" w:lineRule="auto"/>
        <w:jc w:val="center"/>
      </w:pPr>
      <w:r>
        <w:rPr>
          <w:rFonts w:hint="eastAsia" w:ascii="Times New Roman" w:hAnsi="Times New Roman" w:eastAsia="??" w:cs="Times New Roman"/>
          <w:b/>
          <w:bCs/>
          <w:sz w:val="32"/>
          <w:szCs w:val="32"/>
        </w:rPr>
        <w:t>稳定双镜法布里-珀罗腔中拉盖尔-高斯模式分束的统一设计框架及误差机理</w:t>
      </w:r>
    </w:p>
    <w:p w14:paraId="5717D6C7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30"/>
          <w:szCs w:val="30"/>
        </w:rPr>
        <w:t>I.引言</w:t>
      </w:r>
    </w:p>
    <w:p w14:paraId="48976ACE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携带轨道角动量（orbital angular momentum, OAM）的拉盖尔-高斯模式为高维光通信、空间模式复用与量子信息处理提供了重要自由度[1-8]。在这类应用中，输出端既要区分不同空间模式，也常常需要保留输入横向场的振幅与相位结构，以便继续进行干涉、路由或级联处理。现有模式分束技术包括坐标变换、多平面光转换、干涉级联和衍射光学设计等[9-13]。这些方法在模式判别和容量扩展方面已经得到广泛应用；对部分量子逻辑、相干路由和模块化空间模式处理任务而言，保态分束仍是一个独立需求[14]。</w:t>
      </w:r>
    </w:p>
    <w:p w14:paraId="73E94ADB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FP 腔为保态模式选择提供了频谱路径。稳定腔中横模共振频率由 Gouy 相位决定[15-17]，不同横向模式可在频域中被选择性透射，理想情况下横向场分布不被改变。早期研究已经讨论了高精细 FP 腔中 OAM 模式简并和镜面效应引起的模式混合[18]。随后，基于 MEMS 可调 FP 滤波器、可调 FP 谐振器和薄膜 FP 滤波器的 OAM 或模式组选择得到实验展示[19-23]，表明 FP 腔可以作为空间模式频谱器件。现有研究多围绕具体器件或少数模式任务展开；面向给定目标模式集，尤其是高维连续模式组时，仍需把腔型选择、容量边界和几何鲁棒性放在同一套设计变量下处理。</w:t>
      </w:r>
    </w:p>
    <w:p w14:paraId="57E9B49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在稳定各向同性 FP 腔中，横模共振频率的基本变量是横模阶数</w:t>
      </w:r>
    </w:p>
    <w:p w14:paraId="3BC1B03D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N=2p+</m:t>
          </m:r>
          <m:d>
            <m:dPr>
              <m:begChr m:val="|"/>
              <m:endChr m:val="|"/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+1 .</m:t>
          </m:r>
        </m:oMath>
      </m:oMathPara>
    </w:p>
    <w:p w14:paraId="1092F485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同一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下的不同模式（例如不同的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组合，以及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与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）在理想频谱位置上简并。单个各向同性 FP 腔因而按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对模式成组响应。LG 模式分束或 OAM 分选在单腔中表现为按横模阶数的模式组选通；决定分束排布的是单自由光谱范围（free spectral range, FSR）内不同横模共振位置的相对间隔，而不是某一类腔型的名称。将不同稳定双镜腔映射到有效 Gouy 步长后，平凹腔、对称双凹腔和一般稳定两镜腔可用同一折叠谱描述；腔型差异则体现在有效步长到几何参数的回代关系，以及由此产生的工程鲁棒性排序。</w:t>
      </w:r>
    </w:p>
    <w:p w14:paraId="70BB5C6B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本文以有效归一化 Gouy 步长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描述折叠谱排布，并把选定的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回代到平凹腔、对称双凹腔和一般稳定两镜腔的几何参数。连续模式组的排布优化由最小圆周间距给出，解析最优分支可写成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k=m/M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，对应的层级结构用 Farey 邻分数骨架说明。有限线宽效应进一步通过周期 Airy 透射函数转化为有限维串扰求和和条件概率，从而得到分选成功率、串扰抑制指标、容量边界和大维度极限。OAM 序列作为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、单符号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的特例处理，径向寄生峰则由轴对称失配和相同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简并给出解释。</w:t>
      </w:r>
    </w:p>
    <w:p w14:paraId="5ED5675C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30"/>
          <w:szCs w:val="30"/>
        </w:rPr>
        <w:t>II.稳定双镜 FP 腔的 Gouy 相位折叠谱框架</w:t>
      </w:r>
    </w:p>
    <w:p w14:paraId="3BEB233E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A.横模阶数与有效 Gouy 步长</w:t>
      </w:r>
    </w:p>
    <w:p w14:paraId="46B3CDCD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稳定双镜 FP 腔中的横模共振频率可写为</w:t>
      </w:r>
    </w:p>
    <w:p w14:paraId="7AEB07DD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ν</m:t>
              </m:r>
              <m:ctrlPr>
                <w:rPr>
                  <w:rFonts w:hint="eastAsia"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q,N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=FSR</m:t>
          </m:r>
          <m:d>
            <m:d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 xml:space="preserve">q+N </m:t>
              </m:r>
              <m:sSub>
                <m:sSub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eff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</m:sSub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259993AF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其中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q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为纵模指标，</w:t>
      </w:r>
      <m:oMath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FSR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为自由光谱范围，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 LG 模式的横模阶数（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为径向指标，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为角向指标），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为相对于一个自由光谱范围归一化后的有效 Gouy 步长。对一般稳定两镜腔，</w:t>
      </w:r>
    </w:p>
    <w:p w14:paraId="0FC377B8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func>
                <m:funcPr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deg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g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1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24"/>
                                      <w:szCs w:val="24"/>
                                    </w:rPr>
                                    <m:t>g</m:t>
                                  </m:r>
                                  <m:ctrlPr>
                                    <w:rPr>
                                      <w:rFonts w:ascii="Cambria Math" w:hAnsi="Cambria Math" w:eastAsia="Cambria Math"/>
                                      <w:i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Cambria Math" w:cs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ctrlPr>
                                    <w:rPr>
                                      <w:rFonts w:ascii="Cambria Math" w:hAnsi="Cambria Math" w:eastAsia="Cambria Math"/>
                                      <w:i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e>
              </m:func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8D48AD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其中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=1−L/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>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=1−L/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>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为腔长，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与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为两镜曲率半径。在稳定条件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0&lt;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&lt;1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下，横模阶数每增加 1，共振位置在归一化频率上平移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>。</w:t>
      </w:r>
    </w:p>
    <w:p w14:paraId="6CDF0809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将不同纵模折叠到单个自由光谱范围内后，阶数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的共振位置由</w:t>
      </w:r>
    </w:p>
    <w:p w14:paraId="4344285F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N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 xml:space="preserve">N </m:t>
              </m:r>
              <m:sSub>
                <m:sSub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eff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</m:sSub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</m:oMath>
      </m:oMathPara>
    </w:p>
    <w:p w14:paraId="28CD9BF4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给出，其中 </w:t>
      </w:r>
      <m:oMath>
        <m:d>
          <m:dPr>
            <m:begChr m:val="{"/>
            <m:sepChr m:val="·"/>
            <m:endChr m:val="}"/>
          </m:dPr>
          <m:e/>
          <m:e/>
        </m:d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表示取模 1 的小数部分。模式分束的几何无关部分由这些折叠位置之间的圆周距离决定。对于给定目标模式组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S={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,…,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}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，最小圆周间距为</w:t>
      </w:r>
    </w:p>
    <w:p w14:paraId="72E4B881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s_(min)(k_(eff);S)=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min⁡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_(i≠ j)‖k_(eff)(N_i−N_j)‖,</m:t>
          </m:r>
        </m:oMath>
      </m:oMathPara>
    </w:p>
    <w:p w14:paraId="4B871709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其中 </w:t>
      </w:r>
      <m:oMath>
        <m:d>
          <m:dPr>
            <m:begChr m:val="‖"/>
            <m:sepChr m:val=""/>
            <m:endChr m:val="‖"/>
          </m:d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x</m:t>
            </m:r>
          </m:e>
        </m:d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表示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x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到最近整数的距离。</w:t>
      </w:r>
    </w:p>
    <w:p w14:paraId="188B9CF2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上述关系把 FP 模式分束分为两层。折叠谱设计层只依赖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与目标模式组之间的算术关系，与具体腔型无关；几何实现层则把选定的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回代为 </w:t>
      </w:r>
      <m:oMath>
        <m:f>
          <m:fPr>
            <m:type m:val="lin"/>
          </m:fPr>
          <m:num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i</m:t>
                </m:r>
              </m:sub>
            </m:sSub>
          </m:den>
        </m:f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或等价几何参数。图 1 概括了这种双层描述。</w:t>
      </w:r>
    </w:p>
    <w:p w14:paraId="3F10C03D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B.平凹腔与对称双凹腔的几何回代</w:t>
      </w:r>
    </w:p>
    <w:p w14:paraId="00ABB337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平凹腔对应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=∞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=R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，此时</w:t>
      </w:r>
    </w:p>
    <w:p w14:paraId="5606EA4B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func>
                <m:funcPr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1−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e>
              </m:func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62572A9E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回代得到</w:t>
      </w:r>
    </w:p>
    <w:p w14:paraId="450ADFDE">
      <w:pPr>
        <w:keepLines/>
        <w:spacing w:before="80" w:after="80" w:line="240" w:lineRule="auto"/>
        <w:jc w:val="center"/>
      </w:pPr>
      <m:oMathPara>
        <m:oMath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sin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 xml:space="preserve">π </m:t>
                      </m:r>
                      <m:sSub>
                        <m:sSub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eff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sup>
              </m:sSup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Name>
            <m:e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func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4D3B13C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对称双凹腔对应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=R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，有</w:t>
      </w:r>
    </w:p>
    <w:p w14:paraId="6E7281BF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eff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π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func>
                <m:funcPr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arccos</m:t>
                  </m:r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1−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fPr>
                            <m:num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e>
              </m:func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39E86F07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回代得到</w:t>
      </w:r>
    </w:p>
    <w:p w14:paraId="24F83616">
      <w:pPr>
        <w:keepLines/>
        <w:spacing w:before="80" w:after="80" w:line="240" w:lineRule="auto"/>
        <w:jc w:val="center"/>
      </w:pPr>
      <m:oMathPara>
        <m:oMath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=1±</m:t>
          </m:r>
          <m:func>
            <m:funcPr>
              <m:ctrlPr>
                <w:rPr>
                  <w:rFonts w:ascii="Cambria Math" w:hAnsi="Cambria Math" w:eastAsia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cos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 xml:space="preserve">π </m:t>
                  </m:r>
                  <m:sSub>
                    <m:sSub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eff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sz w:val="21"/>
                </w:rPr>
              </m:ctrlPr>
            </m:e>
          </m:func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13FBBF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其中负号分支对应近平面稳定支，正号分支对应近同心稳定支。对称双凹腔不能由平凹腔结果简单作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L→2L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得到。不同腔型可以实现相同的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>，因而在折叠谱层具有相同的模式组排布；对应的几何工作点、调节灵敏度和实验鲁棒性则不相同。对于更一般的非对称两镜腔，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同样由 </w:t>
      </w:r>
      <m:oMath>
        <m:rad>
          <m:radPr>
            <m:degHide m:val="1"/>
          </m:radPr>
          <m:deg/>
          <m:e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g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1</m:t>
                </m:r>
              </m:sub>
            </m:sSub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g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2</m:t>
                </m:r>
              </m:sub>
            </m:sSub>
          </m:e>
        </m:rad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决定，同一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在 </w:t>
      </w:r>
      <m:oMath>
        <m:d>
          <m:dPr>
            <m:sepChr m:val=""/>
          </m:d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L/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1</m:t>
                </m:r>
              </m:sub>
            </m:s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,L/</m:t>
            </m:r>
            <m:sSub>
              <m:sSubPr/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2</m:t>
                </m:r>
              </m:sub>
            </m:sSub>
          </m:e>
        </m:d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空间中对应一族几何实现。下文以平凹腔和对称双凹腔作为两类代表构型展开讨论。</w:t>
      </w:r>
    </w:p>
    <w:p w14:paraId="651AC1A1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C.小几何比极限</w:t>
      </w:r>
    </w:p>
    <w:p w14:paraId="4E832198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在小 </w:t>
      </w:r>
      <m:oMath>
        <m:f>
          <m:fPr>
            <m:type m:val="lin"/>
          </m:fPr>
          <m:num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极限下，平凹腔满足</w:t>
      </w:r>
    </w:p>
    <w:p w14:paraId="17AC9179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pc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L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rad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2558CD9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而对称双凹腔满足</w:t>
      </w:r>
    </w:p>
    <w:p w14:paraId="37093C05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cc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eg>
                <m:e>
                  <m:f>
                    <m:f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2L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rad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785067D3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因此</w:t>
      </w:r>
    </w:p>
    <w:p w14:paraId="3FAC0BF4">
      <w:pPr>
        <w:keepLines/>
        <w:spacing w:before="80" w:after="80" w:line="240" w:lineRule="auto"/>
        <w:jc w:val="center"/>
      </w:pPr>
      <m:oMathPara>
        <m:oMath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cc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</m:sSub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pc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arrow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ad>
            <m:radPr>
              <m:degHide m:val="1"/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radPr>
            <m:deg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g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ra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465364AF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这一增强因子来源于两类边界条件下腔本征模参数与 Gouy 相位积累方式的共同改变，而非几何程长的简单翻倍。</w:t>
      </w:r>
    </w:p>
    <w:p w14:paraId="084A6DA3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30"/>
          <w:szCs w:val="30"/>
        </w:rPr>
        <w:t>III.连续模式组的最小间距景观与最优排布</w:t>
      </w:r>
    </w:p>
    <w:p w14:paraId="2A5CB472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A.最小圆周间距与解析最优</w:t>
      </w:r>
    </w:p>
    <w:p w14:paraId="41835607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考虑连续模式组</w:t>
      </w:r>
    </w:p>
    <w:p w14:paraId="6688117F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1,2,…,M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0D1435DE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这对应于相邻横模阶数差为 1 的情形，也是实际器件设计中常见的目标集合。任意两个阶数之差覆盖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到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M−1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，折叠谱最小圆周间距可写为仅依赖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k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的单变量函数</w:t>
      </w:r>
    </w:p>
    <w:p w14:paraId="5B633B5F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s_(min)(k)=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min⁡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_(1≤ q≤ M−1)‖qk‖.</m:t>
          </m:r>
        </m:oMath>
      </m:oMathPara>
    </w:p>
    <w:p w14:paraId="08E98E6C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这个表达式给出了连续模式组分选的核心设计指标。若取</w:t>
      </w:r>
    </w:p>
    <w:p w14:paraId="03096FB9">
      <w:pPr>
        <w:keepLines/>
        <w:spacing w:before="80" w:after="80" w:line="240" w:lineRule="auto"/>
        <w:jc w:val="center"/>
      </w:pPr>
      <m:oMathPara>
        <m:oMath>
          <m:sSup>
            <m:sSup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p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p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p>
          </m:sSup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  <m:func>
            <m:funcPr>
              <m:ctrlPr>
                <w:rPr>
                  <w:rFonts w:ascii="Cambria Math" w:hAnsi="Cambria Math" w:eastAsia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gcd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m,M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sz w:val="21"/>
                </w:rPr>
              </m:ctrlPr>
            </m:e>
          </m:func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=1,</m:t>
          </m:r>
        </m:oMath>
      </m:oMathPara>
    </w:p>
    <w:p w14:paraId="1C0FBF50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则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q=1,…,M−1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时，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qm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在模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意义下遍历所有非零剩余类，因此最近圆周距离的最小值为</w:t>
      </w:r>
    </w:p>
    <w:p w14:paraId="45E745D3">
      <w:pPr>
        <w:keepLines/>
        <w:spacing w:after="0" w:line="300" w:lineRule="auto"/>
        <w:ind w:firstLine="420" w:firstLineChars="200"/>
        <w:jc w:val="both"/>
      </w:pPr>
      <m:oMath>
        <m:sSub>
          <m:sSubPr>
            <m:ctrlPr>
              <w:rPr>
                <w:rFonts w:ascii="Cambria Math" w:hAnsi="Cambria Math" w:eastAsia="Cambria Math"/>
                <w:i/>
                <w:sz w:val="21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  <m:ctrlPr>
              <w:rPr>
                <w:rFonts w:ascii="Cambria Math" w:hAnsi="Cambria Math" w:eastAsia="Cambria Math"/>
                <w:i/>
                <w:sz w:val="21"/>
              </w:rPr>
            </m:ctrlPr>
          </m:e>
          <m:sub>
            <m:d>
              <m:dPr>
                <m:ctrlPr>
                  <w:rPr>
                    <w:rFonts w:ascii="Cambria Math" w:hAnsi="Cambria Math" w:eastAsia="Cambria Math"/>
                    <w:i/>
                    <w:sz w:val="21"/>
                  </w:rPr>
                </m:ctrlPr>
              </m:dPr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min</m:t>
                </m:r>
                <m:ctrlPr>
                  <w:rPr>
                    <w:rFonts w:ascii="Cambria Math" w:hAnsi="Cambria Math" w:eastAsia="Cambria Math"/>
                    <w:i/>
                    <w:sz w:val="21"/>
                  </w:rPr>
                </m:ctrlPr>
              </m:e>
            </m:d>
            <m:d>
              <m:dPr>
                <m:ctrlPr>
                  <w:rPr>
                    <w:rFonts w:ascii="Cambria Math" w:hAnsi="Cambria Math" w:eastAsia="Cambria Math"/>
                    <w:i/>
                    <w:sz w:val="21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Cambria Math"/>
                        <w:i/>
                        <w:sz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 w:eastAsia="Cambria Math"/>
                        <w:i/>
                        <w:sz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Cambria Math" w:cs="Cambria Math"/>
                        <w:sz w:val="24"/>
                        <w:szCs w:val="24"/>
                      </w:rPr>
                      <m:t>∗</m:t>
                    </m:r>
                    <m:ctrlPr>
                      <w:rPr>
                        <w:rFonts w:ascii="Cambria Math" w:hAnsi="Cambria Math" w:eastAsia="Cambria Math"/>
                        <w:i/>
                        <w:sz w:val="21"/>
                      </w:rPr>
                    </m:ctrlPr>
                  </m:sup>
                </m:sSup>
                <m:ctrlPr>
                  <w:rPr>
                    <w:rFonts w:ascii="Cambria Math" w:hAnsi="Cambria Math" w:eastAsia="Cambria Math"/>
                    <w:i/>
                    <w:sz w:val="21"/>
                  </w:rPr>
                </m:ctrlPr>
              </m:e>
            </m:d>
            <m:ctrlPr>
              <w:rPr>
                <w:rFonts w:ascii="Cambria Math" w:hAnsi="Cambria Math" w:eastAsia="Cambria Math"/>
                <w:i/>
                <w:sz w:val="21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Cambria Math"/>
                <w:i/>
                <w:sz w:val="21"/>
              </w:rPr>
            </m:ctrlPr>
          </m:fPr>
          <m:num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  <m:ctrlPr>
              <w:rPr>
                <w:rFonts w:ascii="Cambria Math" w:hAnsi="Cambria Math" w:eastAsia="Cambria Math"/>
                <w:i/>
                <w:sz w:val="21"/>
              </w:rPr>
            </m:ctrlPr>
          </m:num>
          <m:den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  <m:ctrlPr>
              <w:rPr>
                <w:rFonts w:ascii="Cambria Math" w:hAnsi="Cambria Math" w:eastAsia="Cambria Math"/>
                <w:i/>
                <w:sz w:val="21"/>
              </w:rPr>
            </m:ctrlPr>
          </m:den>
        </m:f>
        <m:r>
          <m:rPr/>
          <w:rPr>
            <w:rFonts w:ascii="Cambria Math" w:hAnsi="Cambria Math" w:eastAsia="Cambria Math" w:cs="Cambria Math"/>
            <w:sz w:val="24"/>
            <w:szCs w:val="24"/>
          </w:rPr>
          <m:t>.M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个点放置在圆周上时，最小间距不可能超过 </w:t>
      </w:r>
      <m:oMath>
        <m:f>
          <m:fPr>
            <m:type m:val="lin"/>
          </m:fPr>
          <m:num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num>
          <m:den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。因此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是连续模式组的最优值，互素分支 </w:t>
      </w:r>
      <m:oMath>
        <m:f>
          <m:fPr>
            <m:type m:val="lin"/>
          </m:fPr>
          <m:num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num>
          <m:den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den>
        </m:f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给出达到该值的一组解析最优设计点。</w:t>
      </w:r>
    </w:p>
    <w:p w14:paraId="546E994D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B.Farey 骨架与层级细化</w:t>
      </w:r>
    </w:p>
    <w:p w14:paraId="31FBFD29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函数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(k)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是一组锯齿函数 </w:t>
      </w:r>
      <m:oMath>
        <m:d>
          <m:dPr>
            <m:begChr m:val="‖"/>
            <m:sepChr m:val=""/>
            <m:endChr m:val="‖"/>
          </m:d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qk</m:t>
            </m:r>
          </m:e>
        </m:d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的下包络。随着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增大，新的差值约束被加入下包络，原有景观不会被抬高，而是在其下方继续形成更细的局部结构。这种层级细化可由 Farey 邻分数骨架进行组织。</w:t>
      </w:r>
    </w:p>
    <w:p w14:paraId="2B2BCDBC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在固定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下，景观可以按分母不超过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M−1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 Farey 邻分数区间来划分。设相邻分数为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a/b&lt;c/d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，局部峰值的位置由二者的 mediant </w:t>
      </w:r>
      <m:oMath>
        <m:d>
          <m:dPr>
            <m:sepChr m:val=""/>
          </m:d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a+c)/(b+d</m:t>
            </m:r>
          </m:e>
        </m:d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决定，峰高由相邻分母之和控制。由此得到的局部峰一般呈现偏斜帐篷形结构。图 2 展示了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(k)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景观及其中的解析最优分支。这种结构不是严格意义上的自相似分形，而是在 Farey 骨架约束下的层级细化；更大的目标集不会推翻原有粗轮廓，而是在其下方继续加入算术约束。</w:t>
      </w:r>
    </w:p>
    <w:p w14:paraId="4A8075D8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上述讨论只涉及几何间距。有限线宽下的串扰性能和容量边界还需引入腔的频谱响应函数。</w:t>
      </w:r>
    </w:p>
    <w:p w14:paraId="3D35C36C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30"/>
          <w:szCs w:val="30"/>
        </w:rPr>
        <w:t>IV.Airy 透射下的有限维串扰、性能指标与容量边界</w:t>
      </w:r>
    </w:p>
    <w:p w14:paraId="5296EBE9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A.Airy 透射函数与有限维串扰</w:t>
      </w:r>
    </w:p>
    <w:p w14:paraId="02E53625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最小间距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描述折叠谱中不同模式组的几何分离程度。实际 FP 腔的透射峰具有有限线宽，圆周距离需要转化为频谱串扰响应。这里采用周期 Airy 透射函数作为主响应模型。对于归一化频率偏移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Δ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（以 FSR 为单位），透射响应为</w:t>
      </w:r>
    </w:p>
    <w:p w14:paraId="2E5ADD85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A_F(Δ)= (1)/(1+((2F)/(π))^2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sin⁡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^2(πΔ)),</m:t>
          </m:r>
        </m:oMath>
      </m:oMathPara>
    </w:p>
    <w:p w14:paraId="6EF0F402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其中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F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为腔精细度。响应以 1 个 FSR 为周期，并在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Δ=0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处取最大值 1。</w:t>
      </w:r>
    </w:p>
    <w:p w14:paraId="2CCDE684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对目标模式组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S={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,…,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N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}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，当第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个通道被调至透射中心时，第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i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个通道的相对失谐为</w:t>
      </w:r>
    </w:p>
    <w:p w14:paraId="72111E1B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Δ</m:t>
              </m:r>
              <m:ctrlPr>
                <w:rPr>
                  <w:rFonts w:hint="eastAsia"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ij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eff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</m:sSub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15BCEEF1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将所有通道对的失谐代入 Airy 函数，得到有限维响应</w:t>
      </w:r>
    </w:p>
    <w:p w14:paraId="0C275438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ij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Δ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ij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5BD69274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将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ij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排成表格或热图可以直观展示串扰结构。它只是有限维计算的组织方式，不引入新的物理对象。相同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、相同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F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和相同目标模式组给出相同的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ij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>，与采用平凹腔或对称双凹腔无关。</w:t>
      </w:r>
    </w:p>
    <w:p w14:paraId="51BD4920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对每个输入通道做列归一化，得到条件概率矩阵</w:t>
      </w:r>
    </w:p>
    <w:p w14:paraId="65AB3A6C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ij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</m:sSub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i=1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ij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p>
                  </m:sSubSup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p>
                <m:e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nary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74ED2D5A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其中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P(i|j)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表示目标通道为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时，被判入输出通道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i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的概率。理想分选要求对角元接近 1，非对角元接近 0。</w:t>
      </w:r>
    </w:p>
    <w:p w14:paraId="49F1DA05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 xml:space="preserve">B.性能指标、容量边界与大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 xml:space="preserve"> 极限</w:t>
      </w:r>
    </w:p>
    <w:p w14:paraId="5E45C343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基于条件概率矩阵，定义平均分选成功率</w:t>
      </w:r>
    </w:p>
    <w:p w14:paraId="3560CC30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η</m:t>
              </m:r>
              <m:ctrlPr>
                <w:rPr>
                  <w:rFonts w:hint="eastAsia"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sort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nary>
                <m:naryPr>
                  <m:chr m:val="∑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naryPr>
                <m:sub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j=1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M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p>
                <m:e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nary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5D86280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以及每通道串扰抑制比</w:t>
      </w:r>
    </w:p>
    <w:p w14:paraId="7EBA5F2B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E</m:t>
          </m:r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10</m:t>
              </m:r>
              <m:func>
                <m:funcPr>
                  <m:ctrlPr>
                    <w:rPr>
                      <w:rFonts w:ascii="Cambria Math" w:hAnsi="Cambria Math" w:eastAsia="Cambria Math"/>
                      <w:sz w:val="21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log</m:t>
                      </m:r>
                      <m:ctrlPr>
                        <w:rPr>
                          <w:rFonts w:ascii="Cambria Math" w:hAnsi="Cambria Math" w:eastAsia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eastAsia="Cambria Math"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func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nary>
                <m:naryPr>
                  <m:chr m:val="∑"/>
                  <m:supHide m:val="1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naryPr>
                <m:sub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i≠ j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</m:d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p>
                <m:e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nary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EE1F187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对全部通道取平均得到</w:t>
      </w:r>
    </w:p>
    <w:p w14:paraId="4CFB9A17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E</m:t>
          </m:r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sum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M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naryPr>
                <m:sub>
                  <m:sSubSup>
                    <m:sSubSup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j=1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ER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p>
                  </m:sSubSup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b>
                <m:sup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sup>
                <m:e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nary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B533A39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这两个指标把折叠谱排布、腔精细度和目标模式组转化为可量化的分选质量评价。</w:t>
      </w:r>
    </w:p>
    <w:p w14:paraId="72ED7CB0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对于连续模式组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在最优分支 </w:t>
      </w:r>
      <m:oMath>
        <m:sSup>
          <m:s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∗</m:t>
            </m:r>
          </m:sup>
        </m:sSup>
        <m:r>
          <m:rPr/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下，各通道完全等价——每个通道面对的是同一组失谐 </w:t>
      </w:r>
      <m:oMath>
        <m:d>
          <m:dPr>
            <m:begChr m:val="{"/>
            <m:sepChr m:val="/"/>
            <m:endChr m:val="}"/>
          </m:d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e>
        </m:d>
      </m:oMath>
      <w:r>
        <w:rPr>
          <w:rFonts w:hint="eastAsia" w:ascii="Times New Roman" w:hAnsi="Times New Roman" w:eastAsia="??" w:cs="Times New Roman"/>
          <w:sz w:val="24"/>
          <w:szCs w:val="24"/>
        </w:rPr>
        <w:t>（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r=1,…,M−1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），仅排列次序不同。对任意通道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j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，非目标通道的泄漏和为</w:t>
      </w:r>
    </w:p>
    <w:p w14:paraId="1BD56001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 xml:space="preserve">ε_M=∑_(r=1)^(M−1) (1)/(1+((2F)/(π))^2 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sin⁡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^2(π r/M)).</m:t>
          </m:r>
        </m:oMath>
      </m:oMathPara>
    </w:p>
    <w:p w14:paraId="63D0C7C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由于各行（列）的归一化因子均为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1+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ϵ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>，有</w:t>
      </w:r>
    </w:p>
    <w:p w14:paraId="5B8CE6B9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P(j|j)=(1)/(1+ε_M), η_(sort)=(1)/(1+ε_M), ER_(sum)=10</m:t>
          </m:r>
          <m:r>
            <m:rPr>
              <m:sty m:val="p"/>
            </m:rPr>
            <w:rPr>
              <w:rFonts w:ascii="Cambria Math" w:hAnsi="Cambria Math" w:eastAsia="Cambria Math" w:cs="Cambria Math"/>
              <w:sz w:val="24"/>
              <w:szCs w:val="24"/>
            </w:rPr>
            <m:t>log⁡</m:t>
          </m:r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_(10)(1)/(ε_M),</m:t>
          </m:r>
        </m:oMath>
      </m:oMathPara>
    </w:p>
    <w:p w14:paraId="477C2158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在上述有限目标集合、均匀先验和周期 Airy 响应归一化定义下，三项均精确成立。随着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增大，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减小，需在给定精细度下评估可达到的分选质量。</w:t>
      </w:r>
    </w:p>
    <w:p w14:paraId="00181A85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为此引入容量条件。设相邻通道的最小线宽归一化间距为</w:t>
      </w:r>
    </w:p>
    <w:p w14:paraId="0F8081A6">
      <w:pPr>
        <w:keepLines/>
        <w:spacing w:after="0" w:line="300" w:lineRule="auto"/>
        <w:ind w:firstLine="420" w:firstLineChars="200"/>
        <w:jc w:val="both"/>
      </w:pPr>
      <m:oMath>
        <m:sSub>
          <m:sSubPr>
            <m:ctrlPr>
              <w:rPr>
                <w:rFonts w:ascii="Cambria Math" w:hAnsi="Cambria Math" w:eastAsia="Cambria Math"/>
                <w:i/>
                <w:sz w:val="21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  <m:ctrlPr>
              <w:rPr>
                <w:rFonts w:hint="eastAsia" w:ascii="Cambria Math" w:hAnsi="Cambria Math" w:eastAsia="Cambria Math"/>
                <w:i/>
                <w:sz w:val="21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  <m:ctrlPr>
              <w:rPr>
                <w:rFonts w:ascii="Cambria Math" w:hAnsi="Cambria Math" w:eastAsia="Cambria Math"/>
                <w:i/>
                <w:sz w:val="21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 xml:space="preserve">=F </m:t>
        </m:r>
        <m:sSub>
          <m:sSubPr>
            <m:ctrlPr>
              <w:rPr>
                <w:rFonts w:ascii="Cambria Math" w:hAnsi="Cambria Math" w:eastAsia="Cambria Math"/>
                <w:i/>
                <w:sz w:val="21"/>
              </w:rPr>
            </m:ctrlPr>
          </m:sSub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  <m:ctrlPr>
              <w:rPr>
                <w:rFonts w:ascii="Cambria Math" w:hAnsi="Cambria Math" w:eastAsia="Cambria Math"/>
                <w:i/>
                <w:sz w:val="21"/>
              </w:rPr>
            </m:ctrlP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  <m:ctrlPr>
              <w:rPr>
                <w:rFonts w:ascii="Cambria Math" w:hAnsi="Cambria Math" w:eastAsia="Cambria Math"/>
                <w:i/>
                <w:sz w:val="21"/>
              </w:rPr>
            </m:ctrlP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.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（物理上对应可接受的最小通道间隔，以线宽为单位），要求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≥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。代入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，得到连续模式组的容量边界</w:t>
      </w:r>
    </w:p>
    <w:p w14:paraId="4FFA889B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M≤ lfloor</m:t>
          </m:r>
          <m:f>
            <m:f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um>
            <m:den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rfloor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en>
          </m:f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59579134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这一边界把折叠谱间距和 Airy 线宽联系起来，不依赖特定腔型。在边界标度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F=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下取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M→∞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，有限维求和过渡为大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极限</w:t>
      </w:r>
    </w:p>
    <w:p w14:paraId="0F6A4B24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ε</m:t>
              </m:r>
              <m:ctrlPr>
                <w:rPr>
                  <w:rFonts w:hint="eastAsia"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∞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 2</m:t>
          </m:r>
          <m:nary>
            <m:naryPr>
              <m:chr m:val="∑"/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naryPr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r=1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  <m:sup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∞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τ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Cambria Math" w:cs="Cambria Math"/>
                                  <w:sz w:val="24"/>
                                  <w:szCs w:val="24"/>
                                </w:rPr>
                                <m:t>0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i/>
                                  <w:sz w:val="21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p>
                  </m:sSup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en>
              </m:f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nary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7BD14FFC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取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，数值计算得到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≈91.7635%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≈10.4693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。这一极限给出了给定阈值标度下连续模式组的渐近分选性能。</w:t>
      </w:r>
    </w:p>
    <w:p w14:paraId="27F66152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以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连续模式组为具体算例，取互素分支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，最优间距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。当腔精细度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时，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=F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≈3.58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，满足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的阈值要求。有限维 Airy 计算给出</w:t>
      </w:r>
    </w:p>
    <w:p w14:paraId="32005A7C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η</m:t>
              </m:r>
              <m:ctrlPr>
                <w:rPr>
                  <w:rFonts w:hint="eastAsia"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sort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=94.1166%, E</m:t>
          </m:r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sum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=12.0404dB.</m:t>
          </m:r>
        </m:oMath>
      </m:oMathPara>
    </w:p>
    <w:p w14:paraId="529C1CC4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图 3 给出了该算例的 Airy 串扰热图与条件概率分布。表 1 列出了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下不同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的连续模式组设计蓝图及对应性能指标，供器件设计参考。</w:t>
      </w:r>
    </w:p>
    <w:p w14:paraId="4A085D40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C.构型回代与鲁棒性排序</w:t>
      </w:r>
    </w:p>
    <w:p w14:paraId="3DEE361E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串扰指标和容量边界均在折叠谱设计层获得，与腔型无关。进入几何实现层后，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到几何参数的映射会改变实际工作点的选择。对于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连续模式组，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m=1,2,4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三条互素分支均能达到理论最优间距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。在平凹腔中，它们分别对应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L/R≈0.117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0.413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0.970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。由于 </w:t>
      </w:r>
      <m:oMath>
        <m:f>
          <m:fPr>
            <m:type m:val="lin"/>
          </m:fPr>
          <m:num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的调节灵敏度在中间区域最低，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m=2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分支成为平凹腔中较鲁棒的代表支。在对称双凹腔中，近平面支和近同心支分别由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L/R=1∓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cos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>(πk)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给出，低灵敏度区域转移至共焦条件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L/R=1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附近，因而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m=4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分支具有更好的抗扰动能力。图 4 比较了两种腔型的几何映射及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鲁棒分支排序。相同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下串扰性能相同，几何鲁棒性排序则需按腔型重新计算。</w:t>
      </w:r>
    </w:p>
    <w:p w14:paraId="769EFCE1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30"/>
          <w:szCs w:val="30"/>
        </w:rPr>
        <w:t>V.OAM 序列、径向寄生与卫星峰来源</w:t>
      </w:r>
    </w:p>
    <w:p w14:paraId="4C5837BA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A.OAM 序列作为横模阶数的特例</w:t>
      </w:r>
    </w:p>
    <w:p w14:paraId="6F5EBB4D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若目标模式限制在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且只取单符号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序列（例如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l=1,2,…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），则</w:t>
      </w:r>
    </w:p>
    <w:p w14:paraId="204465EC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N=</m:t>
          </m:r>
          <m:d>
            <m:dPr>
              <m:begChr m:val="|"/>
              <m:endChr m:val="|"/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l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+1.</m:t>
          </m:r>
        </m:oMath>
      </m:oMathPara>
    </w:p>
    <w:p w14:paraId="7B06C667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此时 OAM 连续序列映射为连续模式组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>，第 3–4 节的排布优化和 Airy 串扰分析可直接沿用。这一情形是横模阶数响应的一个物理特例。</w:t>
      </w:r>
    </w:p>
    <w:p w14:paraId="4DF65C0C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稳定各向同性 FP 腔的共振频率依赖 </w:t>
      </w:r>
      <m:oMath>
        <m:d>
          <m:dPr>
            <m:begChr m:val="|"/>
            <m:sepChr m:val=""/>
            <m:endChr m:val="|"/>
          </m:dPr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e>
        </m:d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而非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的符号，单个腔不能将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与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分配到不同频谱通道。若实验任务需要区分符号，则需引入破坏圆对称性的附加元件、像散或各向异性模式变换，或干涉式模式转换等外部机制。这里讨论的单腔频谱分束对应按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的模式组选通能力。</w:t>
      </w:r>
    </w:p>
    <w:p w14:paraId="7F36114C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B.轴对称失配与径向泄漏</w:t>
      </w:r>
    </w:p>
    <w:p w14:paraId="584281C0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当入射场保持绕腔轴的圆对称形式</w:t>
      </w:r>
    </w:p>
    <w:p w14:paraId="0A788762">
      <w:pPr>
        <w:keepLines/>
        <w:spacing w:before="80" w:after="80" w:line="240" w:lineRule="auto"/>
        <w:jc w:val="center"/>
      </w:pPr>
      <m:oMathPara>
        <m:oMath>
          <m:sSub>
            <m:sSub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b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E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b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in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r,φ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b>
          </m:sSub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=f</m:t>
          </m:r>
          <m:d>
            <m:d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func>
            <m:funcPr>
              <m:ctrlPr>
                <w:rPr>
                  <w:rFonts w:ascii="Cambria Math" w:hAnsi="Cambria Math" w:eastAsia="Cambria Math"/>
                  <w:sz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eastAsia="Cambria Math" w:cs="Cambria Math"/>
                  <w:sz w:val="24"/>
                  <w:szCs w:val="24"/>
                </w:rPr>
                <m:t>exp</m:t>
              </m:r>
              <m:ctrlPr>
                <w:rPr>
                  <w:rFonts w:ascii="Cambria Math" w:hAnsi="Cambria Math" w:eastAsia="Cambria Math"/>
                  <w:sz w:val="21"/>
                </w:rPr>
              </m:ctrlPr>
            </m:fName>
            <m:e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ilφ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sz w:val="21"/>
                </w:rPr>
              </m:ctrlPr>
            </m:e>
          </m:func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,</m:t>
          </m:r>
        </m:oMath>
      </m:oMathPara>
    </w:p>
    <w:p w14:paraId="4CEE6BE7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其对腔模基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p</m:t>
            </m:r>
          </m:sub>
          <m:sup>
            <m:sSup>
              <m:sSupPr/>
              <m:e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l</m:t>
                </m:r>
              </m:e>
              <m:sup>
                <m:r>
                  <m:rPr/>
                  <w:rPr>
                    <w:rFonts w:ascii="Cambria Math" w:hAnsi="Cambria Math" w:eastAsia="Cambria Math" w:cs="Cambria Math"/>
                    <w:sz w:val="24"/>
                    <w:szCs w:val="24"/>
                  </w:rPr>
                  <m:t>′</m:t>
                </m:r>
              </m:sup>
            </m:sSup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的投影在角向积分后满足 </w:t>
      </w:r>
      <m:oMath>
        <m:sSup>
          <m:s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e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′</m:t>
            </m:r>
          </m:sup>
        </m:sSup>
        <m:r>
          <m:rPr/>
          <w:rPr>
            <w:rFonts w:ascii="Cambria Math" w:hAnsi="Cambria Math" w:eastAsia="Cambria Math" w:cs="Cambria Math"/>
            <w:sz w:val="24"/>
            <w:szCs w:val="24"/>
          </w:rPr>
          <m:t>=l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。因此，束腰大小失配、束腰位置偏差、波前曲率失配以及以腔轴为中心的圆对称截断，主要改变同一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子空间内的径向展开系数，在理想条件下不引入不同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之间的混合。</w:t>
      </w:r>
    </w:p>
    <w:p w14:paraId="71AE6AAF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对于仅含束腰大小失配的典型情形，设入射场为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>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η=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/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w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为束腰比，则同一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子空间内的径向展开权重为</w:t>
      </w:r>
    </w:p>
    <w:p w14:paraId="4B3FBFBF">
      <w:pPr>
        <w:keepLines/>
        <w:spacing w:before="80" w:after="80" w:line="240" w:lineRule="auto"/>
        <w:jc w:val="center"/>
      </w:pPr>
      <m:oMathPara>
        <m:oMath>
          <m:sSup>
            <m:sSup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p,l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sub>
                  </m:sSub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p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p>
          </m:sSup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= binom</m:t>
          </m:r>
          <m:d>
            <m:d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p+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,p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sSup>
            <m:sSup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2η</m:t>
                      </m: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p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2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r>
                    <m:rPr/>
                    <w:rPr>
                      <w:rFonts w:ascii="Cambria Math" w:hAnsi="Cambria Math" w:eastAsia="Cambria Math" w:cs="Cambria Math"/>
                      <w:sz w:val="24"/>
                      <w:szCs w:val="24"/>
                    </w:rPr>
                    <m:t>l</m:t>
                  </m: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+2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p>
          </m:sSup>
          <m:sSup>
            <m:sSupP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1−</m:t>
                      </m:r>
                      <m:sSup>
                        <m:sSup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="Cambria Math" w:cs="Cambria Math"/>
                          <w:sz w:val="24"/>
                          <w:szCs w:val="24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η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 w:hAnsi="Cambria Math" w:eastAsia="Cambria Math" w:cs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ambria Math"/>
                              <w:i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 w:eastAsia="Cambria Math"/>
                          <w:i/>
                          <w:sz w:val="21"/>
                        </w:rPr>
                      </m:ctrlPr>
                    </m:den>
                  </m:f>
                  <m:ctrlPr>
                    <w:rPr>
                      <w:rFonts w:ascii="Cambria Math" w:hAnsi="Cambria Math" w:eastAsia="Cambria Math"/>
                      <w:i/>
                      <w:sz w:val="21"/>
                    </w:rPr>
                  </m:ctrlPr>
                </m:e>
              </m:d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  <m:sup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2p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sup>
          </m:sSup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.</m:t>
          </m:r>
        </m:oMath>
      </m:oMathPara>
    </w:p>
    <w:p w14:paraId="67ABEC1C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每增加一个径向阶，权重额外乘以失配小参数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s=(1−</m:t>
        </m:r>
        <m:sSup>
          <m:s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</m:sSup>
        <m:r>
          <m:rPr/>
          <w:rPr>
            <w:rFonts w:ascii="Cambria Math" w:hAnsi="Cambria Math" w:eastAsia="Cambria Math" w:cs="Cambria Math"/>
            <w:sz w:val="24"/>
            <w:szCs w:val="24"/>
          </w:rPr>
          <m:t>)/(1+</m:t>
        </m:r>
        <m:sSup>
          <m:s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sup>
        </m:sSup>
        <m:r>
          <m:rPr/>
          <w:rPr>
            <w:rFonts w:ascii="Cambria Math" w:hAnsi="Cambria Math" w:eastAsia="Cambria Math" w:cs="Cambria Math"/>
            <w:sz w:val="24"/>
            <w:szCs w:val="24"/>
          </w:rPr>
          <m:t>)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的平方因子。因此，在轻微失配下，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是首要可观测寄生项，更高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项按更高阶幂次迅速衰减。以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|l|=8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η=0.95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为例，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的功率权重约为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2.308%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p≥2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的总权重保持在更低水平。横向偏移、相位倾斜、像散和偏心截断等破坏圆对称的误差会将 </w:t>
      </w:r>
      <m:oMath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exp</m:t>
        </m:r>
        <m:r>
          <m:rPr/>
          <w:rPr>
            <w:rFonts w:ascii="Cambria Math" w:hAnsi="Cambria Math" w:eastAsia="Cambria Math" w:cs="Cambria Math"/>
            <w:sz w:val="24"/>
            <w:szCs w:val="24"/>
          </w:rPr>
          <m:t>(ilϕ)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耦合到多个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l+m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分量中，从而抬升 other-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混模水平。</w:t>
      </w:r>
    </w:p>
    <w:p w14:paraId="498DD353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24"/>
          <w:szCs w:val="24"/>
        </w:rPr>
        <w:t>C.相同横模阶数简并与卫星峰</w:t>
      </w:r>
    </w:p>
    <w:p w14:paraId="60F0F93B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在稳定各向同性 FP 腔中，横模共振位置由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决定。因此，即使输入端名义上制备的是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，只要其相对于腔本征模基存在少量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或更高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的分量，这些分量在扫频过程中也会在对应的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共振位置透射出来，形成卫星峰。以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为例，其横模阶数为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N=5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。若存在少量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寄生分量，其阶数为</w:t>
      </w:r>
    </w:p>
    <w:p w14:paraId="179643B9">
      <w:pPr>
        <w:keepLines/>
        <w:spacing w:before="80" w:after="80" w:line="240" w:lineRule="auto"/>
        <w:jc w:val="center"/>
      </w:pPr>
      <m:oMathPara>
        <m:oMath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N=2×1+</m:t>
          </m:r>
          <m:d>
            <m:dPr>
              <m:begChr m:val="|"/>
              <m:endChr m:val="|"/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dPr>
            <m:e>
              <m:r>
                <m:rPr/>
                <w:rPr>
                  <w:rFonts w:ascii="Cambria Math" w:hAnsi="Cambria Math" w:eastAsia="Cambria Math" w:cs="Cambria Math"/>
                  <w:sz w:val="24"/>
                  <w:szCs w:val="24"/>
                </w:rPr>
                <m:t>4</m:t>
              </m:r>
              <m:ctrlPr>
                <w:rPr>
                  <w:rFonts w:ascii="Cambria Math" w:hAnsi="Cambria Math" w:eastAsia="Cambria Math"/>
                  <w:i/>
                  <w:sz w:val="21"/>
                </w:rPr>
              </m:ctrlPr>
            </m:e>
          </m:d>
          <m:r>
            <m:rPr/>
            <w:rPr>
              <w:rFonts w:ascii="Cambria Math" w:hAnsi="Cambria Math" w:eastAsia="Cambria Math" w:cs="Cambria Math"/>
              <w:sz w:val="24"/>
              <w:szCs w:val="24"/>
            </w:rPr>
            <m:t>+1=7,</m:t>
          </m:r>
        </m:oMath>
      </m:oMathPara>
    </w:p>
    <w:p w14:paraId="7AB0CA4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6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同样具有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N=2×0+|6|+1=7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。因此，频谱中出现在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6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共振位置附近的弱峰，可由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  <m:sSubSup>
          <m:sSub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G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1</m:t>
            </m:r>
          </m:sub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4</m:t>
            </m:r>
          </m:sup>
        </m:sSubSup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径向寄生分量被腔选择性透射来解释，而不必将其理解为角向指数真正从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l=4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转换成了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l=6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。图 5 展示了轴对称束腰失配下的径向泄漏分布以及卫星峰的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简并来源。</w:t>
      </w:r>
    </w:p>
    <w:p w14:paraId="6B4CD6DD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这一解释与第 2–4 节的折叠谱描述一致：折叠谱设计决定不同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在单 FSR 内的共振排布，Airy 串扰分析给出有限线宽下的通道泄漏水平，空间模式匹配误差则决定各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位置上实际可被腔选出的权重。主峰位置、容量边界与寄生卫星峰由此处在同一物理图像中。</w:t>
      </w:r>
    </w:p>
    <w:p w14:paraId="7DDBCACD">
      <w:pPr>
        <w:keepNext/>
        <w:spacing w:before="240" w:after="0" w:line="300" w:lineRule="auto"/>
        <w:jc w:val="both"/>
      </w:pPr>
      <w:r>
        <w:rPr>
          <w:rFonts w:hint="eastAsia" w:ascii="Times New Roman" w:hAnsi="Times New Roman" w:eastAsia="??" w:cs="Times New Roman"/>
          <w:b/>
          <w:bCs/>
          <w:sz w:val="30"/>
          <w:szCs w:val="30"/>
        </w:rPr>
        <w:t>VI.结论</w:t>
      </w:r>
    </w:p>
    <w:p w14:paraId="740017AD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本文以有效归一化 Gouy 步长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描述稳定双镜 FP 腔中的 LG 模式分束。单 FSR 内的模式组排布、最小间距和容量条件由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控制；平凹腔和对称双凹腔的差异体现在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到 </w:t>
      </w:r>
      <m:oMath>
        <m:f>
          <m:fPr>
            <m:type m:val="lin"/>
          </m:fPr>
          <m:num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L</m:t>
            </m:r>
          </m:num>
          <m:den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den>
        </m:f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的回代关系以及相应的鲁棒性排序上。小几何比极限下，对称双凹腔相对于平凹腔的步长增强因子为 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2</m:t>
            </m:r>
          </m:e>
        </m:rad>
      </m:oMath>
      <w:r>
        <w:rPr>
          <w:rFonts w:hint="eastAsia" w:ascii="Times New Roman" w:hAnsi="Times New Roman" w:eastAsia="??" w:cs="Times New Roman"/>
          <w:sz w:val="24"/>
          <w:szCs w:val="24"/>
        </w:rPr>
        <w:t>，这一结果来自两类边界条件下腔本征模参数与 Gouy 相位积累方式的共同改变。</w:t>
      </w:r>
    </w:p>
    <w:p w14:paraId="429935C5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对于连续模式组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，解析最优分支为 </w:t>
      </w:r>
      <m:oMath>
        <m:sSup>
          <m:s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∗</m:t>
            </m:r>
          </m:sup>
        </m:sSup>
        <m:r>
          <m:rPr/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（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），对应最优间距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。最小间距景观可由 Farey 邻分数骨架组织，目标模式数增加时，高阶差值约束在既有粗轮廓下方继续细化。引入周期 Airy 透射函数后，有限维串扰求和给出条件概率矩阵、分选成功率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和串扰指标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，并推出容量边界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M≤⌊F/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⌋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。以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为例，理论值为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；在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τ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0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=3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边界标度下，大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极限值为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≈91.7635%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、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≈10.4693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。</w:t>
      </w:r>
    </w:p>
    <w:p w14:paraId="0AB08C07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OAM 连续序列对应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、单符号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的特例。单个各向同性 FP 腔按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对模式成组响应，不能单独区分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与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。轴对称模式失配主要激发同一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子空间内的径向高阶分量，其中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是首要可观测寄生项；破坏圆对称的误差则会引入角向混模。卫星峰可由径向寄生项与目标模式共享同一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的简并关系解释。由此，Gouy 相位折叠谱、Airy 串扰、腔型回代和空间模式误差共同给出稳定双镜 FP 腔中 LG 模式分束的设计依据。</w:t>
      </w:r>
    </w:p>
    <w:p w14:paraId="31F8AAA2">
      <w:pPr>
        <w:keepNext/>
        <w:spacing w:before="160" w:after="80" w:line="240" w:lineRule="auto"/>
        <w:jc w:val="center"/>
      </w:pPr>
      <w:r>
        <w:drawing>
          <wp:inline distT="0" distB="0" distL="0" distR="0">
            <wp:extent cx="4709160" cy="1927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92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C445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图 1. 稳定双镜 FP 腔中 LG 模式分束的统一折叠谱框架。</w:t>
      </w:r>
    </w:p>
    <w:p w14:paraId="1D94667B">
      <w:pPr>
        <w:keepLines/>
        <w:spacing w:after="120" w:line="240" w:lineRule="auto"/>
        <w:jc w:val="center"/>
      </w:pPr>
      <w:r>
        <w:rPr>
          <w:rFonts w:hint="eastAsia" w:ascii="Times New Roman" w:hAnsi="Times New Roman" w:eastAsia="??" w:cs="Times New Roman"/>
          <w:sz w:val="20"/>
          <w:szCs w:val="20"/>
        </w:rPr>
        <w:t>Fig. 1. Unified folded-spectrum framework for LG mode sorting in stable two-mirror FP cavities.</w:t>
      </w:r>
    </w:p>
    <w:p w14:paraId="612C473C">
      <w:pPr>
        <w:keepNext/>
        <w:spacing w:before="160" w:after="80" w:line="240" w:lineRule="auto"/>
        <w:jc w:val="center"/>
      </w:pPr>
      <w:r>
        <w:drawing>
          <wp:inline distT="0" distB="0" distL="0" distR="0">
            <wp:extent cx="4709160" cy="18167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81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BEBB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图 2. 连续模式组的最小间距景观与解析最优分支。</w:t>
      </w:r>
    </w:p>
    <w:p w14:paraId="29630864">
      <w:pPr>
        <w:keepLines/>
        <w:spacing w:after="120" w:line="240" w:lineRule="auto"/>
        <w:jc w:val="center"/>
      </w:pPr>
      <w:r>
        <w:rPr>
          <w:rFonts w:hint="eastAsia" w:ascii="Times New Roman" w:hAnsi="Times New Roman" w:eastAsia="??" w:cs="Times New Roman"/>
          <w:sz w:val="20"/>
          <w:szCs w:val="20"/>
        </w:rPr>
        <w:t>Fig. 2. Minimum-spacing landscape and analytic optimal branches for consecutive mode groups.</w:t>
      </w:r>
    </w:p>
    <w:p w14:paraId="5745B2ED">
      <w:pPr>
        <w:keepNext/>
        <w:spacing w:before="160" w:after="80" w:line="240" w:lineRule="auto"/>
        <w:jc w:val="center"/>
      </w:pPr>
      <w:r>
        <w:drawing>
          <wp:inline distT="0" distB="0" distL="0" distR="0">
            <wp:extent cx="4709160" cy="21863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18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CB2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图 3.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连续模式组的 Airy 串扰热图与条件概率分布。</w:t>
      </w:r>
    </w:p>
    <w:p w14:paraId="74CF9008">
      <w:pPr>
        <w:keepLines/>
        <w:spacing w:after="120" w:line="240" w:lineRule="auto"/>
        <w:jc w:val="center"/>
      </w:pPr>
      <w:r>
        <w:rPr>
          <w:rFonts w:hint="eastAsia" w:ascii="Times New Roman" w:hAnsi="Times New Roman" w:eastAsia="??" w:cs="Times New Roman"/>
          <w:sz w:val="20"/>
          <w:szCs w:val="20"/>
        </w:rPr>
        <w:t xml:space="preserve">Fig. 3. Airy crosstalk maps and conditional probabilities for a consecutive mode group with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0"/>
          <w:szCs w:val="20"/>
        </w:rPr>
        <w:t>.</w:t>
      </w:r>
    </w:p>
    <w:p w14:paraId="59D58C0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表 1. τ_0=3 下连续模式组设计蓝图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80"/>
        <w:gridCol w:w="1080"/>
        <w:gridCol w:w="1080"/>
        <w:gridCol w:w="1080"/>
        <w:gridCol w:w="1080"/>
        <w:gridCol w:w="1097"/>
        <w:gridCol w:w="1080"/>
      </w:tblGrid>
      <w:tr w14:paraId="567B5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7069AB9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20E92297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2AE0C736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k*</w:t>
            </w:r>
          </w:p>
        </w:tc>
        <w:tc>
          <w:tcPr>
            <w:tcW w:w="1080" w:type="dxa"/>
            <w:vAlign w:val="center"/>
          </w:tcPr>
          <w:p w14:paraId="0C47199E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s_min</w:t>
            </w:r>
          </w:p>
        </w:tc>
        <w:tc>
          <w:tcPr>
            <w:tcW w:w="1080" w:type="dxa"/>
            <w:vAlign w:val="center"/>
          </w:tcPr>
          <w:p w14:paraId="1EAE8251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F_min</w:t>
            </w:r>
          </w:p>
        </w:tc>
        <w:tc>
          <w:tcPr>
            <w:tcW w:w="1080" w:type="dxa"/>
            <w:vAlign w:val="center"/>
          </w:tcPr>
          <w:p w14:paraId="27CA0E95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L/R</w:t>
            </w:r>
          </w:p>
        </w:tc>
        <w:tc>
          <w:tcPr>
            <w:tcW w:w="1080" w:type="dxa"/>
            <w:vAlign w:val="center"/>
          </w:tcPr>
          <w:p w14:paraId="0D9E239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ER_sum/dB</w:t>
            </w:r>
          </w:p>
        </w:tc>
        <w:tc>
          <w:tcPr>
            <w:tcW w:w="1080" w:type="dxa"/>
            <w:vAlign w:val="center"/>
          </w:tcPr>
          <w:p w14:paraId="06C88AA3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eta_sort</w:t>
            </w:r>
          </w:p>
        </w:tc>
      </w:tr>
      <w:tr w14:paraId="3F7D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53FEF7D9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4</w:t>
            </w:r>
          </w:p>
        </w:tc>
        <w:tc>
          <w:tcPr>
            <w:tcW w:w="1080" w:type="dxa"/>
            <w:vAlign w:val="center"/>
          </w:tcPr>
          <w:p w14:paraId="777724C2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30CA1A04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5454E8E3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587739B6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12.0000</w:t>
            </w:r>
          </w:p>
        </w:tc>
        <w:tc>
          <w:tcPr>
            <w:tcW w:w="1080" w:type="dxa"/>
            <w:vAlign w:val="center"/>
          </w:tcPr>
          <w:p w14:paraId="70EDCE82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0.5000</w:t>
            </w:r>
          </w:p>
        </w:tc>
        <w:tc>
          <w:tcPr>
            <w:tcW w:w="1080" w:type="dxa"/>
            <w:vAlign w:val="center"/>
          </w:tcPr>
          <w:p w14:paraId="6E1857CC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10.803</w:t>
            </w:r>
          </w:p>
        </w:tc>
        <w:tc>
          <w:tcPr>
            <w:tcW w:w="1080" w:type="dxa"/>
            <w:vAlign w:val="center"/>
          </w:tcPr>
          <w:p w14:paraId="36ED0FA4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92.326%</w:t>
            </w:r>
          </w:p>
        </w:tc>
      </w:tr>
      <w:tr w14:paraId="0109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5A4843D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6</w:t>
            </w:r>
          </w:p>
        </w:tc>
        <w:tc>
          <w:tcPr>
            <w:tcW w:w="1080" w:type="dxa"/>
            <w:vAlign w:val="center"/>
          </w:tcPr>
          <w:p w14:paraId="215FF7C3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79B0A716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0.1667</w:t>
            </w:r>
          </w:p>
        </w:tc>
        <w:tc>
          <w:tcPr>
            <w:tcW w:w="1080" w:type="dxa"/>
            <w:vAlign w:val="center"/>
          </w:tcPr>
          <w:p w14:paraId="0907007D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0.1667</w:t>
            </w:r>
          </w:p>
        </w:tc>
        <w:tc>
          <w:tcPr>
            <w:tcW w:w="1080" w:type="dxa"/>
            <w:vAlign w:val="center"/>
          </w:tcPr>
          <w:p w14:paraId="6CAA7ADF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18.0000</w:t>
            </w:r>
          </w:p>
        </w:tc>
        <w:tc>
          <w:tcPr>
            <w:tcW w:w="1080" w:type="dxa"/>
            <w:vAlign w:val="center"/>
          </w:tcPr>
          <w:p w14:paraId="6338B771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0.2500</w:t>
            </w:r>
          </w:p>
        </w:tc>
        <w:tc>
          <w:tcPr>
            <w:tcW w:w="1080" w:type="dxa"/>
            <w:vAlign w:val="center"/>
          </w:tcPr>
          <w:p w14:paraId="11E262C3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10.616</w:t>
            </w:r>
          </w:p>
        </w:tc>
        <w:tc>
          <w:tcPr>
            <w:tcW w:w="1080" w:type="dxa"/>
            <w:vAlign w:val="center"/>
          </w:tcPr>
          <w:p w14:paraId="34F39E38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92.015%</w:t>
            </w:r>
          </w:p>
        </w:tc>
      </w:tr>
      <w:tr w14:paraId="4C81E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685FC297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</w:t>
            </w:r>
          </w:p>
        </w:tc>
        <w:tc>
          <w:tcPr>
            <w:tcW w:w="1080" w:type="dxa"/>
            <w:vAlign w:val="center"/>
          </w:tcPr>
          <w:p w14:paraId="3CB913DE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2</w:t>
            </w:r>
          </w:p>
        </w:tc>
        <w:tc>
          <w:tcPr>
            <w:tcW w:w="1080" w:type="dxa"/>
            <w:vAlign w:val="center"/>
          </w:tcPr>
          <w:p w14:paraId="233BF801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0.2222</w:t>
            </w:r>
          </w:p>
        </w:tc>
        <w:tc>
          <w:tcPr>
            <w:tcW w:w="1080" w:type="dxa"/>
            <w:vAlign w:val="center"/>
          </w:tcPr>
          <w:p w14:paraId="4EA5F55C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0.1111</w:t>
            </w:r>
          </w:p>
        </w:tc>
        <w:tc>
          <w:tcPr>
            <w:tcW w:w="1080" w:type="dxa"/>
            <w:vAlign w:val="center"/>
          </w:tcPr>
          <w:p w14:paraId="4FC2B0B3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27.0000</w:t>
            </w:r>
          </w:p>
        </w:tc>
        <w:tc>
          <w:tcPr>
            <w:tcW w:w="1080" w:type="dxa"/>
            <w:vAlign w:val="center"/>
          </w:tcPr>
          <w:p w14:paraId="7B019A8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0.4132</w:t>
            </w:r>
          </w:p>
        </w:tc>
        <w:tc>
          <w:tcPr>
            <w:tcW w:w="1080" w:type="dxa"/>
            <w:vAlign w:val="center"/>
          </w:tcPr>
          <w:p w14:paraId="0792A655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10.534</w:t>
            </w:r>
          </w:p>
        </w:tc>
        <w:tc>
          <w:tcPr>
            <w:tcW w:w="1080" w:type="dxa"/>
            <w:vAlign w:val="center"/>
          </w:tcPr>
          <w:p w14:paraId="2003CAA5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91.875%</w:t>
            </w:r>
          </w:p>
        </w:tc>
      </w:tr>
      <w:tr w14:paraId="3BCC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2E4F0765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12</w:t>
            </w:r>
          </w:p>
        </w:tc>
        <w:tc>
          <w:tcPr>
            <w:tcW w:w="1080" w:type="dxa"/>
            <w:vAlign w:val="center"/>
          </w:tcPr>
          <w:p w14:paraId="28DB6CA2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</w:t>
            </w:r>
          </w:p>
        </w:tc>
        <w:tc>
          <w:tcPr>
            <w:tcW w:w="1080" w:type="dxa"/>
            <w:vAlign w:val="center"/>
          </w:tcPr>
          <w:p w14:paraId="04E34C83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0.0833</w:t>
            </w:r>
          </w:p>
        </w:tc>
        <w:tc>
          <w:tcPr>
            <w:tcW w:w="1080" w:type="dxa"/>
            <w:vAlign w:val="center"/>
          </w:tcPr>
          <w:p w14:paraId="1EFADFE9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0.0833</w:t>
            </w:r>
          </w:p>
        </w:tc>
        <w:tc>
          <w:tcPr>
            <w:tcW w:w="1080" w:type="dxa"/>
            <w:vAlign w:val="center"/>
          </w:tcPr>
          <w:p w14:paraId="196CA877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36.0000</w:t>
            </w:r>
          </w:p>
        </w:tc>
        <w:tc>
          <w:tcPr>
            <w:tcW w:w="1080" w:type="dxa"/>
            <w:vAlign w:val="center"/>
          </w:tcPr>
          <w:p w14:paraId="7887A742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0.0670</w:t>
            </w:r>
          </w:p>
        </w:tc>
        <w:tc>
          <w:tcPr>
            <w:tcW w:w="1080" w:type="dxa"/>
            <w:vAlign w:val="center"/>
          </w:tcPr>
          <w:p w14:paraId="07287A81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10.506</w:t>
            </w:r>
          </w:p>
        </w:tc>
        <w:tc>
          <w:tcPr>
            <w:tcW w:w="1080" w:type="dxa"/>
            <w:vAlign w:val="center"/>
          </w:tcPr>
          <w:p w14:paraId="36F04D27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91.826%</w:t>
            </w:r>
          </w:p>
        </w:tc>
      </w:tr>
      <w:tr w14:paraId="299BE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34BDE96D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15</w:t>
            </w:r>
          </w:p>
        </w:tc>
        <w:tc>
          <w:tcPr>
            <w:tcW w:w="1080" w:type="dxa"/>
            <w:vAlign w:val="center"/>
          </w:tcPr>
          <w:p w14:paraId="74B0D39C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4</w:t>
            </w:r>
          </w:p>
        </w:tc>
        <w:tc>
          <w:tcPr>
            <w:tcW w:w="1080" w:type="dxa"/>
            <w:vAlign w:val="center"/>
          </w:tcPr>
          <w:p w14:paraId="3EB2FFC8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0.2667</w:t>
            </w:r>
          </w:p>
        </w:tc>
        <w:tc>
          <w:tcPr>
            <w:tcW w:w="1080" w:type="dxa"/>
            <w:vAlign w:val="center"/>
          </w:tcPr>
          <w:p w14:paraId="740B7C16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0.0667</w:t>
            </w:r>
          </w:p>
        </w:tc>
        <w:tc>
          <w:tcPr>
            <w:tcW w:w="1080" w:type="dxa"/>
            <w:vAlign w:val="center"/>
          </w:tcPr>
          <w:p w14:paraId="77A44F6D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45.0000</w:t>
            </w:r>
          </w:p>
        </w:tc>
        <w:tc>
          <w:tcPr>
            <w:tcW w:w="1080" w:type="dxa"/>
            <w:vAlign w:val="center"/>
          </w:tcPr>
          <w:p w14:paraId="7587F71D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0.5523</w:t>
            </w:r>
          </w:p>
        </w:tc>
        <w:tc>
          <w:tcPr>
            <w:tcW w:w="1080" w:type="dxa"/>
            <w:vAlign w:val="center"/>
          </w:tcPr>
          <w:p w14:paraId="7C2010BD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10.492</w:t>
            </w:r>
          </w:p>
        </w:tc>
        <w:tc>
          <w:tcPr>
            <w:tcW w:w="1080" w:type="dxa"/>
            <w:vAlign w:val="center"/>
          </w:tcPr>
          <w:p w14:paraId="752F1094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91.804%</w:t>
            </w:r>
          </w:p>
        </w:tc>
      </w:tr>
      <w:tr w14:paraId="38903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5D5D0804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20</w:t>
            </w:r>
          </w:p>
        </w:tc>
        <w:tc>
          <w:tcPr>
            <w:tcW w:w="1080" w:type="dxa"/>
            <w:vAlign w:val="center"/>
          </w:tcPr>
          <w:p w14:paraId="55096A34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7</w:t>
            </w:r>
          </w:p>
        </w:tc>
        <w:tc>
          <w:tcPr>
            <w:tcW w:w="1080" w:type="dxa"/>
            <w:vAlign w:val="center"/>
          </w:tcPr>
          <w:p w14:paraId="653C242E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0.3500</w:t>
            </w:r>
          </w:p>
        </w:tc>
        <w:tc>
          <w:tcPr>
            <w:tcW w:w="1080" w:type="dxa"/>
            <w:vAlign w:val="center"/>
          </w:tcPr>
          <w:p w14:paraId="4F44EA00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0.0500</w:t>
            </w:r>
          </w:p>
        </w:tc>
        <w:tc>
          <w:tcPr>
            <w:tcW w:w="1080" w:type="dxa"/>
            <w:vAlign w:val="center"/>
          </w:tcPr>
          <w:p w14:paraId="21D1F46B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60.0000</w:t>
            </w:r>
          </w:p>
        </w:tc>
        <w:tc>
          <w:tcPr>
            <w:tcW w:w="1080" w:type="dxa"/>
            <w:vAlign w:val="center"/>
          </w:tcPr>
          <w:p w14:paraId="0E9A6E5D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0.7939</w:t>
            </w:r>
          </w:p>
        </w:tc>
        <w:tc>
          <w:tcPr>
            <w:tcW w:w="1080" w:type="dxa"/>
            <w:vAlign w:val="center"/>
          </w:tcPr>
          <w:p w14:paraId="55888FD2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10.482</w:t>
            </w:r>
          </w:p>
        </w:tc>
        <w:tc>
          <w:tcPr>
            <w:tcW w:w="1080" w:type="dxa"/>
            <w:vAlign w:val="center"/>
          </w:tcPr>
          <w:p w14:paraId="7302414E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91.786%</w:t>
            </w:r>
          </w:p>
        </w:tc>
      </w:tr>
      <w:tr w14:paraId="0D7CD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103E1870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30</w:t>
            </w:r>
          </w:p>
        </w:tc>
        <w:tc>
          <w:tcPr>
            <w:tcW w:w="1080" w:type="dxa"/>
            <w:vAlign w:val="center"/>
          </w:tcPr>
          <w:p w14:paraId="393C42C6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7</w:t>
            </w:r>
          </w:p>
        </w:tc>
        <w:tc>
          <w:tcPr>
            <w:tcW w:w="1080" w:type="dxa"/>
            <w:vAlign w:val="center"/>
          </w:tcPr>
          <w:p w14:paraId="57DA87B6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0.2333</w:t>
            </w:r>
          </w:p>
        </w:tc>
        <w:tc>
          <w:tcPr>
            <w:tcW w:w="1080" w:type="dxa"/>
            <w:vAlign w:val="center"/>
          </w:tcPr>
          <w:p w14:paraId="75952C87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0.0333</w:t>
            </w:r>
          </w:p>
        </w:tc>
        <w:tc>
          <w:tcPr>
            <w:tcW w:w="1080" w:type="dxa"/>
            <w:vAlign w:val="center"/>
          </w:tcPr>
          <w:p w14:paraId="76DA27F5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90.0000</w:t>
            </w:r>
          </w:p>
        </w:tc>
        <w:tc>
          <w:tcPr>
            <w:tcW w:w="1080" w:type="dxa"/>
            <w:vAlign w:val="center"/>
          </w:tcPr>
          <w:p w14:paraId="2A3BD805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0.4477</w:t>
            </w:r>
          </w:p>
        </w:tc>
        <w:tc>
          <w:tcPr>
            <w:tcW w:w="1080" w:type="dxa"/>
            <w:vAlign w:val="center"/>
          </w:tcPr>
          <w:p w14:paraId="54DAEE97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10.475</w:t>
            </w:r>
          </w:p>
        </w:tc>
        <w:tc>
          <w:tcPr>
            <w:tcW w:w="1080" w:type="dxa"/>
            <w:vAlign w:val="center"/>
          </w:tcPr>
          <w:p w14:paraId="6DFFE83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91.774%</w:t>
            </w:r>
          </w:p>
        </w:tc>
      </w:tr>
      <w:tr w14:paraId="34D44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0A353511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50</w:t>
            </w:r>
          </w:p>
        </w:tc>
        <w:tc>
          <w:tcPr>
            <w:tcW w:w="1080" w:type="dxa"/>
            <w:vAlign w:val="center"/>
          </w:tcPr>
          <w:p w14:paraId="36417809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13</w:t>
            </w:r>
          </w:p>
        </w:tc>
        <w:tc>
          <w:tcPr>
            <w:tcW w:w="1080" w:type="dxa"/>
            <w:vAlign w:val="center"/>
          </w:tcPr>
          <w:p w14:paraId="08A6C737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0.2600</w:t>
            </w:r>
          </w:p>
        </w:tc>
        <w:tc>
          <w:tcPr>
            <w:tcW w:w="1080" w:type="dxa"/>
            <w:vAlign w:val="center"/>
          </w:tcPr>
          <w:p w14:paraId="01354993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0.0200</w:t>
            </w:r>
          </w:p>
        </w:tc>
        <w:tc>
          <w:tcPr>
            <w:tcW w:w="1080" w:type="dxa"/>
            <w:vAlign w:val="center"/>
          </w:tcPr>
          <w:p w14:paraId="74542F8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150.0000</w:t>
            </w:r>
          </w:p>
        </w:tc>
        <w:tc>
          <w:tcPr>
            <w:tcW w:w="1080" w:type="dxa"/>
            <w:vAlign w:val="center"/>
          </w:tcPr>
          <w:p w14:paraId="5CB0C89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0.5314</w:t>
            </w:r>
          </w:p>
        </w:tc>
        <w:tc>
          <w:tcPr>
            <w:tcW w:w="1080" w:type="dxa"/>
            <w:vAlign w:val="center"/>
          </w:tcPr>
          <w:p w14:paraId="050CB0EA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10.471</w:t>
            </w:r>
          </w:p>
        </w:tc>
        <w:tc>
          <w:tcPr>
            <w:tcW w:w="1080" w:type="dxa"/>
            <w:vAlign w:val="center"/>
          </w:tcPr>
          <w:p w14:paraId="52EBA2E0">
            <w:pPr>
              <w:spacing w:after="0" w:line="240" w:lineRule="auto"/>
              <w:jc w:val="center"/>
            </w:pPr>
            <w:r>
              <w:rPr>
                <w:rFonts w:hint="eastAsia" w:ascii="Times New Roman" w:hAnsi="Times New Roman" w:eastAsia="??" w:cs="Times New Roman"/>
                <w:sz w:val="18"/>
                <w:szCs w:val="18"/>
              </w:rPr>
              <w:t>91.767%</w:t>
            </w:r>
          </w:p>
        </w:tc>
      </w:tr>
    </w:tbl>
    <w:p w14:paraId="4F0599ED">
      <w:pPr>
        <w:keepNext/>
        <w:spacing w:before="160" w:after="80" w:line="240" w:lineRule="auto"/>
        <w:jc w:val="center"/>
      </w:pPr>
      <w:r>
        <w:drawing>
          <wp:inline distT="0" distB="0" distL="0" distR="0">
            <wp:extent cx="4709160" cy="1777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77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0260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图 4. 平凹腔与对称双凹腔的几何实现及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鲁棒分支比较。</w:t>
      </w:r>
    </w:p>
    <w:p w14:paraId="003AD839">
      <w:pPr>
        <w:keepLines/>
        <w:spacing w:after="120" w:line="240" w:lineRule="auto"/>
        <w:jc w:val="center"/>
      </w:pPr>
      <w:r>
        <w:rPr>
          <w:rFonts w:hint="eastAsia" w:ascii="Times New Roman" w:hAnsi="Times New Roman" w:eastAsia="??" w:cs="Times New Roman"/>
          <w:sz w:val="20"/>
          <w:szCs w:val="20"/>
        </w:rPr>
        <w:t xml:space="preserve">Fig. 4. Geometry realization and robust-branch comparison between plane-concave and symmetric double-concave cavities for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0"/>
          <w:szCs w:val="20"/>
        </w:rPr>
        <w:t>.</w:t>
      </w:r>
    </w:p>
    <w:p w14:paraId="6C85B0C9">
      <w:pPr>
        <w:keepNext/>
        <w:spacing w:before="160" w:after="80" w:line="240" w:lineRule="auto"/>
        <w:jc w:val="center"/>
      </w:pPr>
      <w:r>
        <w:drawing>
          <wp:inline distT="0" distB="0" distL="0" distR="0">
            <wp:extent cx="4709160" cy="18649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86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040F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图 5. 径向寄生分量与卫星峰来源。</w:t>
      </w:r>
    </w:p>
    <w:p w14:paraId="1694910A">
      <w:pPr>
        <w:keepLines/>
        <w:spacing w:after="120" w:line="240" w:lineRule="auto"/>
        <w:jc w:val="center"/>
      </w:pPr>
      <w:r>
        <w:rPr>
          <w:rFonts w:hint="eastAsia" w:ascii="Times New Roman" w:hAnsi="Times New Roman" w:eastAsia="??" w:cs="Times New Roman"/>
          <w:sz w:val="20"/>
          <w:szCs w:val="20"/>
        </w:rPr>
        <w:t>Fig. 5. Radial parasitic components and the origin of satellite peaks.</w:t>
      </w:r>
    </w:p>
    <w:p w14:paraId="202ED451">
      <w:r>
        <w:br w:type="page"/>
      </w:r>
    </w:p>
    <w:p w14:paraId="5C8CDB16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参考文献</w:t>
      </w:r>
    </w:p>
    <w:p w14:paraId="22BDCC83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[1] Allen L, Beijersbergen M W, Spreeuw R J C, et al. Orbital angular momentum of light and the transformation of Laguerre-Gaussian laser modes[J]. Physical Review A, 1992, 45(11): 8185-8189.</w:t>
      </w:r>
    </w:p>
    <w:p w14:paraId="665B782F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[2] Shen Y, Wang X, Xie Z, et al. Optical vortices 30 years on: OAM manipulation from topological charge to multiple singularities[J]. Light: Science &amp; Applications, 2019, 8: 90.</w:t>
      </w:r>
    </w:p>
    <w:p w14:paraId="5E1E7E8F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[3] Gibson G, Courtial J, Padgett M J, et al. Free-space information transfer using light beams carrying orbital angular momentum[J]. Optics Express, 2004, 12(22): 5448-5456.</w:t>
      </w:r>
    </w:p>
    <w:p w14:paraId="52EA2BD5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[4] Wang J, Yang J Y, Fazal I M, et al. Terabit free-space data transmission employing orbital angular momentum multiplexing[J]. Nature Photonics, 2012, 6(7): 488-496.</w:t>
      </w:r>
    </w:p>
    <w:p w14:paraId="7CA07C31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[5] Bozinovic N, Yue Y, Ren Y, et al. Terabit-scale orbital angular momentum mode division multiplexing in fibers[J]. Science, 2013, 340(6140): 1545-1548.</w:t>
      </w:r>
    </w:p>
    <w:p w14:paraId="33C960A2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[6] Erhard M, Krenn M, Zeilinger A. Advances in high-dimensional quantum entanglement[J]. Nature Reviews Physics, 2020, 2(7): 365-381.</w:t>
      </w:r>
    </w:p>
    <w:p w14:paraId="4F8CF201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[7] 刘俊, 王健. 轨道角动量光信号处理研究进展[J]. 通信学报, 2021, 42(11): 217-232.</w:t>
      </w:r>
    </w:p>
    <w:p w14:paraId="6D2CF151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[8] Guo H, Liu N, Li Z, et al. Generation of continuous-variable high-dimensional entanglement with three degrees of freedom and multiplexing quantum dense coding[J]. Photonics Research, 2022, 10(12): 2828-2835.</w:t>
      </w:r>
    </w:p>
    <w:p w14:paraId="7032B246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[9] Leach J, Padgett M J, Barnett S M, et al. Measuring the orbital angular momentum of a single photon[J]. Physical Review Letters, 2002, 88(25): 257901.</w:t>
      </w:r>
    </w:p>
    <w:p w14:paraId="63EE1F63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[10] Berkhout G C G, Lavery M P J, Courtial J, et al. Efficient sorting of orbital angular momentum states of light[J]. Physical Review Letters, 2010, 105(15): 153601.</w:t>
      </w:r>
    </w:p>
    <w:p w14:paraId="413711D3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[11] Mirhosseini M, Malik M, Shi Z, et al. Efficient separation of the orbital angular momentum eigenstates of light[J]. Nature Communications, 2013, 4: 2781.</w:t>
      </w:r>
    </w:p>
    <w:p w14:paraId="78B3A4F7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[12] Labroille G, Denolle B, Jian P, et al. Efficient and mode selective spatial mode multiplexer based on multi-plane light conversion[J]. Optics Express, 2014, 22(13): 15599-15607.</w:t>
      </w:r>
    </w:p>
    <w:p w14:paraId="1ECC855A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[13] Fontaine N K, Ryf R, Chen H, et al. Laguerre-Gaussian mode sorter[J]. Nature Communications, 2019, 10: 1865.</w:t>
      </w:r>
    </w:p>
    <w:p w14:paraId="27249DA5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[14] Brandt F, Hiekkamaki M, Bouchard F, et al. High-dimensional quantum gates using full-field spatial modes of photons[J]. Optica, 2020, 7(2): 98-107.</w:t>
      </w:r>
    </w:p>
    <w:p w14:paraId="42C09583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[15] Kogelnik H, Li T. Laser beams and resonators[J]. Applied Optics, 1966, 5(10): 1550-1567.</w:t>
      </w:r>
    </w:p>
    <w:p w14:paraId="7134A2DF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[16] Siegman A E. Lasers[M]. Sausalito: University Science Books, 1986.</w:t>
      </w:r>
    </w:p>
    <w:p w14:paraId="0B592E84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[17] 张天才, 毋伟, 杨鹏飞, 等. 高精细度法布里-珀罗光学微腔及其在强耦合腔量子电动力学中的应用[J]. 光学学报, 2021, 41(1): 0127001.</w:t>
      </w:r>
    </w:p>
    <w:p w14:paraId="775A27D6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[18] Foster D H, Nöckel J U. Bragg-induced orbital-angular-momentum mixing in paraxial high-finesse cavities[J]. Optics Letters, 2004, 29(23): 2788-2790.</w:t>
      </w:r>
    </w:p>
    <w:p w14:paraId="58B72B2F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[19] Paul S, Lyubopytov V S, Schumann M F, et al. Wavelength-selective orbital-angular-momentum beam generation using MEMS tunable Fabry-Perot filter[J]. Optics Letters, 2016, 41(14): 3249-3252.</w:t>
      </w:r>
    </w:p>
    <w:p w14:paraId="0600A064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[20] Lyubopytov V S, Porfirev A P, Gurbatov S O, et al. Simultaneous wavelength and orbital angular momentum demultiplexing using tunable MEMS-based Fabry-Perot filter[J]. Optics Express, 2017, 25(9): 9634-9646.</w:t>
      </w:r>
    </w:p>
    <w:p w14:paraId="6115C889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[21] Wei S, Earl S K, Lin J, et al. Active sorting of orbital angular momentum states of light with a cascaded tunable resonator[J]. Light: Science &amp; Applications, 2020, 9: 10.</w:t>
      </w:r>
    </w:p>
    <w:p w14:paraId="1BBB100E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[22] Vanani F G, Fardoost A, Zhang Y, et al. Low-crosstalk mode-group demultiplexers based on Fabry-Perot thin-film filters[J]. Optics Express, 2022, 30(22): 39258-39268.</w:t>
      </w:r>
    </w:p>
    <w:p w14:paraId="7263AC38">
      <w:pPr>
        <w:spacing w:after="80" w:line="300" w:lineRule="auto"/>
        <w:ind w:left="360" w:hanging="360"/>
        <w:jc w:val="both"/>
      </w:pPr>
      <w:r>
        <w:rPr>
          <w:rFonts w:hint="eastAsia" w:ascii="Times New Roman" w:hAnsi="Times New Roman" w:eastAsia="??" w:cs="Times New Roman"/>
          <w:sz w:val="20"/>
          <w:szCs w:val="20"/>
        </w:rPr>
        <w:t>[23] Yang Y F, Chen M Y, Li F P, et al. Scalable cyclic transformation of orbital angular momentum modes based on a nonreciprocal Mach-Zehnder interferometer[J]. Photonics Research, 2024, 12(10): 2249-2256.</w:t>
      </w:r>
    </w:p>
    <w:p w14:paraId="17572E25">
      <w:r>
        <w:br w:type="page"/>
      </w:r>
    </w:p>
    <w:p w14:paraId="74D2D6F4">
      <w:pPr>
        <w:keepLines/>
        <w:spacing w:after="0" w:line="300" w:lineRule="auto"/>
        <w:ind w:firstLine="480" w:firstLineChars="200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英文摘要</w:t>
      </w:r>
    </w:p>
    <w:p w14:paraId="578D3D29">
      <w:pPr>
        <w:keepNext/>
        <w:spacing w:after="240" w:line="300" w:lineRule="auto"/>
        <w:jc w:val="center"/>
      </w:pPr>
      <w:r>
        <w:rPr>
          <w:rFonts w:hint="eastAsia" w:ascii="Times New Roman" w:hAnsi="Times New Roman" w:eastAsia="??" w:cs="Times New Roman"/>
          <w:b/>
          <w:bCs/>
          <w:sz w:val="28"/>
          <w:szCs w:val="28"/>
        </w:rPr>
        <w:t>Unified design framework and error mechanism for Laguerre-Gaussian mode sorting in stable two-mirror Fabry-Perot cavities</w:t>
      </w:r>
    </w:p>
    <w:p w14:paraId="607024BC">
      <w:pPr>
        <w:spacing w:after="120" w:line="300" w:lineRule="auto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 xml:space="preserve">Abstract: Fabry-Perot (FP) cavities can perform mode-preserving spectral sorting of Laguerre-Gaussian (LG) modes through Gouy-phase-dependent resonances. In a stable isotropic FP cavity, the transverse resonance frequency is determined by the mode order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N=2p+|l|+1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so a single cavity responds to LG modes as groups with the same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. Using the effective normalized Gouy step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eff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as the design parameter, this work gives a folded-spectrum method for stable two-mirror FP cavities and derives the corresponding geometric back-substitution relations for plane-concave, symmetric double-concave, and general stable two-mirror cavities. For consecutive mode groups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={1,2,…,M}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the optimal arrangement is obtained at </w:t>
      </w:r>
      <m:oMath>
        <m:sSup>
          <m:sSup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k</m:t>
            </m:r>
          </m:e>
          <m:sup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∗</m:t>
            </m:r>
          </m:sup>
        </m:sSup>
        <m:r>
          <m:rPr/>
          <w:rPr>
            <w:rFonts w:ascii="Cambria Math" w:hAnsi="Cambria Math" w:eastAsia="Cambria Math" w:cs="Cambria Math"/>
            <w:sz w:val="24"/>
            <w:szCs w:val="24"/>
          </w:rPr>
          <m:t>=m/M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with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gcd(m,M)=1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giving the minimum circular spacing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s</m:t>
            </m:r>
          </m:e>
          <m:sub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min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=1/M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. The hierarchy of the spacing landscape is organized by the Farey-neighbor structure. A periodic Airy transmission function is then used to calculate finite-dimensional crosstalk sums and conditional probabilities, leading to the sorting efficiency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the crosstalk metric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and the capacity boundary. For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M=9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F=32.21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and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k=2/9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the theoretical calculation gives </w:t>
      </w:r>
      <m:oMath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η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sort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=94.1166%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and an average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E</m:t>
        </m:r>
        <m:sSub>
          <m:sSubPr/>
          <m:e>
            <m:r>
              <m:rPr/>
              <w:rPr>
                <w:rFonts w:ascii="Cambria Math" w:hAnsi="Cambria Math" w:eastAsia="Cambria Math" w:cs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4"/>
                <w:szCs w:val="24"/>
              </w:rPr>
              <m:t>sum</m:t>
            </m:r>
          </m:sub>
        </m:sSub>
        <m:r>
          <m:rPr/>
          <w:rPr>
            <w:rFonts w:ascii="Cambria Math" w:hAnsi="Cambria Math" w:eastAsia="Cambria Math" w:cs="Cambria Math"/>
            <w:sz w:val="24"/>
            <w:szCs w:val="24"/>
          </w:rPr>
          <m:t>=12.0404</m:t>
        </m:r>
        <m:r>
          <m:rPr>
            <m:sty m:val="p"/>
          </m:rPr>
          <w:rPr>
            <w:rFonts w:ascii="Cambria Math" w:hAnsi="Cambria Math" w:eastAsia="Cambria Math" w:cs="Cambria Math"/>
            <w:sz w:val="24"/>
            <w:szCs w:val="24"/>
          </w:rPr>
          <m:t>dB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. A consecutive OAM sequence is a special case with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p=0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and a single sign of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. A single isotropic FP cavity does not distinguish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+l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 from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−l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 xml:space="preserve">, and radial parasitic peaks in the measured spectrum can be explained by degeneracy between modes with the same </w:t>
      </w:r>
      <m:oMath>
        <m:r>
          <m:rPr/>
          <w:rPr>
            <w:rFonts w:ascii="Cambria Math" w:hAnsi="Cambria Math" w:eastAsia="Cambria Math" w:cs="Cambria Math"/>
            <w:sz w:val="24"/>
            <w:szCs w:val="24"/>
          </w:rPr>
          <m:t>N</m:t>
        </m:r>
      </m:oMath>
      <w:r>
        <w:rPr>
          <w:rFonts w:hint="eastAsia" w:ascii="Times New Roman" w:hAnsi="Times New Roman" w:eastAsia="??" w:cs="Times New Roman"/>
          <w:sz w:val="24"/>
          <w:szCs w:val="24"/>
        </w:rPr>
        <w:t>.</w:t>
      </w:r>
    </w:p>
    <w:p w14:paraId="493E2E24">
      <w:pPr>
        <w:spacing w:after="120" w:line="300" w:lineRule="auto"/>
        <w:jc w:val="both"/>
      </w:pPr>
      <w:r>
        <w:rPr>
          <w:rFonts w:hint="eastAsia" w:ascii="Times New Roman" w:hAnsi="Times New Roman" w:eastAsia="??" w:cs="Times New Roman"/>
          <w:sz w:val="24"/>
          <w:szCs w:val="24"/>
        </w:rPr>
        <w:t>Keywords: Fabry-Perot cavity; Laguerre-Gaussian mode; Gouy phase; mode sorting; Airy transmission; radial parasitic mode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??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D07"/>
    <w:rsid w:val="000004BC"/>
    <w:rsid w:val="00002AFA"/>
    <w:rsid w:val="00002B17"/>
    <w:rsid w:val="000053E3"/>
    <w:rsid w:val="0000576F"/>
    <w:rsid w:val="00005BE4"/>
    <w:rsid w:val="00007783"/>
    <w:rsid w:val="00010D02"/>
    <w:rsid w:val="00011C8B"/>
    <w:rsid w:val="00011D28"/>
    <w:rsid w:val="00012560"/>
    <w:rsid w:val="000157E7"/>
    <w:rsid w:val="00016BC5"/>
    <w:rsid w:val="000210B6"/>
    <w:rsid w:val="000217AE"/>
    <w:rsid w:val="00022A49"/>
    <w:rsid w:val="00025624"/>
    <w:rsid w:val="00025CD0"/>
    <w:rsid w:val="00026172"/>
    <w:rsid w:val="0003090A"/>
    <w:rsid w:val="000323B1"/>
    <w:rsid w:val="000336CB"/>
    <w:rsid w:val="000375F1"/>
    <w:rsid w:val="00040027"/>
    <w:rsid w:val="0004405D"/>
    <w:rsid w:val="00045794"/>
    <w:rsid w:val="000459A7"/>
    <w:rsid w:val="00045A31"/>
    <w:rsid w:val="00046D67"/>
    <w:rsid w:val="00046DAD"/>
    <w:rsid w:val="00053821"/>
    <w:rsid w:val="0005538F"/>
    <w:rsid w:val="0005565A"/>
    <w:rsid w:val="00055ACC"/>
    <w:rsid w:val="00055D75"/>
    <w:rsid w:val="000612DD"/>
    <w:rsid w:val="00061E90"/>
    <w:rsid w:val="0006380C"/>
    <w:rsid w:val="00064B86"/>
    <w:rsid w:val="00064E6A"/>
    <w:rsid w:val="00065719"/>
    <w:rsid w:val="00073932"/>
    <w:rsid w:val="0007532D"/>
    <w:rsid w:val="0007649B"/>
    <w:rsid w:val="000770BA"/>
    <w:rsid w:val="00077234"/>
    <w:rsid w:val="00077F11"/>
    <w:rsid w:val="00080187"/>
    <w:rsid w:val="00080D1A"/>
    <w:rsid w:val="00082596"/>
    <w:rsid w:val="000829B0"/>
    <w:rsid w:val="00083087"/>
    <w:rsid w:val="00084B4D"/>
    <w:rsid w:val="00084ED0"/>
    <w:rsid w:val="00085304"/>
    <w:rsid w:val="00086A81"/>
    <w:rsid w:val="00086E9C"/>
    <w:rsid w:val="0009056B"/>
    <w:rsid w:val="000912FC"/>
    <w:rsid w:val="000942EA"/>
    <w:rsid w:val="00094807"/>
    <w:rsid w:val="000959A9"/>
    <w:rsid w:val="00097B15"/>
    <w:rsid w:val="000A2055"/>
    <w:rsid w:val="000A353C"/>
    <w:rsid w:val="000A5BDB"/>
    <w:rsid w:val="000B09B4"/>
    <w:rsid w:val="000B0E47"/>
    <w:rsid w:val="000B1FDB"/>
    <w:rsid w:val="000B376F"/>
    <w:rsid w:val="000B5898"/>
    <w:rsid w:val="000B5DE7"/>
    <w:rsid w:val="000B7DC9"/>
    <w:rsid w:val="000C2A19"/>
    <w:rsid w:val="000C5B31"/>
    <w:rsid w:val="000C6CC6"/>
    <w:rsid w:val="000D0B77"/>
    <w:rsid w:val="000D3CA1"/>
    <w:rsid w:val="000D4985"/>
    <w:rsid w:val="000D4C26"/>
    <w:rsid w:val="000D4EF3"/>
    <w:rsid w:val="000D6457"/>
    <w:rsid w:val="000D6D07"/>
    <w:rsid w:val="000E3818"/>
    <w:rsid w:val="000E4921"/>
    <w:rsid w:val="000E59F3"/>
    <w:rsid w:val="000E5FA2"/>
    <w:rsid w:val="000E7773"/>
    <w:rsid w:val="000E7981"/>
    <w:rsid w:val="000F1890"/>
    <w:rsid w:val="000F212E"/>
    <w:rsid w:val="000F2548"/>
    <w:rsid w:val="000F2F6B"/>
    <w:rsid w:val="000F35AD"/>
    <w:rsid w:val="000F552F"/>
    <w:rsid w:val="00100654"/>
    <w:rsid w:val="00100A37"/>
    <w:rsid w:val="001013CF"/>
    <w:rsid w:val="00101D6B"/>
    <w:rsid w:val="00102870"/>
    <w:rsid w:val="00103024"/>
    <w:rsid w:val="0010366C"/>
    <w:rsid w:val="0010397A"/>
    <w:rsid w:val="001066B7"/>
    <w:rsid w:val="00106DB3"/>
    <w:rsid w:val="001077E0"/>
    <w:rsid w:val="0011042E"/>
    <w:rsid w:val="00114400"/>
    <w:rsid w:val="001149F6"/>
    <w:rsid w:val="00121782"/>
    <w:rsid w:val="00122BC3"/>
    <w:rsid w:val="00122F34"/>
    <w:rsid w:val="00122FE7"/>
    <w:rsid w:val="00123650"/>
    <w:rsid w:val="00123EE1"/>
    <w:rsid w:val="001260F8"/>
    <w:rsid w:val="00126349"/>
    <w:rsid w:val="001302F4"/>
    <w:rsid w:val="0013191F"/>
    <w:rsid w:val="00132225"/>
    <w:rsid w:val="00132F09"/>
    <w:rsid w:val="0013369E"/>
    <w:rsid w:val="001337F3"/>
    <w:rsid w:val="00133A5D"/>
    <w:rsid w:val="00133E8C"/>
    <w:rsid w:val="0013499C"/>
    <w:rsid w:val="00135038"/>
    <w:rsid w:val="00135B44"/>
    <w:rsid w:val="0013692A"/>
    <w:rsid w:val="00136FDD"/>
    <w:rsid w:val="001376AA"/>
    <w:rsid w:val="001402BD"/>
    <w:rsid w:val="00143A90"/>
    <w:rsid w:val="001471EB"/>
    <w:rsid w:val="001527F5"/>
    <w:rsid w:val="0015282A"/>
    <w:rsid w:val="00154B79"/>
    <w:rsid w:val="00156269"/>
    <w:rsid w:val="001609DF"/>
    <w:rsid w:val="00161025"/>
    <w:rsid w:val="00163AA0"/>
    <w:rsid w:val="00164745"/>
    <w:rsid w:val="00164FDC"/>
    <w:rsid w:val="00165286"/>
    <w:rsid w:val="00165B07"/>
    <w:rsid w:val="00166A5C"/>
    <w:rsid w:val="00172AF1"/>
    <w:rsid w:val="001735A7"/>
    <w:rsid w:val="0017455A"/>
    <w:rsid w:val="001774D1"/>
    <w:rsid w:val="00181729"/>
    <w:rsid w:val="00181E2F"/>
    <w:rsid w:val="001820D5"/>
    <w:rsid w:val="00182383"/>
    <w:rsid w:val="00184107"/>
    <w:rsid w:val="0018443D"/>
    <w:rsid w:val="001844A5"/>
    <w:rsid w:val="001847CD"/>
    <w:rsid w:val="001865C6"/>
    <w:rsid w:val="00186652"/>
    <w:rsid w:val="00186F14"/>
    <w:rsid w:val="00187C54"/>
    <w:rsid w:val="00190A31"/>
    <w:rsid w:val="001916A2"/>
    <w:rsid w:val="001918F8"/>
    <w:rsid w:val="001925B0"/>
    <w:rsid w:val="00192BF6"/>
    <w:rsid w:val="0019334E"/>
    <w:rsid w:val="001933AE"/>
    <w:rsid w:val="001937CF"/>
    <w:rsid w:val="00193C0C"/>
    <w:rsid w:val="00195B81"/>
    <w:rsid w:val="00195DD0"/>
    <w:rsid w:val="00196512"/>
    <w:rsid w:val="00197163"/>
    <w:rsid w:val="00197A6C"/>
    <w:rsid w:val="001A035D"/>
    <w:rsid w:val="001A062E"/>
    <w:rsid w:val="001A14A2"/>
    <w:rsid w:val="001A42A8"/>
    <w:rsid w:val="001A6690"/>
    <w:rsid w:val="001B0E94"/>
    <w:rsid w:val="001B1610"/>
    <w:rsid w:val="001B1C50"/>
    <w:rsid w:val="001B3F60"/>
    <w:rsid w:val="001B43F9"/>
    <w:rsid w:val="001B476B"/>
    <w:rsid w:val="001B509D"/>
    <w:rsid w:val="001B52B6"/>
    <w:rsid w:val="001B7BE6"/>
    <w:rsid w:val="001B7DCD"/>
    <w:rsid w:val="001C02E4"/>
    <w:rsid w:val="001C0475"/>
    <w:rsid w:val="001C0AC5"/>
    <w:rsid w:val="001C265C"/>
    <w:rsid w:val="001C269F"/>
    <w:rsid w:val="001C2A8E"/>
    <w:rsid w:val="001C41A4"/>
    <w:rsid w:val="001C5A5E"/>
    <w:rsid w:val="001C65ED"/>
    <w:rsid w:val="001D1288"/>
    <w:rsid w:val="001D197F"/>
    <w:rsid w:val="001D453C"/>
    <w:rsid w:val="001D4AA0"/>
    <w:rsid w:val="001D4CC6"/>
    <w:rsid w:val="001D77CD"/>
    <w:rsid w:val="001D7884"/>
    <w:rsid w:val="001D7A45"/>
    <w:rsid w:val="001E0C7F"/>
    <w:rsid w:val="001E34B1"/>
    <w:rsid w:val="001E3757"/>
    <w:rsid w:val="001E4F16"/>
    <w:rsid w:val="001E5803"/>
    <w:rsid w:val="001E5B6D"/>
    <w:rsid w:val="001F08CC"/>
    <w:rsid w:val="001F0CD2"/>
    <w:rsid w:val="001F0D8D"/>
    <w:rsid w:val="001F1072"/>
    <w:rsid w:val="001F1AA5"/>
    <w:rsid w:val="001F1BD0"/>
    <w:rsid w:val="001F346E"/>
    <w:rsid w:val="001F6292"/>
    <w:rsid w:val="001F6FC9"/>
    <w:rsid w:val="00200B6E"/>
    <w:rsid w:val="002013FF"/>
    <w:rsid w:val="00203044"/>
    <w:rsid w:val="00203654"/>
    <w:rsid w:val="002036F2"/>
    <w:rsid w:val="00203929"/>
    <w:rsid w:val="00203A3C"/>
    <w:rsid w:val="00204BEC"/>
    <w:rsid w:val="00205F19"/>
    <w:rsid w:val="00206C79"/>
    <w:rsid w:val="00207934"/>
    <w:rsid w:val="00207A14"/>
    <w:rsid w:val="00210428"/>
    <w:rsid w:val="002128E9"/>
    <w:rsid w:val="00212F40"/>
    <w:rsid w:val="002151BA"/>
    <w:rsid w:val="0021549E"/>
    <w:rsid w:val="002161F7"/>
    <w:rsid w:val="00216FDD"/>
    <w:rsid w:val="0022114D"/>
    <w:rsid w:val="00223B02"/>
    <w:rsid w:val="002250D8"/>
    <w:rsid w:val="002269DD"/>
    <w:rsid w:val="00226BE0"/>
    <w:rsid w:val="00227BE3"/>
    <w:rsid w:val="00227DA6"/>
    <w:rsid w:val="0023012D"/>
    <w:rsid w:val="0023190B"/>
    <w:rsid w:val="00232981"/>
    <w:rsid w:val="00233948"/>
    <w:rsid w:val="0023396B"/>
    <w:rsid w:val="002340F3"/>
    <w:rsid w:val="00235C83"/>
    <w:rsid w:val="0023634F"/>
    <w:rsid w:val="00236B20"/>
    <w:rsid w:val="0024160C"/>
    <w:rsid w:val="00241AD9"/>
    <w:rsid w:val="00241C56"/>
    <w:rsid w:val="0024298D"/>
    <w:rsid w:val="00244D81"/>
    <w:rsid w:val="002457DA"/>
    <w:rsid w:val="00245F1D"/>
    <w:rsid w:val="00251A36"/>
    <w:rsid w:val="002531B1"/>
    <w:rsid w:val="00253A92"/>
    <w:rsid w:val="002548B3"/>
    <w:rsid w:val="00254C81"/>
    <w:rsid w:val="002550D0"/>
    <w:rsid w:val="0025552A"/>
    <w:rsid w:val="0025749D"/>
    <w:rsid w:val="00264BD3"/>
    <w:rsid w:val="00266696"/>
    <w:rsid w:val="00270388"/>
    <w:rsid w:val="002716BE"/>
    <w:rsid w:val="00271D9C"/>
    <w:rsid w:val="00272692"/>
    <w:rsid w:val="00272D95"/>
    <w:rsid w:val="00272E4E"/>
    <w:rsid w:val="002735F7"/>
    <w:rsid w:val="00273EA1"/>
    <w:rsid w:val="00274A83"/>
    <w:rsid w:val="00276DBD"/>
    <w:rsid w:val="0027759D"/>
    <w:rsid w:val="002834EC"/>
    <w:rsid w:val="00284E17"/>
    <w:rsid w:val="0028517F"/>
    <w:rsid w:val="002854B9"/>
    <w:rsid w:val="00285B0C"/>
    <w:rsid w:val="00286F45"/>
    <w:rsid w:val="0029093B"/>
    <w:rsid w:val="00293F95"/>
    <w:rsid w:val="00294F0B"/>
    <w:rsid w:val="002A097D"/>
    <w:rsid w:val="002A2190"/>
    <w:rsid w:val="002A294B"/>
    <w:rsid w:val="002A44F1"/>
    <w:rsid w:val="002A455C"/>
    <w:rsid w:val="002A4D06"/>
    <w:rsid w:val="002A4E83"/>
    <w:rsid w:val="002A7E66"/>
    <w:rsid w:val="002B0BF1"/>
    <w:rsid w:val="002B1907"/>
    <w:rsid w:val="002B1CB3"/>
    <w:rsid w:val="002B22BD"/>
    <w:rsid w:val="002B251C"/>
    <w:rsid w:val="002B298F"/>
    <w:rsid w:val="002B6787"/>
    <w:rsid w:val="002C11C3"/>
    <w:rsid w:val="002C1274"/>
    <w:rsid w:val="002C2530"/>
    <w:rsid w:val="002C6695"/>
    <w:rsid w:val="002D03CB"/>
    <w:rsid w:val="002D16AC"/>
    <w:rsid w:val="002D1718"/>
    <w:rsid w:val="002D1EE9"/>
    <w:rsid w:val="002D28BE"/>
    <w:rsid w:val="002D2F9B"/>
    <w:rsid w:val="002D3951"/>
    <w:rsid w:val="002D408D"/>
    <w:rsid w:val="002D458B"/>
    <w:rsid w:val="002D55E4"/>
    <w:rsid w:val="002D5F6B"/>
    <w:rsid w:val="002D6453"/>
    <w:rsid w:val="002D6BAC"/>
    <w:rsid w:val="002D7C71"/>
    <w:rsid w:val="002E04DD"/>
    <w:rsid w:val="002E5D09"/>
    <w:rsid w:val="002E732F"/>
    <w:rsid w:val="002F2980"/>
    <w:rsid w:val="002F602A"/>
    <w:rsid w:val="002F75A5"/>
    <w:rsid w:val="00300237"/>
    <w:rsid w:val="00300790"/>
    <w:rsid w:val="00310CDA"/>
    <w:rsid w:val="0031466E"/>
    <w:rsid w:val="0031695F"/>
    <w:rsid w:val="00320A88"/>
    <w:rsid w:val="003219E3"/>
    <w:rsid w:val="00323498"/>
    <w:rsid w:val="00323F3B"/>
    <w:rsid w:val="00324B26"/>
    <w:rsid w:val="00325D53"/>
    <w:rsid w:val="00331C72"/>
    <w:rsid w:val="00331E58"/>
    <w:rsid w:val="0033406C"/>
    <w:rsid w:val="003359DA"/>
    <w:rsid w:val="00337FD3"/>
    <w:rsid w:val="00340774"/>
    <w:rsid w:val="003415FA"/>
    <w:rsid w:val="00342BFB"/>
    <w:rsid w:val="00346759"/>
    <w:rsid w:val="003471FE"/>
    <w:rsid w:val="003475CB"/>
    <w:rsid w:val="00354C9D"/>
    <w:rsid w:val="003555AD"/>
    <w:rsid w:val="003571BA"/>
    <w:rsid w:val="0036216B"/>
    <w:rsid w:val="003633E0"/>
    <w:rsid w:val="003636E8"/>
    <w:rsid w:val="003638BB"/>
    <w:rsid w:val="00364C7E"/>
    <w:rsid w:val="00365070"/>
    <w:rsid w:val="00366DBE"/>
    <w:rsid w:val="00366F6F"/>
    <w:rsid w:val="00367CE5"/>
    <w:rsid w:val="0037002B"/>
    <w:rsid w:val="003706FE"/>
    <w:rsid w:val="00370B8D"/>
    <w:rsid w:val="00370CED"/>
    <w:rsid w:val="00372485"/>
    <w:rsid w:val="00374FF4"/>
    <w:rsid w:val="0037564C"/>
    <w:rsid w:val="003758CA"/>
    <w:rsid w:val="00376358"/>
    <w:rsid w:val="00376A14"/>
    <w:rsid w:val="00376C08"/>
    <w:rsid w:val="00376EBD"/>
    <w:rsid w:val="003772E4"/>
    <w:rsid w:val="0037730A"/>
    <w:rsid w:val="00377430"/>
    <w:rsid w:val="00380F75"/>
    <w:rsid w:val="00382AA9"/>
    <w:rsid w:val="00382E7F"/>
    <w:rsid w:val="00382EE2"/>
    <w:rsid w:val="00383E05"/>
    <w:rsid w:val="00390D37"/>
    <w:rsid w:val="00391706"/>
    <w:rsid w:val="00393000"/>
    <w:rsid w:val="0039708A"/>
    <w:rsid w:val="003A08EA"/>
    <w:rsid w:val="003A0BB1"/>
    <w:rsid w:val="003A12D1"/>
    <w:rsid w:val="003A698C"/>
    <w:rsid w:val="003A6E33"/>
    <w:rsid w:val="003A7446"/>
    <w:rsid w:val="003B007D"/>
    <w:rsid w:val="003B0F02"/>
    <w:rsid w:val="003B1BD0"/>
    <w:rsid w:val="003B381C"/>
    <w:rsid w:val="003B3FF5"/>
    <w:rsid w:val="003B475B"/>
    <w:rsid w:val="003B4F20"/>
    <w:rsid w:val="003B606E"/>
    <w:rsid w:val="003B6314"/>
    <w:rsid w:val="003B6758"/>
    <w:rsid w:val="003B7301"/>
    <w:rsid w:val="003B7FED"/>
    <w:rsid w:val="003C00DA"/>
    <w:rsid w:val="003C1813"/>
    <w:rsid w:val="003C1ECE"/>
    <w:rsid w:val="003C42C1"/>
    <w:rsid w:val="003C57D7"/>
    <w:rsid w:val="003D0069"/>
    <w:rsid w:val="003D23E4"/>
    <w:rsid w:val="003D38F1"/>
    <w:rsid w:val="003D4668"/>
    <w:rsid w:val="003D56D3"/>
    <w:rsid w:val="003D58BC"/>
    <w:rsid w:val="003D61BD"/>
    <w:rsid w:val="003E1A9C"/>
    <w:rsid w:val="003E4A66"/>
    <w:rsid w:val="003E73EA"/>
    <w:rsid w:val="003E7A57"/>
    <w:rsid w:val="003F13B0"/>
    <w:rsid w:val="003F2173"/>
    <w:rsid w:val="003F2413"/>
    <w:rsid w:val="003F5D37"/>
    <w:rsid w:val="003F61AA"/>
    <w:rsid w:val="003F6F29"/>
    <w:rsid w:val="00400514"/>
    <w:rsid w:val="004015FD"/>
    <w:rsid w:val="00401FF2"/>
    <w:rsid w:val="00402F74"/>
    <w:rsid w:val="00403407"/>
    <w:rsid w:val="00404967"/>
    <w:rsid w:val="00404E6B"/>
    <w:rsid w:val="00407870"/>
    <w:rsid w:val="00410390"/>
    <w:rsid w:val="00410CFC"/>
    <w:rsid w:val="00414BDF"/>
    <w:rsid w:val="00416BED"/>
    <w:rsid w:val="00416CE1"/>
    <w:rsid w:val="00420515"/>
    <w:rsid w:val="00420A94"/>
    <w:rsid w:val="00420D35"/>
    <w:rsid w:val="00422B82"/>
    <w:rsid w:val="0042527C"/>
    <w:rsid w:val="004300B1"/>
    <w:rsid w:val="00430FF8"/>
    <w:rsid w:val="00435411"/>
    <w:rsid w:val="004374F7"/>
    <w:rsid w:val="00437873"/>
    <w:rsid w:val="00441554"/>
    <w:rsid w:val="00441C17"/>
    <w:rsid w:val="0044200C"/>
    <w:rsid w:val="00443B94"/>
    <w:rsid w:val="00443BFD"/>
    <w:rsid w:val="00445853"/>
    <w:rsid w:val="004468D7"/>
    <w:rsid w:val="00447F88"/>
    <w:rsid w:val="00450438"/>
    <w:rsid w:val="004511DE"/>
    <w:rsid w:val="00452B3A"/>
    <w:rsid w:val="00460665"/>
    <w:rsid w:val="004608AE"/>
    <w:rsid w:val="00460FBE"/>
    <w:rsid w:val="00461279"/>
    <w:rsid w:val="00463ACA"/>
    <w:rsid w:val="00463B0C"/>
    <w:rsid w:val="00464E7F"/>
    <w:rsid w:val="0046699C"/>
    <w:rsid w:val="00467C52"/>
    <w:rsid w:val="00470E3C"/>
    <w:rsid w:val="00471909"/>
    <w:rsid w:val="00471D3A"/>
    <w:rsid w:val="00475015"/>
    <w:rsid w:val="00475211"/>
    <w:rsid w:val="00476B25"/>
    <w:rsid w:val="00476CD1"/>
    <w:rsid w:val="00480630"/>
    <w:rsid w:val="00480C01"/>
    <w:rsid w:val="004818CF"/>
    <w:rsid w:val="00483B1B"/>
    <w:rsid w:val="004866C0"/>
    <w:rsid w:val="004873F0"/>
    <w:rsid w:val="00487B64"/>
    <w:rsid w:val="00487B72"/>
    <w:rsid w:val="00491A19"/>
    <w:rsid w:val="00493C05"/>
    <w:rsid w:val="00493E1B"/>
    <w:rsid w:val="00494C4E"/>
    <w:rsid w:val="00494CCE"/>
    <w:rsid w:val="004956B6"/>
    <w:rsid w:val="0049570E"/>
    <w:rsid w:val="004958F3"/>
    <w:rsid w:val="004959C1"/>
    <w:rsid w:val="004A3207"/>
    <w:rsid w:val="004A5E3C"/>
    <w:rsid w:val="004A6880"/>
    <w:rsid w:val="004A753E"/>
    <w:rsid w:val="004A7E0B"/>
    <w:rsid w:val="004B25C9"/>
    <w:rsid w:val="004B45FE"/>
    <w:rsid w:val="004B7525"/>
    <w:rsid w:val="004C0865"/>
    <w:rsid w:val="004C20B2"/>
    <w:rsid w:val="004C229F"/>
    <w:rsid w:val="004C35B9"/>
    <w:rsid w:val="004C5867"/>
    <w:rsid w:val="004C60FD"/>
    <w:rsid w:val="004C65BE"/>
    <w:rsid w:val="004D00D9"/>
    <w:rsid w:val="004D017D"/>
    <w:rsid w:val="004D021F"/>
    <w:rsid w:val="004D0BC3"/>
    <w:rsid w:val="004D188E"/>
    <w:rsid w:val="004D2CD2"/>
    <w:rsid w:val="004D329A"/>
    <w:rsid w:val="004D41A6"/>
    <w:rsid w:val="004D4972"/>
    <w:rsid w:val="004E00F5"/>
    <w:rsid w:val="004E07EF"/>
    <w:rsid w:val="004E29B3"/>
    <w:rsid w:val="004E3146"/>
    <w:rsid w:val="004E39B9"/>
    <w:rsid w:val="004E58E5"/>
    <w:rsid w:val="004E5AAF"/>
    <w:rsid w:val="004E5C65"/>
    <w:rsid w:val="004E6E0E"/>
    <w:rsid w:val="004E73C1"/>
    <w:rsid w:val="004F26BD"/>
    <w:rsid w:val="004F3E4F"/>
    <w:rsid w:val="004F43E3"/>
    <w:rsid w:val="004F4DCA"/>
    <w:rsid w:val="004F6226"/>
    <w:rsid w:val="004F6534"/>
    <w:rsid w:val="004F6836"/>
    <w:rsid w:val="004F7D56"/>
    <w:rsid w:val="00501116"/>
    <w:rsid w:val="00501888"/>
    <w:rsid w:val="00506D08"/>
    <w:rsid w:val="00507301"/>
    <w:rsid w:val="00507DDC"/>
    <w:rsid w:val="00510097"/>
    <w:rsid w:val="00510FFD"/>
    <w:rsid w:val="00511789"/>
    <w:rsid w:val="005130E1"/>
    <w:rsid w:val="00513633"/>
    <w:rsid w:val="00515205"/>
    <w:rsid w:val="0051597F"/>
    <w:rsid w:val="00516C5B"/>
    <w:rsid w:val="00516CD1"/>
    <w:rsid w:val="00517DDB"/>
    <w:rsid w:val="0052008C"/>
    <w:rsid w:val="00524E17"/>
    <w:rsid w:val="00525BE8"/>
    <w:rsid w:val="005261E9"/>
    <w:rsid w:val="00530284"/>
    <w:rsid w:val="00531998"/>
    <w:rsid w:val="00532842"/>
    <w:rsid w:val="00536ECB"/>
    <w:rsid w:val="0053736D"/>
    <w:rsid w:val="00537F70"/>
    <w:rsid w:val="00542275"/>
    <w:rsid w:val="00542718"/>
    <w:rsid w:val="005452E8"/>
    <w:rsid w:val="005454E8"/>
    <w:rsid w:val="00547645"/>
    <w:rsid w:val="00551424"/>
    <w:rsid w:val="005519FB"/>
    <w:rsid w:val="00552AFE"/>
    <w:rsid w:val="00554082"/>
    <w:rsid w:val="005557EF"/>
    <w:rsid w:val="005560B4"/>
    <w:rsid w:val="0055676F"/>
    <w:rsid w:val="00557321"/>
    <w:rsid w:val="005578AA"/>
    <w:rsid w:val="00557D98"/>
    <w:rsid w:val="005618EF"/>
    <w:rsid w:val="00566391"/>
    <w:rsid w:val="0057007A"/>
    <w:rsid w:val="00570D93"/>
    <w:rsid w:val="00573263"/>
    <w:rsid w:val="00582662"/>
    <w:rsid w:val="00582F66"/>
    <w:rsid w:val="00583527"/>
    <w:rsid w:val="00583BC7"/>
    <w:rsid w:val="005871FE"/>
    <w:rsid w:val="005873A6"/>
    <w:rsid w:val="00587646"/>
    <w:rsid w:val="00590D07"/>
    <w:rsid w:val="005914EB"/>
    <w:rsid w:val="00593602"/>
    <w:rsid w:val="00593F15"/>
    <w:rsid w:val="005946FB"/>
    <w:rsid w:val="00595AA5"/>
    <w:rsid w:val="00595CE8"/>
    <w:rsid w:val="0059600A"/>
    <w:rsid w:val="00596468"/>
    <w:rsid w:val="005A04F9"/>
    <w:rsid w:val="005A2587"/>
    <w:rsid w:val="005A2F74"/>
    <w:rsid w:val="005A3071"/>
    <w:rsid w:val="005A4C5F"/>
    <w:rsid w:val="005A57BB"/>
    <w:rsid w:val="005A68C4"/>
    <w:rsid w:val="005A7901"/>
    <w:rsid w:val="005B06B7"/>
    <w:rsid w:val="005B0D4C"/>
    <w:rsid w:val="005B3CE2"/>
    <w:rsid w:val="005B43DF"/>
    <w:rsid w:val="005B589C"/>
    <w:rsid w:val="005B5BB5"/>
    <w:rsid w:val="005B5D36"/>
    <w:rsid w:val="005B70EC"/>
    <w:rsid w:val="005B75B9"/>
    <w:rsid w:val="005B76D7"/>
    <w:rsid w:val="005C0C12"/>
    <w:rsid w:val="005C1CAA"/>
    <w:rsid w:val="005C1D8B"/>
    <w:rsid w:val="005C21E5"/>
    <w:rsid w:val="005C2268"/>
    <w:rsid w:val="005C32C0"/>
    <w:rsid w:val="005C4EC9"/>
    <w:rsid w:val="005C5570"/>
    <w:rsid w:val="005C6311"/>
    <w:rsid w:val="005D1FFC"/>
    <w:rsid w:val="005D2B4A"/>
    <w:rsid w:val="005D3D9A"/>
    <w:rsid w:val="005D4BAD"/>
    <w:rsid w:val="005D5019"/>
    <w:rsid w:val="005D5FE8"/>
    <w:rsid w:val="005D7C53"/>
    <w:rsid w:val="005E1CF8"/>
    <w:rsid w:val="005E2A81"/>
    <w:rsid w:val="005E2D83"/>
    <w:rsid w:val="005E300B"/>
    <w:rsid w:val="005E44B2"/>
    <w:rsid w:val="005E56EF"/>
    <w:rsid w:val="005E579F"/>
    <w:rsid w:val="005E59D4"/>
    <w:rsid w:val="005E5E49"/>
    <w:rsid w:val="005E69BA"/>
    <w:rsid w:val="005E7320"/>
    <w:rsid w:val="005F2B42"/>
    <w:rsid w:val="005F499F"/>
    <w:rsid w:val="005F4AE2"/>
    <w:rsid w:val="005F76D0"/>
    <w:rsid w:val="00600FB3"/>
    <w:rsid w:val="006025D0"/>
    <w:rsid w:val="00603161"/>
    <w:rsid w:val="00604876"/>
    <w:rsid w:val="00610AFE"/>
    <w:rsid w:val="00611E67"/>
    <w:rsid w:val="00612C75"/>
    <w:rsid w:val="00612E17"/>
    <w:rsid w:val="006131D6"/>
    <w:rsid w:val="00614252"/>
    <w:rsid w:val="0061477F"/>
    <w:rsid w:val="00615EC7"/>
    <w:rsid w:val="006161A9"/>
    <w:rsid w:val="00617B49"/>
    <w:rsid w:val="006213EA"/>
    <w:rsid w:val="00621A8C"/>
    <w:rsid w:val="00624495"/>
    <w:rsid w:val="006256DC"/>
    <w:rsid w:val="00626043"/>
    <w:rsid w:val="006261D2"/>
    <w:rsid w:val="00626879"/>
    <w:rsid w:val="006341B6"/>
    <w:rsid w:val="00636A91"/>
    <w:rsid w:val="00637A0C"/>
    <w:rsid w:val="00642750"/>
    <w:rsid w:val="00642958"/>
    <w:rsid w:val="0064304B"/>
    <w:rsid w:val="00643158"/>
    <w:rsid w:val="00644BF1"/>
    <w:rsid w:val="00644EA8"/>
    <w:rsid w:val="00645BCF"/>
    <w:rsid w:val="00645CDA"/>
    <w:rsid w:val="006465D1"/>
    <w:rsid w:val="006466C3"/>
    <w:rsid w:val="0065321A"/>
    <w:rsid w:val="00657222"/>
    <w:rsid w:val="0066233F"/>
    <w:rsid w:val="006636B9"/>
    <w:rsid w:val="006708D4"/>
    <w:rsid w:val="0067514B"/>
    <w:rsid w:val="00675CC8"/>
    <w:rsid w:val="00675E4B"/>
    <w:rsid w:val="006762F2"/>
    <w:rsid w:val="00676E73"/>
    <w:rsid w:val="006812A7"/>
    <w:rsid w:val="006823B2"/>
    <w:rsid w:val="00682666"/>
    <w:rsid w:val="006837C0"/>
    <w:rsid w:val="00683C85"/>
    <w:rsid w:val="00684CE3"/>
    <w:rsid w:val="00684F90"/>
    <w:rsid w:val="00686768"/>
    <w:rsid w:val="00686A9E"/>
    <w:rsid w:val="006876EA"/>
    <w:rsid w:val="0069012A"/>
    <w:rsid w:val="00692044"/>
    <w:rsid w:val="00692D62"/>
    <w:rsid w:val="006932EE"/>
    <w:rsid w:val="00694EF2"/>
    <w:rsid w:val="00697BEC"/>
    <w:rsid w:val="006A0100"/>
    <w:rsid w:val="006A0285"/>
    <w:rsid w:val="006A205B"/>
    <w:rsid w:val="006A28DA"/>
    <w:rsid w:val="006A47AF"/>
    <w:rsid w:val="006A5BB6"/>
    <w:rsid w:val="006A62EA"/>
    <w:rsid w:val="006A6399"/>
    <w:rsid w:val="006B0905"/>
    <w:rsid w:val="006B469F"/>
    <w:rsid w:val="006B4A41"/>
    <w:rsid w:val="006B4ABF"/>
    <w:rsid w:val="006B704A"/>
    <w:rsid w:val="006C0C36"/>
    <w:rsid w:val="006C25E7"/>
    <w:rsid w:val="006C2A14"/>
    <w:rsid w:val="006C2EF5"/>
    <w:rsid w:val="006C4480"/>
    <w:rsid w:val="006C7BC0"/>
    <w:rsid w:val="006D054E"/>
    <w:rsid w:val="006D2D5F"/>
    <w:rsid w:val="006D2EA8"/>
    <w:rsid w:val="006D3783"/>
    <w:rsid w:val="006D39B9"/>
    <w:rsid w:val="006D4C7F"/>
    <w:rsid w:val="006E0093"/>
    <w:rsid w:val="006E0336"/>
    <w:rsid w:val="006E04AB"/>
    <w:rsid w:val="006E1FFE"/>
    <w:rsid w:val="006E2BE1"/>
    <w:rsid w:val="006E33F6"/>
    <w:rsid w:val="006E34B4"/>
    <w:rsid w:val="006E458C"/>
    <w:rsid w:val="006E4F6F"/>
    <w:rsid w:val="006F0974"/>
    <w:rsid w:val="006F0BCF"/>
    <w:rsid w:val="006F0C35"/>
    <w:rsid w:val="006F10BF"/>
    <w:rsid w:val="006F2E2A"/>
    <w:rsid w:val="006F326A"/>
    <w:rsid w:val="006F47DE"/>
    <w:rsid w:val="006F578E"/>
    <w:rsid w:val="0070094E"/>
    <w:rsid w:val="00700CC1"/>
    <w:rsid w:val="00700CCB"/>
    <w:rsid w:val="00700F96"/>
    <w:rsid w:val="00702D68"/>
    <w:rsid w:val="00705CD1"/>
    <w:rsid w:val="00706A74"/>
    <w:rsid w:val="007072C5"/>
    <w:rsid w:val="00707F34"/>
    <w:rsid w:val="00710EF6"/>
    <w:rsid w:val="007120F4"/>
    <w:rsid w:val="0071234D"/>
    <w:rsid w:val="00712758"/>
    <w:rsid w:val="00714D72"/>
    <w:rsid w:val="00715B30"/>
    <w:rsid w:val="00720AB1"/>
    <w:rsid w:val="00722741"/>
    <w:rsid w:val="00723F46"/>
    <w:rsid w:val="00726EBA"/>
    <w:rsid w:val="00727268"/>
    <w:rsid w:val="00734193"/>
    <w:rsid w:val="00734280"/>
    <w:rsid w:val="007362B0"/>
    <w:rsid w:val="0073651F"/>
    <w:rsid w:val="00736E22"/>
    <w:rsid w:val="007377A1"/>
    <w:rsid w:val="0074033A"/>
    <w:rsid w:val="00742690"/>
    <w:rsid w:val="00745B12"/>
    <w:rsid w:val="0075059B"/>
    <w:rsid w:val="007517B2"/>
    <w:rsid w:val="00753478"/>
    <w:rsid w:val="007539A6"/>
    <w:rsid w:val="00755041"/>
    <w:rsid w:val="00755C1E"/>
    <w:rsid w:val="00756A2C"/>
    <w:rsid w:val="0076012E"/>
    <w:rsid w:val="007618EC"/>
    <w:rsid w:val="00761E56"/>
    <w:rsid w:val="00761E84"/>
    <w:rsid w:val="00763AFF"/>
    <w:rsid w:val="007643DB"/>
    <w:rsid w:val="00770D23"/>
    <w:rsid w:val="00774D7C"/>
    <w:rsid w:val="00781218"/>
    <w:rsid w:val="00782301"/>
    <w:rsid w:val="00784D58"/>
    <w:rsid w:val="00785060"/>
    <w:rsid w:val="0078526D"/>
    <w:rsid w:val="00786407"/>
    <w:rsid w:val="00786C02"/>
    <w:rsid w:val="0078793E"/>
    <w:rsid w:val="00790310"/>
    <w:rsid w:val="00791E24"/>
    <w:rsid w:val="0079229F"/>
    <w:rsid w:val="007928D2"/>
    <w:rsid w:val="00792FC5"/>
    <w:rsid w:val="00793A8B"/>
    <w:rsid w:val="00794441"/>
    <w:rsid w:val="0079459E"/>
    <w:rsid w:val="00794E9A"/>
    <w:rsid w:val="00795169"/>
    <w:rsid w:val="007956DB"/>
    <w:rsid w:val="00795F01"/>
    <w:rsid w:val="0079667E"/>
    <w:rsid w:val="0079695A"/>
    <w:rsid w:val="007A03CF"/>
    <w:rsid w:val="007A2890"/>
    <w:rsid w:val="007A2CEC"/>
    <w:rsid w:val="007B1436"/>
    <w:rsid w:val="007B2245"/>
    <w:rsid w:val="007B3673"/>
    <w:rsid w:val="007B4F51"/>
    <w:rsid w:val="007C110B"/>
    <w:rsid w:val="007C1C32"/>
    <w:rsid w:val="007C3960"/>
    <w:rsid w:val="007C68E6"/>
    <w:rsid w:val="007C76CE"/>
    <w:rsid w:val="007D55FA"/>
    <w:rsid w:val="007D57DE"/>
    <w:rsid w:val="007E1238"/>
    <w:rsid w:val="007E2D70"/>
    <w:rsid w:val="007E3E24"/>
    <w:rsid w:val="007E60A5"/>
    <w:rsid w:val="007E635F"/>
    <w:rsid w:val="007E6450"/>
    <w:rsid w:val="007E69D5"/>
    <w:rsid w:val="007F07B2"/>
    <w:rsid w:val="007F0E75"/>
    <w:rsid w:val="007F1394"/>
    <w:rsid w:val="007F2AA5"/>
    <w:rsid w:val="007F3F35"/>
    <w:rsid w:val="007F6E92"/>
    <w:rsid w:val="007F70D8"/>
    <w:rsid w:val="007F7350"/>
    <w:rsid w:val="007F7CFF"/>
    <w:rsid w:val="00800E29"/>
    <w:rsid w:val="00800F4A"/>
    <w:rsid w:val="0080215F"/>
    <w:rsid w:val="00802EB5"/>
    <w:rsid w:val="008101A1"/>
    <w:rsid w:val="00811021"/>
    <w:rsid w:val="00811042"/>
    <w:rsid w:val="0081268A"/>
    <w:rsid w:val="008142BA"/>
    <w:rsid w:val="008145DF"/>
    <w:rsid w:val="00823A8A"/>
    <w:rsid w:val="008251A7"/>
    <w:rsid w:val="008305F4"/>
    <w:rsid w:val="00830621"/>
    <w:rsid w:val="00831FFA"/>
    <w:rsid w:val="00836188"/>
    <w:rsid w:val="008406A4"/>
    <w:rsid w:val="00842559"/>
    <w:rsid w:val="00844760"/>
    <w:rsid w:val="00845E1A"/>
    <w:rsid w:val="008467B0"/>
    <w:rsid w:val="0085014B"/>
    <w:rsid w:val="00850900"/>
    <w:rsid w:val="00850956"/>
    <w:rsid w:val="00853C10"/>
    <w:rsid w:val="0085588F"/>
    <w:rsid w:val="00855F4D"/>
    <w:rsid w:val="008605F5"/>
    <w:rsid w:val="0086144A"/>
    <w:rsid w:val="00861822"/>
    <w:rsid w:val="00861DF2"/>
    <w:rsid w:val="008631EA"/>
    <w:rsid w:val="00863A3A"/>
    <w:rsid w:val="008661B9"/>
    <w:rsid w:val="00867E9C"/>
    <w:rsid w:val="00871DAE"/>
    <w:rsid w:val="00873971"/>
    <w:rsid w:val="00874B21"/>
    <w:rsid w:val="0087553B"/>
    <w:rsid w:val="008765CC"/>
    <w:rsid w:val="008766E0"/>
    <w:rsid w:val="0088015D"/>
    <w:rsid w:val="008801B6"/>
    <w:rsid w:val="0088495F"/>
    <w:rsid w:val="00884A11"/>
    <w:rsid w:val="00884BC2"/>
    <w:rsid w:val="00885DC4"/>
    <w:rsid w:val="00885E34"/>
    <w:rsid w:val="00886C68"/>
    <w:rsid w:val="00887831"/>
    <w:rsid w:val="0089054F"/>
    <w:rsid w:val="00891E9F"/>
    <w:rsid w:val="00892401"/>
    <w:rsid w:val="008928C1"/>
    <w:rsid w:val="00892CEF"/>
    <w:rsid w:val="00892FBE"/>
    <w:rsid w:val="008948A8"/>
    <w:rsid w:val="00894A5F"/>
    <w:rsid w:val="0089536D"/>
    <w:rsid w:val="00897609"/>
    <w:rsid w:val="008A47E2"/>
    <w:rsid w:val="008A540B"/>
    <w:rsid w:val="008B0C6F"/>
    <w:rsid w:val="008B1655"/>
    <w:rsid w:val="008B2ECD"/>
    <w:rsid w:val="008B3F13"/>
    <w:rsid w:val="008B4ABF"/>
    <w:rsid w:val="008B5BF7"/>
    <w:rsid w:val="008B6B11"/>
    <w:rsid w:val="008B75F2"/>
    <w:rsid w:val="008C403B"/>
    <w:rsid w:val="008C5EF1"/>
    <w:rsid w:val="008D08B9"/>
    <w:rsid w:val="008D08FE"/>
    <w:rsid w:val="008D0D26"/>
    <w:rsid w:val="008D336C"/>
    <w:rsid w:val="008D4FE9"/>
    <w:rsid w:val="008D6863"/>
    <w:rsid w:val="008D6A4D"/>
    <w:rsid w:val="008D7C03"/>
    <w:rsid w:val="008E1086"/>
    <w:rsid w:val="008E412E"/>
    <w:rsid w:val="008E472B"/>
    <w:rsid w:val="008E4D7A"/>
    <w:rsid w:val="008E6DE7"/>
    <w:rsid w:val="008F104E"/>
    <w:rsid w:val="008F2262"/>
    <w:rsid w:val="008F5FA2"/>
    <w:rsid w:val="008F7234"/>
    <w:rsid w:val="0090173A"/>
    <w:rsid w:val="009039EB"/>
    <w:rsid w:val="009056DF"/>
    <w:rsid w:val="00905E94"/>
    <w:rsid w:val="00906D40"/>
    <w:rsid w:val="00911682"/>
    <w:rsid w:val="009117C2"/>
    <w:rsid w:val="00911F9E"/>
    <w:rsid w:val="00912504"/>
    <w:rsid w:val="00912CEC"/>
    <w:rsid w:val="009136EB"/>
    <w:rsid w:val="00913D0B"/>
    <w:rsid w:val="009143C0"/>
    <w:rsid w:val="009148F5"/>
    <w:rsid w:val="0091640A"/>
    <w:rsid w:val="00916EEA"/>
    <w:rsid w:val="00920CC5"/>
    <w:rsid w:val="00920E6F"/>
    <w:rsid w:val="00920F85"/>
    <w:rsid w:val="0092257A"/>
    <w:rsid w:val="00924424"/>
    <w:rsid w:val="00925C2A"/>
    <w:rsid w:val="00925D07"/>
    <w:rsid w:val="009267EA"/>
    <w:rsid w:val="00932F5A"/>
    <w:rsid w:val="0093370A"/>
    <w:rsid w:val="0093637C"/>
    <w:rsid w:val="00936428"/>
    <w:rsid w:val="00940CBD"/>
    <w:rsid w:val="00945950"/>
    <w:rsid w:val="00946A22"/>
    <w:rsid w:val="00952FA4"/>
    <w:rsid w:val="009549BB"/>
    <w:rsid w:val="00954C1C"/>
    <w:rsid w:val="00957DC4"/>
    <w:rsid w:val="00960285"/>
    <w:rsid w:val="009621C5"/>
    <w:rsid w:val="00962E23"/>
    <w:rsid w:val="009641A5"/>
    <w:rsid w:val="009677C5"/>
    <w:rsid w:val="00970A67"/>
    <w:rsid w:val="0097175E"/>
    <w:rsid w:val="00972326"/>
    <w:rsid w:val="00972B5C"/>
    <w:rsid w:val="00972F4F"/>
    <w:rsid w:val="00973961"/>
    <w:rsid w:val="00975CF2"/>
    <w:rsid w:val="009763A2"/>
    <w:rsid w:val="009803C1"/>
    <w:rsid w:val="009810B7"/>
    <w:rsid w:val="0098150C"/>
    <w:rsid w:val="009821BA"/>
    <w:rsid w:val="00982D5A"/>
    <w:rsid w:val="009832E3"/>
    <w:rsid w:val="00983CDD"/>
    <w:rsid w:val="00983E94"/>
    <w:rsid w:val="00984AA5"/>
    <w:rsid w:val="00985498"/>
    <w:rsid w:val="00986579"/>
    <w:rsid w:val="00986CCC"/>
    <w:rsid w:val="00986F3E"/>
    <w:rsid w:val="00990015"/>
    <w:rsid w:val="009904F9"/>
    <w:rsid w:val="00990A66"/>
    <w:rsid w:val="0099271A"/>
    <w:rsid w:val="00992FD1"/>
    <w:rsid w:val="009954E3"/>
    <w:rsid w:val="009968FC"/>
    <w:rsid w:val="009A0B72"/>
    <w:rsid w:val="009A1F80"/>
    <w:rsid w:val="009A2802"/>
    <w:rsid w:val="009A3D20"/>
    <w:rsid w:val="009A4462"/>
    <w:rsid w:val="009A4BD0"/>
    <w:rsid w:val="009A4D19"/>
    <w:rsid w:val="009A4DD1"/>
    <w:rsid w:val="009A5E59"/>
    <w:rsid w:val="009A69EC"/>
    <w:rsid w:val="009B1302"/>
    <w:rsid w:val="009B2789"/>
    <w:rsid w:val="009B48BA"/>
    <w:rsid w:val="009B62BE"/>
    <w:rsid w:val="009C0560"/>
    <w:rsid w:val="009C1322"/>
    <w:rsid w:val="009C1B94"/>
    <w:rsid w:val="009C28DF"/>
    <w:rsid w:val="009C2E46"/>
    <w:rsid w:val="009C457F"/>
    <w:rsid w:val="009C4777"/>
    <w:rsid w:val="009C6C59"/>
    <w:rsid w:val="009C6C63"/>
    <w:rsid w:val="009C7944"/>
    <w:rsid w:val="009C7C01"/>
    <w:rsid w:val="009D1CD7"/>
    <w:rsid w:val="009D3890"/>
    <w:rsid w:val="009D473E"/>
    <w:rsid w:val="009D4D93"/>
    <w:rsid w:val="009D6471"/>
    <w:rsid w:val="009D78FC"/>
    <w:rsid w:val="009E052C"/>
    <w:rsid w:val="009E1865"/>
    <w:rsid w:val="009E291C"/>
    <w:rsid w:val="009E2A2A"/>
    <w:rsid w:val="009E3942"/>
    <w:rsid w:val="009E46B5"/>
    <w:rsid w:val="009E4D5C"/>
    <w:rsid w:val="009E61F6"/>
    <w:rsid w:val="009F0F02"/>
    <w:rsid w:val="009F2250"/>
    <w:rsid w:val="009F3E16"/>
    <w:rsid w:val="009F5F3C"/>
    <w:rsid w:val="00A000E7"/>
    <w:rsid w:val="00A00144"/>
    <w:rsid w:val="00A00BF8"/>
    <w:rsid w:val="00A00CC9"/>
    <w:rsid w:val="00A01881"/>
    <w:rsid w:val="00A01ED2"/>
    <w:rsid w:val="00A01EF0"/>
    <w:rsid w:val="00A0487F"/>
    <w:rsid w:val="00A06048"/>
    <w:rsid w:val="00A10466"/>
    <w:rsid w:val="00A10BA9"/>
    <w:rsid w:val="00A11697"/>
    <w:rsid w:val="00A11E70"/>
    <w:rsid w:val="00A13479"/>
    <w:rsid w:val="00A15531"/>
    <w:rsid w:val="00A160DA"/>
    <w:rsid w:val="00A2064F"/>
    <w:rsid w:val="00A21A52"/>
    <w:rsid w:val="00A224DA"/>
    <w:rsid w:val="00A22CA0"/>
    <w:rsid w:val="00A24C6D"/>
    <w:rsid w:val="00A26876"/>
    <w:rsid w:val="00A26CEC"/>
    <w:rsid w:val="00A27C60"/>
    <w:rsid w:val="00A30492"/>
    <w:rsid w:val="00A31540"/>
    <w:rsid w:val="00A31FE5"/>
    <w:rsid w:val="00A343F8"/>
    <w:rsid w:val="00A35B84"/>
    <w:rsid w:val="00A35CBB"/>
    <w:rsid w:val="00A35DA3"/>
    <w:rsid w:val="00A360F1"/>
    <w:rsid w:val="00A365F6"/>
    <w:rsid w:val="00A37531"/>
    <w:rsid w:val="00A37ABF"/>
    <w:rsid w:val="00A40D82"/>
    <w:rsid w:val="00A4118F"/>
    <w:rsid w:val="00A41642"/>
    <w:rsid w:val="00A41F2E"/>
    <w:rsid w:val="00A42162"/>
    <w:rsid w:val="00A423E8"/>
    <w:rsid w:val="00A432A9"/>
    <w:rsid w:val="00A4364F"/>
    <w:rsid w:val="00A4372D"/>
    <w:rsid w:val="00A44448"/>
    <w:rsid w:val="00A44DE2"/>
    <w:rsid w:val="00A45D6F"/>
    <w:rsid w:val="00A47C42"/>
    <w:rsid w:val="00A5064D"/>
    <w:rsid w:val="00A537AC"/>
    <w:rsid w:val="00A53B27"/>
    <w:rsid w:val="00A5587E"/>
    <w:rsid w:val="00A56FED"/>
    <w:rsid w:val="00A57B59"/>
    <w:rsid w:val="00A6069E"/>
    <w:rsid w:val="00A61631"/>
    <w:rsid w:val="00A64B45"/>
    <w:rsid w:val="00A70DD9"/>
    <w:rsid w:val="00A73ABB"/>
    <w:rsid w:val="00A748D6"/>
    <w:rsid w:val="00A752D0"/>
    <w:rsid w:val="00A75924"/>
    <w:rsid w:val="00A775C8"/>
    <w:rsid w:val="00A81EBB"/>
    <w:rsid w:val="00A82631"/>
    <w:rsid w:val="00A83518"/>
    <w:rsid w:val="00A83BB9"/>
    <w:rsid w:val="00A84322"/>
    <w:rsid w:val="00A8467F"/>
    <w:rsid w:val="00A870DE"/>
    <w:rsid w:val="00A87254"/>
    <w:rsid w:val="00A87590"/>
    <w:rsid w:val="00A9048E"/>
    <w:rsid w:val="00A90619"/>
    <w:rsid w:val="00A90B80"/>
    <w:rsid w:val="00A9227D"/>
    <w:rsid w:val="00A92534"/>
    <w:rsid w:val="00A946DB"/>
    <w:rsid w:val="00A96681"/>
    <w:rsid w:val="00AA0987"/>
    <w:rsid w:val="00AA2834"/>
    <w:rsid w:val="00AA2A86"/>
    <w:rsid w:val="00AA2F66"/>
    <w:rsid w:val="00AA56C1"/>
    <w:rsid w:val="00AA631E"/>
    <w:rsid w:val="00AB076A"/>
    <w:rsid w:val="00AB1D16"/>
    <w:rsid w:val="00AB1F03"/>
    <w:rsid w:val="00AB20A7"/>
    <w:rsid w:val="00AB52B6"/>
    <w:rsid w:val="00AC0187"/>
    <w:rsid w:val="00AC05A5"/>
    <w:rsid w:val="00AC0FAF"/>
    <w:rsid w:val="00AC3D0E"/>
    <w:rsid w:val="00AC3FA9"/>
    <w:rsid w:val="00AC4164"/>
    <w:rsid w:val="00AC44FC"/>
    <w:rsid w:val="00AC46FF"/>
    <w:rsid w:val="00AC4CE3"/>
    <w:rsid w:val="00AC618D"/>
    <w:rsid w:val="00AC72CB"/>
    <w:rsid w:val="00AD1BF2"/>
    <w:rsid w:val="00AD466D"/>
    <w:rsid w:val="00AD6DAC"/>
    <w:rsid w:val="00AE082F"/>
    <w:rsid w:val="00AE0FBA"/>
    <w:rsid w:val="00AE162B"/>
    <w:rsid w:val="00AE1A40"/>
    <w:rsid w:val="00AE1F24"/>
    <w:rsid w:val="00AE239E"/>
    <w:rsid w:val="00AE3012"/>
    <w:rsid w:val="00AE41D0"/>
    <w:rsid w:val="00AE62EC"/>
    <w:rsid w:val="00AE6954"/>
    <w:rsid w:val="00AF0F6A"/>
    <w:rsid w:val="00AF1B61"/>
    <w:rsid w:val="00AF1FEF"/>
    <w:rsid w:val="00AF2800"/>
    <w:rsid w:val="00AF3A5E"/>
    <w:rsid w:val="00AF596C"/>
    <w:rsid w:val="00AF68C5"/>
    <w:rsid w:val="00AF79AF"/>
    <w:rsid w:val="00B00CE2"/>
    <w:rsid w:val="00B0479F"/>
    <w:rsid w:val="00B053E8"/>
    <w:rsid w:val="00B0774C"/>
    <w:rsid w:val="00B10711"/>
    <w:rsid w:val="00B109AC"/>
    <w:rsid w:val="00B13067"/>
    <w:rsid w:val="00B13681"/>
    <w:rsid w:val="00B13BEB"/>
    <w:rsid w:val="00B14694"/>
    <w:rsid w:val="00B14CEA"/>
    <w:rsid w:val="00B21277"/>
    <w:rsid w:val="00B22596"/>
    <w:rsid w:val="00B232AC"/>
    <w:rsid w:val="00B234B8"/>
    <w:rsid w:val="00B2368C"/>
    <w:rsid w:val="00B2635D"/>
    <w:rsid w:val="00B26788"/>
    <w:rsid w:val="00B267C2"/>
    <w:rsid w:val="00B26836"/>
    <w:rsid w:val="00B27203"/>
    <w:rsid w:val="00B27505"/>
    <w:rsid w:val="00B2774A"/>
    <w:rsid w:val="00B31453"/>
    <w:rsid w:val="00B31F88"/>
    <w:rsid w:val="00B32538"/>
    <w:rsid w:val="00B32A11"/>
    <w:rsid w:val="00B34252"/>
    <w:rsid w:val="00B362FD"/>
    <w:rsid w:val="00B3693F"/>
    <w:rsid w:val="00B3715E"/>
    <w:rsid w:val="00B41F6E"/>
    <w:rsid w:val="00B42896"/>
    <w:rsid w:val="00B43D67"/>
    <w:rsid w:val="00B44860"/>
    <w:rsid w:val="00B45CC8"/>
    <w:rsid w:val="00B4601D"/>
    <w:rsid w:val="00B503BF"/>
    <w:rsid w:val="00B522D8"/>
    <w:rsid w:val="00B53EAB"/>
    <w:rsid w:val="00B57F68"/>
    <w:rsid w:val="00B61A00"/>
    <w:rsid w:val="00B625B8"/>
    <w:rsid w:val="00B6468C"/>
    <w:rsid w:val="00B64FF4"/>
    <w:rsid w:val="00B66D33"/>
    <w:rsid w:val="00B66E91"/>
    <w:rsid w:val="00B72405"/>
    <w:rsid w:val="00B72AE9"/>
    <w:rsid w:val="00B734B7"/>
    <w:rsid w:val="00B75B15"/>
    <w:rsid w:val="00B75FCB"/>
    <w:rsid w:val="00B778B3"/>
    <w:rsid w:val="00B8052A"/>
    <w:rsid w:val="00B813AF"/>
    <w:rsid w:val="00B81A24"/>
    <w:rsid w:val="00B81C5C"/>
    <w:rsid w:val="00B8407C"/>
    <w:rsid w:val="00B85D95"/>
    <w:rsid w:val="00B86504"/>
    <w:rsid w:val="00B86B75"/>
    <w:rsid w:val="00B909BD"/>
    <w:rsid w:val="00B91E39"/>
    <w:rsid w:val="00B9314B"/>
    <w:rsid w:val="00B93495"/>
    <w:rsid w:val="00B939CB"/>
    <w:rsid w:val="00B9405E"/>
    <w:rsid w:val="00B9464F"/>
    <w:rsid w:val="00B96368"/>
    <w:rsid w:val="00B97929"/>
    <w:rsid w:val="00BA0DDA"/>
    <w:rsid w:val="00BA1854"/>
    <w:rsid w:val="00BA1C9F"/>
    <w:rsid w:val="00BA4847"/>
    <w:rsid w:val="00BA5BA8"/>
    <w:rsid w:val="00BA703F"/>
    <w:rsid w:val="00BA78C2"/>
    <w:rsid w:val="00BB08BF"/>
    <w:rsid w:val="00BB1342"/>
    <w:rsid w:val="00BB20DB"/>
    <w:rsid w:val="00BB3EDE"/>
    <w:rsid w:val="00BB52A5"/>
    <w:rsid w:val="00BC09F7"/>
    <w:rsid w:val="00BC1A24"/>
    <w:rsid w:val="00BC205E"/>
    <w:rsid w:val="00BC277E"/>
    <w:rsid w:val="00BC2790"/>
    <w:rsid w:val="00BC3987"/>
    <w:rsid w:val="00BC48D5"/>
    <w:rsid w:val="00BC4F1A"/>
    <w:rsid w:val="00BC5C0A"/>
    <w:rsid w:val="00BC7082"/>
    <w:rsid w:val="00BD1666"/>
    <w:rsid w:val="00BD4109"/>
    <w:rsid w:val="00BD4D1D"/>
    <w:rsid w:val="00BD5E17"/>
    <w:rsid w:val="00BD64B4"/>
    <w:rsid w:val="00BE0814"/>
    <w:rsid w:val="00BE19E6"/>
    <w:rsid w:val="00BE2EF2"/>
    <w:rsid w:val="00BE4738"/>
    <w:rsid w:val="00BE79C5"/>
    <w:rsid w:val="00BF3579"/>
    <w:rsid w:val="00BF3B8E"/>
    <w:rsid w:val="00BF49A2"/>
    <w:rsid w:val="00BF594A"/>
    <w:rsid w:val="00BF5EC9"/>
    <w:rsid w:val="00C01B5E"/>
    <w:rsid w:val="00C024D1"/>
    <w:rsid w:val="00C02568"/>
    <w:rsid w:val="00C03D65"/>
    <w:rsid w:val="00C05353"/>
    <w:rsid w:val="00C05C5E"/>
    <w:rsid w:val="00C05F9C"/>
    <w:rsid w:val="00C064C7"/>
    <w:rsid w:val="00C06D31"/>
    <w:rsid w:val="00C07EB8"/>
    <w:rsid w:val="00C10C14"/>
    <w:rsid w:val="00C11AE4"/>
    <w:rsid w:val="00C12451"/>
    <w:rsid w:val="00C12497"/>
    <w:rsid w:val="00C13C4C"/>
    <w:rsid w:val="00C1723A"/>
    <w:rsid w:val="00C172EA"/>
    <w:rsid w:val="00C200CC"/>
    <w:rsid w:val="00C21D73"/>
    <w:rsid w:val="00C2450F"/>
    <w:rsid w:val="00C24D85"/>
    <w:rsid w:val="00C25FE8"/>
    <w:rsid w:val="00C2646C"/>
    <w:rsid w:val="00C27DD4"/>
    <w:rsid w:val="00C31B45"/>
    <w:rsid w:val="00C34B75"/>
    <w:rsid w:val="00C34D9E"/>
    <w:rsid w:val="00C36279"/>
    <w:rsid w:val="00C40148"/>
    <w:rsid w:val="00C421EE"/>
    <w:rsid w:val="00C43CFB"/>
    <w:rsid w:val="00C4411C"/>
    <w:rsid w:val="00C44151"/>
    <w:rsid w:val="00C44D5A"/>
    <w:rsid w:val="00C458BB"/>
    <w:rsid w:val="00C45B71"/>
    <w:rsid w:val="00C45CEB"/>
    <w:rsid w:val="00C45D56"/>
    <w:rsid w:val="00C47E35"/>
    <w:rsid w:val="00C508B8"/>
    <w:rsid w:val="00C510E6"/>
    <w:rsid w:val="00C51BC7"/>
    <w:rsid w:val="00C52658"/>
    <w:rsid w:val="00C56109"/>
    <w:rsid w:val="00C5650B"/>
    <w:rsid w:val="00C565F6"/>
    <w:rsid w:val="00C5700E"/>
    <w:rsid w:val="00C6000A"/>
    <w:rsid w:val="00C60678"/>
    <w:rsid w:val="00C6104E"/>
    <w:rsid w:val="00C61B70"/>
    <w:rsid w:val="00C628BF"/>
    <w:rsid w:val="00C639EA"/>
    <w:rsid w:val="00C63DEF"/>
    <w:rsid w:val="00C6467A"/>
    <w:rsid w:val="00C66255"/>
    <w:rsid w:val="00C669FE"/>
    <w:rsid w:val="00C66EC9"/>
    <w:rsid w:val="00C71A96"/>
    <w:rsid w:val="00C71AA4"/>
    <w:rsid w:val="00C739D1"/>
    <w:rsid w:val="00C74579"/>
    <w:rsid w:val="00C749B4"/>
    <w:rsid w:val="00C750B6"/>
    <w:rsid w:val="00C7561F"/>
    <w:rsid w:val="00C75C93"/>
    <w:rsid w:val="00C75F2A"/>
    <w:rsid w:val="00C80B15"/>
    <w:rsid w:val="00C825CD"/>
    <w:rsid w:val="00C90E41"/>
    <w:rsid w:val="00C91911"/>
    <w:rsid w:val="00C94AFA"/>
    <w:rsid w:val="00C94BEB"/>
    <w:rsid w:val="00C9663F"/>
    <w:rsid w:val="00CA09E6"/>
    <w:rsid w:val="00CA287C"/>
    <w:rsid w:val="00CA3151"/>
    <w:rsid w:val="00CA3CC7"/>
    <w:rsid w:val="00CA3DD1"/>
    <w:rsid w:val="00CA452B"/>
    <w:rsid w:val="00CA456B"/>
    <w:rsid w:val="00CA4837"/>
    <w:rsid w:val="00CA7249"/>
    <w:rsid w:val="00CA751C"/>
    <w:rsid w:val="00CB4529"/>
    <w:rsid w:val="00CC093A"/>
    <w:rsid w:val="00CC1779"/>
    <w:rsid w:val="00CC2F99"/>
    <w:rsid w:val="00CC3BCD"/>
    <w:rsid w:val="00CC50C5"/>
    <w:rsid w:val="00CC5106"/>
    <w:rsid w:val="00CC5380"/>
    <w:rsid w:val="00CC53D9"/>
    <w:rsid w:val="00CC6F0E"/>
    <w:rsid w:val="00CD0675"/>
    <w:rsid w:val="00CD5C58"/>
    <w:rsid w:val="00CD6517"/>
    <w:rsid w:val="00CE12C1"/>
    <w:rsid w:val="00CE15D0"/>
    <w:rsid w:val="00CE235E"/>
    <w:rsid w:val="00CE4CAA"/>
    <w:rsid w:val="00CE5A1E"/>
    <w:rsid w:val="00CE7241"/>
    <w:rsid w:val="00CE7336"/>
    <w:rsid w:val="00CF103A"/>
    <w:rsid w:val="00CF2AB5"/>
    <w:rsid w:val="00CF3956"/>
    <w:rsid w:val="00CF42F2"/>
    <w:rsid w:val="00CF4E9D"/>
    <w:rsid w:val="00CF6493"/>
    <w:rsid w:val="00CF6AD7"/>
    <w:rsid w:val="00CF71E0"/>
    <w:rsid w:val="00CF741B"/>
    <w:rsid w:val="00D0076E"/>
    <w:rsid w:val="00D00BA7"/>
    <w:rsid w:val="00D015B2"/>
    <w:rsid w:val="00D042D7"/>
    <w:rsid w:val="00D0485C"/>
    <w:rsid w:val="00D04CC5"/>
    <w:rsid w:val="00D05E0D"/>
    <w:rsid w:val="00D104E3"/>
    <w:rsid w:val="00D11B34"/>
    <w:rsid w:val="00D12CDA"/>
    <w:rsid w:val="00D15B7E"/>
    <w:rsid w:val="00D17556"/>
    <w:rsid w:val="00D21889"/>
    <w:rsid w:val="00D24372"/>
    <w:rsid w:val="00D266F4"/>
    <w:rsid w:val="00D270D5"/>
    <w:rsid w:val="00D3009B"/>
    <w:rsid w:val="00D32C92"/>
    <w:rsid w:val="00D33BC3"/>
    <w:rsid w:val="00D37D73"/>
    <w:rsid w:val="00D41CEA"/>
    <w:rsid w:val="00D42DDF"/>
    <w:rsid w:val="00D4620C"/>
    <w:rsid w:val="00D471B0"/>
    <w:rsid w:val="00D50C47"/>
    <w:rsid w:val="00D51850"/>
    <w:rsid w:val="00D521AE"/>
    <w:rsid w:val="00D52551"/>
    <w:rsid w:val="00D52BFC"/>
    <w:rsid w:val="00D52CFF"/>
    <w:rsid w:val="00D54CF9"/>
    <w:rsid w:val="00D55217"/>
    <w:rsid w:val="00D55396"/>
    <w:rsid w:val="00D5548E"/>
    <w:rsid w:val="00D61B50"/>
    <w:rsid w:val="00D61D09"/>
    <w:rsid w:val="00D6266C"/>
    <w:rsid w:val="00D62982"/>
    <w:rsid w:val="00D64782"/>
    <w:rsid w:val="00D655F9"/>
    <w:rsid w:val="00D707D0"/>
    <w:rsid w:val="00D716BE"/>
    <w:rsid w:val="00D734B4"/>
    <w:rsid w:val="00D73666"/>
    <w:rsid w:val="00D73945"/>
    <w:rsid w:val="00D764BF"/>
    <w:rsid w:val="00D76520"/>
    <w:rsid w:val="00D77F2E"/>
    <w:rsid w:val="00D80859"/>
    <w:rsid w:val="00D8101C"/>
    <w:rsid w:val="00D810BA"/>
    <w:rsid w:val="00D82D72"/>
    <w:rsid w:val="00D8618F"/>
    <w:rsid w:val="00D86D8D"/>
    <w:rsid w:val="00D92C07"/>
    <w:rsid w:val="00D930DF"/>
    <w:rsid w:val="00D933B1"/>
    <w:rsid w:val="00D945CA"/>
    <w:rsid w:val="00D957CD"/>
    <w:rsid w:val="00D957CE"/>
    <w:rsid w:val="00DA2051"/>
    <w:rsid w:val="00DA2B46"/>
    <w:rsid w:val="00DA45B5"/>
    <w:rsid w:val="00DA5C7F"/>
    <w:rsid w:val="00DA6353"/>
    <w:rsid w:val="00DB1EB7"/>
    <w:rsid w:val="00DB22D1"/>
    <w:rsid w:val="00DB3730"/>
    <w:rsid w:val="00DB4C00"/>
    <w:rsid w:val="00DB63D9"/>
    <w:rsid w:val="00DB7340"/>
    <w:rsid w:val="00DC070C"/>
    <w:rsid w:val="00DC25CA"/>
    <w:rsid w:val="00DC454F"/>
    <w:rsid w:val="00DC60F6"/>
    <w:rsid w:val="00DC7514"/>
    <w:rsid w:val="00DC7CC9"/>
    <w:rsid w:val="00DD2EA9"/>
    <w:rsid w:val="00DD33DE"/>
    <w:rsid w:val="00DD4E76"/>
    <w:rsid w:val="00DD58EF"/>
    <w:rsid w:val="00DE05B7"/>
    <w:rsid w:val="00DE17D1"/>
    <w:rsid w:val="00DE1B25"/>
    <w:rsid w:val="00DE36DD"/>
    <w:rsid w:val="00DE3DEC"/>
    <w:rsid w:val="00DE4AA8"/>
    <w:rsid w:val="00DE5B9C"/>
    <w:rsid w:val="00DE68F3"/>
    <w:rsid w:val="00DE75A4"/>
    <w:rsid w:val="00DF1D05"/>
    <w:rsid w:val="00DF265C"/>
    <w:rsid w:val="00DF3C3C"/>
    <w:rsid w:val="00DF4744"/>
    <w:rsid w:val="00DF483C"/>
    <w:rsid w:val="00E01017"/>
    <w:rsid w:val="00E02B31"/>
    <w:rsid w:val="00E03855"/>
    <w:rsid w:val="00E03D95"/>
    <w:rsid w:val="00E05920"/>
    <w:rsid w:val="00E0659B"/>
    <w:rsid w:val="00E06955"/>
    <w:rsid w:val="00E07739"/>
    <w:rsid w:val="00E07B39"/>
    <w:rsid w:val="00E12686"/>
    <w:rsid w:val="00E12CA6"/>
    <w:rsid w:val="00E14DE5"/>
    <w:rsid w:val="00E169E2"/>
    <w:rsid w:val="00E21948"/>
    <w:rsid w:val="00E22EEE"/>
    <w:rsid w:val="00E24359"/>
    <w:rsid w:val="00E251D5"/>
    <w:rsid w:val="00E3098B"/>
    <w:rsid w:val="00E315A3"/>
    <w:rsid w:val="00E330CA"/>
    <w:rsid w:val="00E33540"/>
    <w:rsid w:val="00E34AD5"/>
    <w:rsid w:val="00E35177"/>
    <w:rsid w:val="00E368B9"/>
    <w:rsid w:val="00E42121"/>
    <w:rsid w:val="00E4385A"/>
    <w:rsid w:val="00E46975"/>
    <w:rsid w:val="00E47E38"/>
    <w:rsid w:val="00E502E4"/>
    <w:rsid w:val="00E5046A"/>
    <w:rsid w:val="00E50AE8"/>
    <w:rsid w:val="00E50F89"/>
    <w:rsid w:val="00E51B49"/>
    <w:rsid w:val="00E5207E"/>
    <w:rsid w:val="00E52B1A"/>
    <w:rsid w:val="00E537F6"/>
    <w:rsid w:val="00E53A25"/>
    <w:rsid w:val="00E57CF1"/>
    <w:rsid w:val="00E57F65"/>
    <w:rsid w:val="00E609D8"/>
    <w:rsid w:val="00E619D8"/>
    <w:rsid w:val="00E62458"/>
    <w:rsid w:val="00E640A6"/>
    <w:rsid w:val="00E71D80"/>
    <w:rsid w:val="00E73627"/>
    <w:rsid w:val="00E74CAE"/>
    <w:rsid w:val="00E74D48"/>
    <w:rsid w:val="00E7723D"/>
    <w:rsid w:val="00E81910"/>
    <w:rsid w:val="00E81F20"/>
    <w:rsid w:val="00E82047"/>
    <w:rsid w:val="00E85162"/>
    <w:rsid w:val="00E85F70"/>
    <w:rsid w:val="00E86E2B"/>
    <w:rsid w:val="00E9027B"/>
    <w:rsid w:val="00E903CC"/>
    <w:rsid w:val="00E90FCE"/>
    <w:rsid w:val="00E9260A"/>
    <w:rsid w:val="00E93C1B"/>
    <w:rsid w:val="00E96628"/>
    <w:rsid w:val="00E97DE3"/>
    <w:rsid w:val="00EA061B"/>
    <w:rsid w:val="00EA0B59"/>
    <w:rsid w:val="00EA5882"/>
    <w:rsid w:val="00EA6AE4"/>
    <w:rsid w:val="00EA6B56"/>
    <w:rsid w:val="00EB0353"/>
    <w:rsid w:val="00EB1F6D"/>
    <w:rsid w:val="00EB320A"/>
    <w:rsid w:val="00EC26F0"/>
    <w:rsid w:val="00EC4771"/>
    <w:rsid w:val="00EC4A07"/>
    <w:rsid w:val="00EC6045"/>
    <w:rsid w:val="00EC67CB"/>
    <w:rsid w:val="00EC6FDE"/>
    <w:rsid w:val="00EC6FF3"/>
    <w:rsid w:val="00EC772A"/>
    <w:rsid w:val="00EC784B"/>
    <w:rsid w:val="00ED250E"/>
    <w:rsid w:val="00ED45E7"/>
    <w:rsid w:val="00ED5549"/>
    <w:rsid w:val="00EE05F8"/>
    <w:rsid w:val="00EE0E3C"/>
    <w:rsid w:val="00EE172C"/>
    <w:rsid w:val="00EE4C5B"/>
    <w:rsid w:val="00EE5EC3"/>
    <w:rsid w:val="00EE7199"/>
    <w:rsid w:val="00EF19BB"/>
    <w:rsid w:val="00EF499D"/>
    <w:rsid w:val="00EF4C27"/>
    <w:rsid w:val="00EF56C5"/>
    <w:rsid w:val="00EF77EF"/>
    <w:rsid w:val="00F01238"/>
    <w:rsid w:val="00F02982"/>
    <w:rsid w:val="00F02C8A"/>
    <w:rsid w:val="00F039A0"/>
    <w:rsid w:val="00F04C45"/>
    <w:rsid w:val="00F06E1C"/>
    <w:rsid w:val="00F070E6"/>
    <w:rsid w:val="00F073BA"/>
    <w:rsid w:val="00F0752B"/>
    <w:rsid w:val="00F104D2"/>
    <w:rsid w:val="00F1197A"/>
    <w:rsid w:val="00F1200D"/>
    <w:rsid w:val="00F15620"/>
    <w:rsid w:val="00F16171"/>
    <w:rsid w:val="00F16763"/>
    <w:rsid w:val="00F20D2C"/>
    <w:rsid w:val="00F2177D"/>
    <w:rsid w:val="00F225A3"/>
    <w:rsid w:val="00F2268D"/>
    <w:rsid w:val="00F23E69"/>
    <w:rsid w:val="00F27FC3"/>
    <w:rsid w:val="00F30390"/>
    <w:rsid w:val="00F31E4A"/>
    <w:rsid w:val="00F34268"/>
    <w:rsid w:val="00F34877"/>
    <w:rsid w:val="00F34996"/>
    <w:rsid w:val="00F365E8"/>
    <w:rsid w:val="00F37B1E"/>
    <w:rsid w:val="00F406C9"/>
    <w:rsid w:val="00F406CD"/>
    <w:rsid w:val="00F42D58"/>
    <w:rsid w:val="00F43A15"/>
    <w:rsid w:val="00F444DF"/>
    <w:rsid w:val="00F46102"/>
    <w:rsid w:val="00F46282"/>
    <w:rsid w:val="00F52647"/>
    <w:rsid w:val="00F52996"/>
    <w:rsid w:val="00F5323F"/>
    <w:rsid w:val="00F53583"/>
    <w:rsid w:val="00F543A0"/>
    <w:rsid w:val="00F550FA"/>
    <w:rsid w:val="00F55F22"/>
    <w:rsid w:val="00F57BDD"/>
    <w:rsid w:val="00F60E30"/>
    <w:rsid w:val="00F61341"/>
    <w:rsid w:val="00F618C7"/>
    <w:rsid w:val="00F61D83"/>
    <w:rsid w:val="00F62307"/>
    <w:rsid w:val="00F6522D"/>
    <w:rsid w:val="00F65C37"/>
    <w:rsid w:val="00F670BE"/>
    <w:rsid w:val="00F7136A"/>
    <w:rsid w:val="00F71A72"/>
    <w:rsid w:val="00F72D7D"/>
    <w:rsid w:val="00F7429D"/>
    <w:rsid w:val="00F745AE"/>
    <w:rsid w:val="00F75D80"/>
    <w:rsid w:val="00F7607A"/>
    <w:rsid w:val="00F80A9C"/>
    <w:rsid w:val="00F8117C"/>
    <w:rsid w:val="00F814EC"/>
    <w:rsid w:val="00F81AFE"/>
    <w:rsid w:val="00F8231F"/>
    <w:rsid w:val="00F82CB9"/>
    <w:rsid w:val="00F86414"/>
    <w:rsid w:val="00F869D1"/>
    <w:rsid w:val="00F900EF"/>
    <w:rsid w:val="00F906A0"/>
    <w:rsid w:val="00F90E3B"/>
    <w:rsid w:val="00F925EE"/>
    <w:rsid w:val="00F940CE"/>
    <w:rsid w:val="00F95BFE"/>
    <w:rsid w:val="00F95C69"/>
    <w:rsid w:val="00F9613B"/>
    <w:rsid w:val="00F96325"/>
    <w:rsid w:val="00F96E00"/>
    <w:rsid w:val="00F97CD4"/>
    <w:rsid w:val="00F97F5E"/>
    <w:rsid w:val="00FA497A"/>
    <w:rsid w:val="00FA4EC2"/>
    <w:rsid w:val="00FA6506"/>
    <w:rsid w:val="00FA6B76"/>
    <w:rsid w:val="00FB01B9"/>
    <w:rsid w:val="00FB048A"/>
    <w:rsid w:val="00FB07AF"/>
    <w:rsid w:val="00FB2001"/>
    <w:rsid w:val="00FB3AD1"/>
    <w:rsid w:val="00FB3AEB"/>
    <w:rsid w:val="00FB3CD5"/>
    <w:rsid w:val="00FB51B0"/>
    <w:rsid w:val="00FB51B2"/>
    <w:rsid w:val="00FC1AB9"/>
    <w:rsid w:val="00FC1BC4"/>
    <w:rsid w:val="00FC4886"/>
    <w:rsid w:val="00FC4D66"/>
    <w:rsid w:val="00FC4F28"/>
    <w:rsid w:val="00FC61CB"/>
    <w:rsid w:val="00FC632C"/>
    <w:rsid w:val="00FC6A53"/>
    <w:rsid w:val="00FC7C65"/>
    <w:rsid w:val="00FD1C8D"/>
    <w:rsid w:val="00FD4742"/>
    <w:rsid w:val="00FD545B"/>
    <w:rsid w:val="00FD7155"/>
    <w:rsid w:val="00FE0E05"/>
    <w:rsid w:val="00FE0FAC"/>
    <w:rsid w:val="00FE2FF6"/>
    <w:rsid w:val="00FE3583"/>
    <w:rsid w:val="00FE3FA7"/>
    <w:rsid w:val="00FE4861"/>
    <w:rsid w:val="00FE72AF"/>
    <w:rsid w:val="00FF0F4F"/>
    <w:rsid w:val="00FF20DD"/>
    <w:rsid w:val="00FF34B7"/>
    <w:rsid w:val="00FF3823"/>
    <w:rsid w:val="00FF6DD9"/>
    <w:rsid w:val="00FF7144"/>
    <w:rsid w:val="00FF7487"/>
    <w:rsid w:val="00FF78C2"/>
    <w:rsid w:val="2C4B219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 w:themeColor="text1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000000" w:themeColor="text1"/>
      <w14:textFill>
        <w14:solidFill>
          <w14:schemeClr w14:val="tx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000000" w:themeColor="text1"/>
      <w14:textFill>
        <w14:solidFill>
          <w14:schemeClr w14:val="tx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</w:style>
  <w:style w:type="character" w:default="1" w:styleId="23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  <w:rPr>
      <w:rFonts w:eastAsia="宋体"/>
      <w:sz w:val="21"/>
    </w:rPr>
  </w:style>
  <w:style w:type="paragraph" w:styleId="12">
    <w:name w:val="caption"/>
    <w:basedOn w:val="1"/>
    <w:qFormat/>
    <w:uiPriority w:val="0"/>
    <w:pPr>
      <w:spacing w:after="120"/>
    </w:p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footer"/>
    <w:basedOn w:val="1"/>
    <w:link w:val="4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43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Normal (Web)"/>
    <w:basedOn w:val="1"/>
    <w:qFormat/>
    <w:uiPriority w:val="0"/>
    <w:rPr>
      <w:rFonts w:cs="Times New Roman"/>
    </w:rPr>
  </w:style>
  <w:style w:type="table" w:styleId="22">
    <w:name w:val="Table Grid"/>
    <w:basedOn w:val="2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Hyperlink"/>
    <w:basedOn w:val="26"/>
    <w:qFormat/>
    <w:uiPriority w:val="0"/>
    <w:rPr>
      <w:rFonts w:ascii="Times New Roman" w:hAnsi="Times New Roman" w:eastAsia="宋体"/>
      <w:color w:val="4F81BD" w:themeColor="accent1"/>
      <w:sz w:val="21"/>
      <w:szCs w:val="24"/>
      <w:lang w:eastAsia="en-US"/>
      <w14:textFill>
        <w14:solidFill>
          <w14:schemeClr w14:val="accent1"/>
        </w14:solidFill>
      </w14:textFill>
    </w:rPr>
  </w:style>
  <w:style w:type="character" w:customStyle="1" w:styleId="26">
    <w:name w:val="正文文本 字符"/>
    <w:basedOn w:val="23"/>
    <w:link w:val="3"/>
    <w:qFormat/>
    <w:uiPriority w:val="0"/>
    <w:rPr>
      <w:rFonts w:ascii="Times New Roman" w:hAnsi="Times New Roman" w:eastAsia="宋体"/>
      <w:sz w:val="21"/>
      <w:szCs w:val="24"/>
      <w:lang w:eastAsia="en-US"/>
    </w:rPr>
  </w:style>
  <w:style w:type="character" w:styleId="27">
    <w:name w:val="footnote reference"/>
    <w:basedOn w:val="26"/>
    <w:qFormat/>
    <w:uiPriority w:val="0"/>
    <w:rPr>
      <w:rFonts w:ascii="Times New Roman" w:hAnsi="Times New Roman" w:eastAsia="宋体"/>
      <w:sz w:val="21"/>
      <w:szCs w:val="24"/>
      <w:vertAlign w:val="superscript"/>
      <w:lang w:eastAsia="en-US"/>
    </w:rPr>
  </w:style>
  <w:style w:type="paragraph" w:customStyle="1" w:styleId="28">
    <w:name w:val="First Paragraph"/>
    <w:basedOn w:val="3"/>
    <w:next w:val="3"/>
    <w:qFormat/>
    <w:uiPriority w:val="0"/>
  </w:style>
  <w:style w:type="paragraph" w:customStyle="1" w:styleId="29">
    <w:name w:val="Compact"/>
    <w:basedOn w:val="3"/>
    <w:qFormat/>
    <w:uiPriority w:val="0"/>
    <w:pPr>
      <w:spacing w:before="36" w:after="36"/>
    </w:pPr>
  </w:style>
  <w:style w:type="paragraph" w:customStyle="1" w:styleId="30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2">
    <w:name w:val="书目1"/>
    <w:basedOn w:val="1"/>
    <w:qFormat/>
    <w:uiPriority w:val="0"/>
  </w:style>
  <w:style w:type="table" w:customStyle="1" w:styleId="3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4">
    <w:name w:val="Definition Term"/>
    <w:basedOn w:val="1"/>
    <w:next w:val="35"/>
    <w:qFormat/>
    <w:uiPriority w:val="0"/>
    <w:pPr>
      <w:keepNext/>
      <w:keepLines/>
      <w:spacing w:after="0"/>
    </w:pPr>
    <w:rPr>
      <w:b/>
    </w:rPr>
  </w:style>
  <w:style w:type="paragraph" w:customStyle="1" w:styleId="35">
    <w:name w:val="Definition"/>
    <w:basedOn w:val="1"/>
    <w:uiPriority w:val="0"/>
  </w:style>
  <w:style w:type="paragraph" w:customStyle="1" w:styleId="36">
    <w:name w:val="Table Caption"/>
    <w:basedOn w:val="12"/>
    <w:uiPriority w:val="0"/>
    <w:pPr>
      <w:keepNext/>
    </w:pPr>
  </w:style>
  <w:style w:type="paragraph" w:customStyle="1" w:styleId="37">
    <w:name w:val="Image Caption"/>
    <w:basedOn w:val="12"/>
    <w:qFormat/>
    <w:uiPriority w:val="0"/>
  </w:style>
  <w:style w:type="paragraph" w:customStyle="1" w:styleId="38">
    <w:name w:val="Figure"/>
    <w:basedOn w:val="1"/>
    <w:qFormat/>
    <w:uiPriority w:val="0"/>
  </w:style>
  <w:style w:type="paragraph" w:customStyle="1" w:styleId="39">
    <w:name w:val="Captioned Figure"/>
    <w:basedOn w:val="38"/>
    <w:qFormat/>
    <w:uiPriority w:val="0"/>
    <w:pPr>
      <w:keepNext/>
    </w:pPr>
  </w:style>
  <w:style w:type="character" w:customStyle="1" w:styleId="40">
    <w:name w:val="Verbatim Char"/>
    <w:basedOn w:val="26"/>
    <w:link w:val="41"/>
    <w:qFormat/>
    <w:uiPriority w:val="0"/>
    <w:rPr>
      <w:rFonts w:ascii="Consolas" w:hAnsi="Consolas" w:eastAsia="宋体"/>
      <w:sz w:val="22"/>
      <w:szCs w:val="24"/>
      <w:lang w:eastAsia="en-US"/>
    </w:rPr>
  </w:style>
  <w:style w:type="paragraph" w:customStyle="1" w:styleId="41">
    <w:name w:val="Source Code"/>
    <w:link w:val="40"/>
    <w:qFormat/>
    <w:uiPriority w:val="0"/>
    <w:pPr>
      <w:wordWrap w:val="0"/>
    </w:pPr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42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auto"/>
    </w:rPr>
  </w:style>
  <w:style w:type="character" w:customStyle="1" w:styleId="43">
    <w:name w:val="页眉 字符"/>
    <w:basedOn w:val="23"/>
    <w:link w:val="16"/>
    <w:qFormat/>
    <w:uiPriority w:val="0"/>
    <w:rPr>
      <w:rFonts w:eastAsiaTheme="minorHAnsi"/>
      <w:sz w:val="18"/>
      <w:szCs w:val="18"/>
      <w:lang w:eastAsia="en-US"/>
    </w:rPr>
  </w:style>
  <w:style w:type="character" w:customStyle="1" w:styleId="44">
    <w:name w:val="页脚 字符"/>
    <w:basedOn w:val="23"/>
    <w:link w:val="15"/>
    <w:qFormat/>
    <w:uiPriority w:val="0"/>
    <w:rPr>
      <w:rFonts w:eastAsiaTheme="minorHAnsi"/>
      <w:sz w:val="18"/>
      <w:szCs w:val="18"/>
      <w:lang w:eastAsia="en-US"/>
    </w:rPr>
  </w:style>
  <w:style w:type="character" w:customStyle="1" w:styleId="45">
    <w:name w:val="Book Title"/>
    <w:basedOn w:val="23"/>
    <w:qFormat/>
    <w:uiPriority w:val="33"/>
    <w:rPr>
      <w:b/>
      <w:bCs/>
      <w:iCs/>
      <w:spacing w:val="5"/>
    </w:rPr>
  </w:style>
  <w:style w:type="character" w:customStyle="1" w:styleId="46">
    <w:name w:val="KeywordTok"/>
    <w:basedOn w:val="40"/>
    <w:qFormat/>
    <w:uiPriority w:val="0"/>
    <w:rPr>
      <w:rFonts w:ascii="Consolas" w:hAnsi="Consolas" w:eastAsia="宋体"/>
      <w:b/>
      <w:color w:val="007020"/>
      <w:sz w:val="22"/>
      <w:szCs w:val="24"/>
      <w:lang w:eastAsia="en-US"/>
    </w:rPr>
  </w:style>
  <w:style w:type="character" w:customStyle="1" w:styleId="47">
    <w:name w:val="DataTypeTok"/>
    <w:basedOn w:val="40"/>
    <w:qFormat/>
    <w:uiPriority w:val="0"/>
    <w:rPr>
      <w:rFonts w:ascii="Consolas" w:hAnsi="Consolas" w:eastAsia="宋体"/>
      <w:color w:val="902000"/>
      <w:sz w:val="22"/>
      <w:szCs w:val="24"/>
      <w:lang w:eastAsia="en-US"/>
    </w:rPr>
  </w:style>
  <w:style w:type="character" w:customStyle="1" w:styleId="48">
    <w:name w:val="DecValTok"/>
    <w:basedOn w:val="40"/>
    <w:qFormat/>
    <w:uiPriority w:val="0"/>
    <w:rPr>
      <w:rFonts w:ascii="Consolas" w:hAnsi="Consolas" w:eastAsia="宋体"/>
      <w:color w:val="40A070"/>
      <w:sz w:val="22"/>
      <w:szCs w:val="24"/>
      <w:lang w:eastAsia="en-US"/>
    </w:rPr>
  </w:style>
  <w:style w:type="character" w:customStyle="1" w:styleId="49">
    <w:name w:val="BaseNTok"/>
    <w:basedOn w:val="40"/>
    <w:qFormat/>
    <w:uiPriority w:val="0"/>
    <w:rPr>
      <w:rFonts w:ascii="Consolas" w:hAnsi="Consolas" w:eastAsia="宋体"/>
      <w:color w:val="40A070"/>
      <w:sz w:val="22"/>
      <w:szCs w:val="24"/>
      <w:lang w:eastAsia="en-US"/>
    </w:rPr>
  </w:style>
  <w:style w:type="character" w:customStyle="1" w:styleId="50">
    <w:name w:val="FloatTok"/>
    <w:basedOn w:val="40"/>
    <w:qFormat/>
    <w:uiPriority w:val="0"/>
    <w:rPr>
      <w:rFonts w:ascii="Consolas" w:hAnsi="Consolas" w:eastAsia="宋体"/>
      <w:color w:val="40A070"/>
      <w:sz w:val="22"/>
      <w:szCs w:val="24"/>
      <w:lang w:eastAsia="en-US"/>
    </w:rPr>
  </w:style>
  <w:style w:type="character" w:customStyle="1" w:styleId="51">
    <w:name w:val="ConstantTok"/>
    <w:basedOn w:val="40"/>
    <w:qFormat/>
    <w:uiPriority w:val="0"/>
    <w:rPr>
      <w:rFonts w:ascii="Consolas" w:hAnsi="Consolas" w:eastAsia="宋体"/>
      <w:color w:val="880000"/>
      <w:sz w:val="22"/>
      <w:szCs w:val="24"/>
      <w:lang w:eastAsia="en-US"/>
    </w:rPr>
  </w:style>
  <w:style w:type="character" w:customStyle="1" w:styleId="52">
    <w:name w:val="CharTok"/>
    <w:basedOn w:val="40"/>
    <w:qFormat/>
    <w:uiPriority w:val="0"/>
    <w:rPr>
      <w:rFonts w:ascii="Consolas" w:hAnsi="Consolas" w:eastAsia="宋体"/>
      <w:color w:val="4070A0"/>
      <w:sz w:val="22"/>
      <w:szCs w:val="24"/>
      <w:lang w:eastAsia="en-US"/>
    </w:rPr>
  </w:style>
  <w:style w:type="character" w:customStyle="1" w:styleId="53">
    <w:name w:val="SpecialCharTok"/>
    <w:basedOn w:val="40"/>
    <w:qFormat/>
    <w:uiPriority w:val="0"/>
    <w:rPr>
      <w:rFonts w:ascii="Consolas" w:hAnsi="Consolas" w:eastAsia="宋体"/>
      <w:color w:val="4070A0"/>
      <w:sz w:val="22"/>
      <w:szCs w:val="24"/>
      <w:lang w:eastAsia="en-US"/>
    </w:rPr>
  </w:style>
  <w:style w:type="character" w:customStyle="1" w:styleId="54">
    <w:name w:val="StringTok"/>
    <w:basedOn w:val="40"/>
    <w:qFormat/>
    <w:uiPriority w:val="0"/>
    <w:rPr>
      <w:rFonts w:ascii="Consolas" w:hAnsi="Consolas" w:eastAsia="宋体"/>
      <w:color w:val="4070A0"/>
      <w:sz w:val="22"/>
      <w:szCs w:val="24"/>
      <w:lang w:eastAsia="en-US"/>
    </w:rPr>
  </w:style>
  <w:style w:type="character" w:customStyle="1" w:styleId="55">
    <w:name w:val="VerbatimStringTok"/>
    <w:basedOn w:val="40"/>
    <w:qFormat/>
    <w:uiPriority w:val="0"/>
    <w:rPr>
      <w:rFonts w:ascii="Consolas" w:hAnsi="Consolas" w:eastAsia="宋体"/>
      <w:color w:val="4070A0"/>
      <w:sz w:val="22"/>
      <w:szCs w:val="24"/>
      <w:lang w:eastAsia="en-US"/>
    </w:rPr>
  </w:style>
  <w:style w:type="character" w:customStyle="1" w:styleId="56">
    <w:name w:val="SpecialStringTok"/>
    <w:basedOn w:val="40"/>
    <w:qFormat/>
    <w:uiPriority w:val="0"/>
    <w:rPr>
      <w:rFonts w:ascii="Consolas" w:hAnsi="Consolas" w:eastAsia="宋体"/>
      <w:color w:val="BB6688"/>
      <w:sz w:val="22"/>
      <w:szCs w:val="24"/>
      <w:lang w:eastAsia="en-US"/>
    </w:rPr>
  </w:style>
  <w:style w:type="character" w:customStyle="1" w:styleId="57">
    <w:name w:val="ImportTok"/>
    <w:basedOn w:val="40"/>
    <w:qFormat/>
    <w:uiPriority w:val="0"/>
    <w:rPr>
      <w:rFonts w:ascii="Consolas" w:hAnsi="Consolas" w:eastAsia="宋体"/>
      <w:sz w:val="22"/>
      <w:szCs w:val="24"/>
      <w:lang w:eastAsia="en-US"/>
    </w:rPr>
  </w:style>
  <w:style w:type="character" w:customStyle="1" w:styleId="58">
    <w:name w:val="CommentTok"/>
    <w:basedOn w:val="40"/>
    <w:qFormat/>
    <w:uiPriority w:val="0"/>
    <w:rPr>
      <w:rFonts w:ascii="Consolas" w:hAnsi="Consolas" w:eastAsia="宋体"/>
      <w:i/>
      <w:color w:val="60A0B0"/>
      <w:sz w:val="22"/>
      <w:szCs w:val="24"/>
      <w:lang w:eastAsia="en-US"/>
    </w:rPr>
  </w:style>
  <w:style w:type="character" w:customStyle="1" w:styleId="59">
    <w:name w:val="DocumentationTok"/>
    <w:basedOn w:val="40"/>
    <w:qFormat/>
    <w:uiPriority w:val="0"/>
    <w:rPr>
      <w:rFonts w:ascii="Consolas" w:hAnsi="Consolas" w:eastAsia="宋体"/>
      <w:i/>
      <w:color w:val="BA2121"/>
      <w:sz w:val="22"/>
      <w:szCs w:val="24"/>
      <w:lang w:eastAsia="en-US"/>
    </w:rPr>
  </w:style>
  <w:style w:type="character" w:customStyle="1" w:styleId="60">
    <w:name w:val="AnnotationTok"/>
    <w:basedOn w:val="40"/>
    <w:qFormat/>
    <w:uiPriority w:val="0"/>
    <w:rPr>
      <w:rFonts w:ascii="Consolas" w:hAnsi="Consolas" w:eastAsia="宋体"/>
      <w:b/>
      <w:i/>
      <w:color w:val="60A0B0"/>
      <w:sz w:val="22"/>
      <w:szCs w:val="24"/>
      <w:lang w:eastAsia="en-US"/>
    </w:rPr>
  </w:style>
  <w:style w:type="character" w:customStyle="1" w:styleId="61">
    <w:name w:val="CommentVarTok"/>
    <w:basedOn w:val="40"/>
    <w:qFormat/>
    <w:uiPriority w:val="0"/>
    <w:rPr>
      <w:rFonts w:ascii="Consolas" w:hAnsi="Consolas" w:eastAsia="宋体"/>
      <w:b/>
      <w:i/>
      <w:color w:val="60A0B0"/>
      <w:sz w:val="22"/>
      <w:szCs w:val="24"/>
      <w:lang w:eastAsia="en-US"/>
    </w:rPr>
  </w:style>
  <w:style w:type="character" w:customStyle="1" w:styleId="62">
    <w:name w:val="OtherTok"/>
    <w:basedOn w:val="40"/>
    <w:qFormat/>
    <w:uiPriority w:val="0"/>
    <w:rPr>
      <w:rFonts w:ascii="Consolas" w:hAnsi="Consolas" w:eastAsia="宋体"/>
      <w:color w:val="007020"/>
      <w:sz w:val="22"/>
      <w:szCs w:val="24"/>
      <w:lang w:eastAsia="en-US"/>
    </w:rPr>
  </w:style>
  <w:style w:type="character" w:customStyle="1" w:styleId="63">
    <w:name w:val="FunctionTok"/>
    <w:basedOn w:val="40"/>
    <w:qFormat/>
    <w:uiPriority w:val="0"/>
    <w:rPr>
      <w:rFonts w:ascii="Consolas" w:hAnsi="Consolas" w:eastAsia="宋体"/>
      <w:color w:val="06287E"/>
      <w:sz w:val="22"/>
      <w:szCs w:val="24"/>
      <w:lang w:eastAsia="en-US"/>
    </w:rPr>
  </w:style>
  <w:style w:type="character" w:customStyle="1" w:styleId="64">
    <w:name w:val="VariableTok"/>
    <w:basedOn w:val="40"/>
    <w:qFormat/>
    <w:uiPriority w:val="0"/>
    <w:rPr>
      <w:rFonts w:ascii="Consolas" w:hAnsi="Consolas" w:eastAsia="宋体"/>
      <w:color w:val="19177C"/>
      <w:sz w:val="22"/>
      <w:szCs w:val="24"/>
      <w:lang w:eastAsia="en-US"/>
    </w:rPr>
  </w:style>
  <w:style w:type="character" w:customStyle="1" w:styleId="65">
    <w:name w:val="ControlFlowTok"/>
    <w:basedOn w:val="40"/>
    <w:qFormat/>
    <w:uiPriority w:val="0"/>
    <w:rPr>
      <w:rFonts w:ascii="Consolas" w:hAnsi="Consolas" w:eastAsia="宋体"/>
      <w:b/>
      <w:color w:val="007020"/>
      <w:sz w:val="22"/>
      <w:szCs w:val="24"/>
      <w:lang w:eastAsia="en-US"/>
    </w:rPr>
  </w:style>
  <w:style w:type="character" w:customStyle="1" w:styleId="66">
    <w:name w:val="OperatorTok"/>
    <w:basedOn w:val="40"/>
    <w:qFormat/>
    <w:uiPriority w:val="0"/>
    <w:rPr>
      <w:rFonts w:ascii="Consolas" w:hAnsi="Consolas" w:eastAsia="宋体"/>
      <w:color w:val="666666"/>
      <w:sz w:val="22"/>
      <w:szCs w:val="24"/>
      <w:lang w:eastAsia="en-US"/>
    </w:rPr>
  </w:style>
  <w:style w:type="character" w:customStyle="1" w:styleId="67">
    <w:name w:val="BuiltInTok"/>
    <w:basedOn w:val="40"/>
    <w:qFormat/>
    <w:uiPriority w:val="0"/>
    <w:rPr>
      <w:rFonts w:ascii="Consolas" w:hAnsi="Consolas" w:eastAsia="宋体"/>
      <w:sz w:val="22"/>
      <w:szCs w:val="24"/>
      <w:lang w:eastAsia="en-US"/>
    </w:rPr>
  </w:style>
  <w:style w:type="character" w:customStyle="1" w:styleId="68">
    <w:name w:val="ExtensionTok"/>
    <w:basedOn w:val="40"/>
    <w:qFormat/>
    <w:uiPriority w:val="0"/>
    <w:rPr>
      <w:rFonts w:ascii="Consolas" w:hAnsi="Consolas" w:eastAsia="宋体"/>
      <w:sz w:val="22"/>
      <w:szCs w:val="24"/>
      <w:lang w:eastAsia="en-US"/>
    </w:rPr>
  </w:style>
  <w:style w:type="character" w:customStyle="1" w:styleId="69">
    <w:name w:val="PreprocessorTok"/>
    <w:basedOn w:val="40"/>
    <w:qFormat/>
    <w:uiPriority w:val="0"/>
    <w:rPr>
      <w:rFonts w:ascii="Consolas" w:hAnsi="Consolas" w:eastAsia="宋体"/>
      <w:color w:val="BC7A00"/>
      <w:sz w:val="22"/>
      <w:szCs w:val="24"/>
      <w:lang w:eastAsia="en-US"/>
    </w:rPr>
  </w:style>
  <w:style w:type="character" w:customStyle="1" w:styleId="70">
    <w:name w:val="AttributeTok"/>
    <w:basedOn w:val="40"/>
    <w:qFormat/>
    <w:uiPriority w:val="0"/>
    <w:rPr>
      <w:rFonts w:ascii="Consolas" w:hAnsi="Consolas" w:eastAsia="宋体"/>
      <w:color w:val="7D9029"/>
      <w:sz w:val="22"/>
      <w:szCs w:val="24"/>
      <w:lang w:eastAsia="en-US"/>
    </w:rPr>
  </w:style>
  <w:style w:type="character" w:customStyle="1" w:styleId="71">
    <w:name w:val="RegionMarkerTok"/>
    <w:basedOn w:val="40"/>
    <w:qFormat/>
    <w:uiPriority w:val="0"/>
    <w:rPr>
      <w:rFonts w:ascii="Consolas" w:hAnsi="Consolas" w:eastAsia="宋体"/>
      <w:sz w:val="22"/>
      <w:szCs w:val="24"/>
      <w:lang w:eastAsia="en-US"/>
    </w:rPr>
  </w:style>
  <w:style w:type="character" w:customStyle="1" w:styleId="72">
    <w:name w:val="InformationTok"/>
    <w:basedOn w:val="40"/>
    <w:qFormat/>
    <w:uiPriority w:val="0"/>
    <w:rPr>
      <w:rFonts w:ascii="Consolas" w:hAnsi="Consolas" w:eastAsia="宋体"/>
      <w:b/>
      <w:i/>
      <w:color w:val="60A0B0"/>
      <w:sz w:val="22"/>
      <w:szCs w:val="24"/>
      <w:lang w:eastAsia="en-US"/>
    </w:rPr>
  </w:style>
  <w:style w:type="character" w:customStyle="1" w:styleId="73">
    <w:name w:val="WarningTok"/>
    <w:basedOn w:val="40"/>
    <w:qFormat/>
    <w:uiPriority w:val="0"/>
    <w:rPr>
      <w:rFonts w:ascii="Consolas" w:hAnsi="Consolas" w:eastAsia="宋体"/>
      <w:b/>
      <w:i/>
      <w:color w:val="60A0B0"/>
      <w:sz w:val="22"/>
      <w:szCs w:val="24"/>
      <w:lang w:eastAsia="en-US"/>
    </w:rPr>
  </w:style>
  <w:style w:type="character" w:customStyle="1" w:styleId="74">
    <w:name w:val="AlertTok"/>
    <w:basedOn w:val="40"/>
    <w:qFormat/>
    <w:uiPriority w:val="0"/>
    <w:rPr>
      <w:rFonts w:ascii="Consolas" w:hAnsi="Consolas" w:eastAsia="宋体"/>
      <w:b/>
      <w:color w:val="FF0000"/>
      <w:sz w:val="22"/>
      <w:szCs w:val="24"/>
      <w:lang w:eastAsia="en-US"/>
    </w:rPr>
  </w:style>
  <w:style w:type="character" w:customStyle="1" w:styleId="75">
    <w:name w:val="ErrorTok"/>
    <w:basedOn w:val="40"/>
    <w:uiPriority w:val="0"/>
    <w:rPr>
      <w:rFonts w:ascii="Consolas" w:hAnsi="Consolas" w:eastAsia="宋体"/>
      <w:b/>
      <w:color w:val="FF0000"/>
      <w:sz w:val="22"/>
      <w:szCs w:val="24"/>
      <w:lang w:eastAsia="en-US"/>
    </w:rPr>
  </w:style>
  <w:style w:type="character" w:customStyle="1" w:styleId="76">
    <w:name w:val="NormalTok"/>
    <w:basedOn w:val="40"/>
    <w:qFormat/>
    <w:uiPriority w:val="0"/>
    <w:rPr>
      <w:rFonts w:ascii="Consolas" w:hAnsi="Consolas" w:eastAsia="宋体"/>
      <w:sz w:val="22"/>
      <w:szCs w:val="24"/>
      <w:lang w:eastAsia="en-US"/>
    </w:rPr>
  </w:style>
  <w:style w:type="character" w:styleId="77">
    <w:name w:val="Placeholder Text"/>
    <w:basedOn w:val="23"/>
    <w:unhideWhenUsed/>
    <w:uiPriority w:val="99"/>
    <w:rPr>
      <w:color w:val="666666"/>
    </w:rPr>
  </w:style>
  <w:style w:type="paragraph" w:styleId="78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79">
    <w:name w:val="MTDisplayEquation"/>
    <w:basedOn w:val="1"/>
    <w:next w:val="1"/>
    <w:link w:val="80"/>
    <w:qFormat/>
    <w:uiPriority w:val="0"/>
    <w:pPr>
      <w:widowControl w:val="0"/>
      <w:tabs>
        <w:tab w:val="center" w:pos="4160"/>
        <w:tab w:val="right" w:pos="8300"/>
      </w:tabs>
      <w:spacing w:after="0"/>
      <w:jc w:val="both"/>
      <w:textAlignment w:val="center"/>
    </w:pPr>
    <w:rPr>
      <w:rFonts w:ascii="宋体" w:hAnsi="宋体" w:eastAsia="宋体"/>
      <w:kern w:val="2"/>
      <w:lang w:eastAsia="zh-CN"/>
    </w:rPr>
  </w:style>
  <w:style w:type="character" w:customStyle="1" w:styleId="80">
    <w:name w:val="MTDisplayEquation 字符"/>
    <w:basedOn w:val="23"/>
    <w:link w:val="79"/>
    <w:qFormat/>
    <w:uiPriority w:val="0"/>
    <w:rPr>
      <w:rFonts w:ascii="宋体" w:hAnsi="宋体" w:eastAsia="宋体"/>
      <w:kern w:val="2"/>
      <w:sz w:val="24"/>
      <w:szCs w:val="24"/>
    </w:rPr>
  </w:style>
  <w:style w:type="character" w:customStyle="1" w:styleId="81">
    <w:name w:val="Unresolved Mention"/>
    <w:basedOn w:val="2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09CDC-23B1-4E44-A758-084FD36EE3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1685</Words>
  <Characters>2013</Characters>
  <Lines>316</Lines>
  <Paragraphs>260</Paragraphs>
  <TotalTime>1285</TotalTime>
  <ScaleCrop>false</ScaleCrop>
  <LinksUpToDate>false</LinksUpToDate>
  <CharactersWithSpaces>2160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2026-05-19T08:03:00Z</dcterms:created>
  <dc:creator>婷妤 杨</dc:creator>
  <cp:lastModifiedBy>Leo</cp:lastModifiedBy>
  <dcterms:modified xsi:type="dcterms:W3CDTF">2026-05-20T06:39:59Z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eyJoZGlkIjoiZmU0NjhkM2E4ZGM0MDI1YzI0Mzk3YTc2YzY4MmYyOTAiLCJ1c2VySWQiOiI1ODI3MTI1NjQifQ==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C02E71698CAF419FA4E76592A1474E8C_12</vt:lpwstr>
  </property>
</Properties>
</file>