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Formative Grader — User Guide</w:t>
      </w:r>
    </w:p>
    <w:p>
      <w:pPr>
        <w:spacing w:after="300"/>
      </w:pPr>
      <w:r>
        <w:rPr>
          <w:b w:val="false"/>
          <w:bCs w:val="false"/>
          <w:i/>
          <w:iCs/>
        </w:rPr>
        <w:t xml:space="preserve">For anyone with Editor access to the Sheet who will be adding students, rubrics, or reviewing results. No coding knowledge needed for anything in this guide.</w:t>
      </w:r>
    </w:p>
    <w:p>
      <w:pPr>
        <w:pStyle w:val="Heading1"/>
        <w:spacing w:after="150" w:before="400"/>
      </w:pPr>
      <w:r>
        <w:t xml:space="preserve">1. What this does, in one paragraph</w:t>
      </w:r>
    </w:p>
    <w:p>
      <w:pPr>
        <w:spacing w:after="120"/>
      </w:pPr>
      <w:r>
        <w:rPr>
          <w:b w:val="false"/>
          <w:bCs w:val="false"/>
          <w:i w:val="false"/>
          <w:iCs w:val="false"/>
        </w:rPr>
        <w:t xml:space="preserve">Students submit their writing through a Google Form. The moment they do, a script looks up who they are, pulls the rubric for whatever is being scored, and sends the writing to Claude (Anthropic’s AI) to be graded against it. The score and written feedback land automatically in a shared spreadsheet within a few seconds. Nothing goes to students automatically — when a teacher is ready, one menu click emails every student their feedback for that week at once.</w:t>
      </w:r>
    </w:p>
    <w:p>
      <w:pPr>
        <w:pStyle w:val="Heading1"/>
        <w:spacing w:after="150" w:before="400"/>
      </w:pPr>
      <w:r>
        <w:t xml:space="preserve">2. How one submission moves through the system</w:t>
      </w:r>
    </w:p>
    <w:p>
      <w:pPr>
        <w:pStyle w:val="ListParagraph"/>
        <w:numPr>
          <w:ilvl w:val="0"/>
          <w:numId w:val="2"/>
        </w:numPr>
        <w:spacing w:after="80"/>
      </w:pPr>
      <w:r>
        <w:t xml:space="preserve">A student opens the Form and fills in their Student ID, the week, which trait(s) are being scored, and their written response.</w:t>
      </w:r>
    </w:p>
    <w:p>
      <w:pPr>
        <w:pStyle w:val="ListParagraph"/>
        <w:numPr>
          <w:ilvl w:val="0"/>
          <w:numId w:val="2"/>
        </w:numPr>
        <w:spacing w:after="80"/>
      </w:pPr>
      <w:r>
        <w:t xml:space="preserve">The instant they submit, the script looks up that ID in the Roster tab to find their teacher, then looks up the rubric for the selected trait(s) in the Rubric Criteria tab.</w:t>
      </w:r>
    </w:p>
    <w:p>
      <w:pPr>
        <w:pStyle w:val="ListParagraph"/>
        <w:numPr>
          <w:ilvl w:val="0"/>
          <w:numId w:val="2"/>
        </w:numPr>
        <w:spacing w:after="80"/>
      </w:pPr>
      <w:r>
        <w:t xml:space="preserve">It sends the student’s writing plus that rubric to Claude and asks for a score, a rationale, and a short note on what the student did well and what to work on.</w:t>
      </w:r>
    </w:p>
    <w:p>
      <w:pPr>
        <w:pStyle w:val="ListParagraph"/>
        <w:numPr>
          <w:ilvl w:val="0"/>
          <w:numId w:val="2"/>
        </w:numPr>
        <w:spacing w:after="80"/>
      </w:pPr>
      <w:r>
        <w:t xml:space="preserve">A new row appears in the Results tab — usually within a few seconds. If anything goes wrong at any step (an unrecognized ID, a missing rubric, a hiccup calling the AI), it’s logged to the Errors tab instead of failing silently.</w:t>
      </w:r>
    </w:p>
    <w:p>
      <w:pPr>
        <w:pStyle w:val="ListParagraph"/>
        <w:numPr>
          <w:ilvl w:val="0"/>
          <w:numId w:val="2"/>
        </w:numPr>
        <w:spacing w:after="80"/>
      </w:pPr>
      <w:r>
        <w:t xml:space="preserve">Nothing is emailed yet. When a teacher is ready — after skimming the Results tab — they run “Send Pending Student Emails” from the menu, and every student with un-sent feedback gets one email.</w:t>
      </w:r>
    </w:p>
    <w:p>
      <w:pPr>
        <w:pStyle w:val="Heading1"/>
        <w:spacing w:after="150" w:before="400"/>
      </w:pPr>
      <w:r>
        <w:t xml:space="preserve">3. The five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460"/>
      </w:tblGrid>
      <w:tr>
        <w:trPr>
          <w:tblHeader/>
        </w:trPr>
        <w:tc>
          <w:tcPr>
            <w:tcW w:type="dxa" w:w="1900"/>
            <w:shd w:fill="E8E8E8" w:val="clear"/>
            <w:tcMar>
              <w:top w:type="dxa" w:w="100"/>
              <w:left w:type="dxa" w:w="120"/>
              <w:bottom w:type="dxa" w:w="100"/>
              <w:right w:type="dxa" w:w="120"/>
            </w:tcMar>
          </w:tcPr>
          <w:p>
            <w:r>
              <w:rPr>
                <w:b/>
                <w:bCs/>
              </w:rPr>
              <w:t xml:space="preserve">Tab</w:t>
            </w:r>
          </w:p>
        </w:tc>
        <w:tc>
          <w:tcPr>
            <w:tcW w:type="dxa" w:w="2000"/>
            <w:shd w:fill="E8E8E8" w:val="clear"/>
            <w:tcMar>
              <w:top w:type="dxa" w:w="100"/>
              <w:left w:type="dxa" w:w="120"/>
              <w:bottom w:type="dxa" w:w="100"/>
              <w:right w:type="dxa" w:w="120"/>
            </w:tcMar>
          </w:tcPr>
          <w:p>
            <w:r>
              <w:rPr>
                <w:b/>
                <w:bCs/>
              </w:rPr>
              <w:t xml:space="preserve">Who edits it</w:t>
            </w:r>
          </w:p>
        </w:tc>
        <w:tc>
          <w:tcPr>
            <w:tcW w:type="dxa" w:w="5460"/>
            <w:shd w:fill="E8E8E8" w:val="clear"/>
            <w:tcMar>
              <w:top w:type="dxa" w:w="100"/>
              <w:left w:type="dxa" w:w="120"/>
              <w:bottom w:type="dxa" w:w="100"/>
              <w:right w:type="dxa" w:w="120"/>
            </w:tcMar>
          </w:tcPr>
          <w:p>
            <w:r>
              <w:rPr>
                <w:b/>
                <w:bCs/>
              </w:rPr>
              <w:t xml:space="preserve">What it’s for</w:t>
            </w:r>
          </w:p>
        </w:tc>
      </w:tr>
      <w:tr>
        <w:tc>
          <w:tcPr>
            <w:tcW w:type="dxa" w:w="1900"/>
            <w:tcMar>
              <w:top w:type="dxa" w:w="100"/>
              <w:left w:type="dxa" w:w="120"/>
              <w:bottom w:type="dxa" w:w="100"/>
              <w:right w:type="dxa" w:w="120"/>
            </w:tcMar>
          </w:tcPr>
          <w:p>
            <w:r>
              <w:rPr>
                <w:b w:val="false"/>
                <w:bCs w:val="false"/>
              </w:rPr>
              <w:t xml:space="preserve">Roster</w:t>
            </w:r>
          </w:p>
        </w:tc>
        <w:tc>
          <w:tcPr>
            <w:tcW w:type="dxa" w:w="2000"/>
            <w:tcMar>
              <w:top w:type="dxa" w:w="100"/>
              <w:left w:type="dxa" w:w="120"/>
              <w:bottom w:type="dxa" w:w="100"/>
              <w:right w:type="dxa" w:w="120"/>
            </w:tcMar>
          </w:tcPr>
          <w:p>
            <w:r>
              <w:rPr>
                <w:b w:val="false"/>
                <w:bCs w:val="false"/>
              </w:rPr>
              <w:t xml:space="preserve">You (and anyone specifically added — see below)</w:t>
            </w:r>
          </w:p>
        </w:tc>
        <w:tc>
          <w:tcPr>
            <w:tcW w:type="dxa" w:w="5460"/>
            <w:tcMar>
              <w:top w:type="dxa" w:w="100"/>
              <w:left w:type="dxa" w:w="120"/>
              <w:bottom w:type="dxa" w:w="100"/>
              <w:right w:type="dxa" w:w="120"/>
            </w:tcMar>
          </w:tcPr>
          <w:p>
            <w:r>
              <w:rPr>
                <w:b w:val="false"/>
                <w:bCs w:val="false"/>
              </w:rPr>
              <w:t xml:space="preserve">One row per student: ID, name, email, teacher, and grading mode. The only tab where a student’s number and real name sit next to each other.</w:t>
            </w:r>
          </w:p>
        </w:tc>
      </w:tr>
      <w:tr>
        <w:tc>
          <w:tcPr>
            <w:tcW w:type="dxa" w:w="1900"/>
            <w:tcMar>
              <w:top w:type="dxa" w:w="100"/>
              <w:left w:type="dxa" w:w="120"/>
              <w:bottom w:type="dxa" w:w="100"/>
              <w:right w:type="dxa" w:w="120"/>
            </w:tcMar>
          </w:tcPr>
          <w:p>
            <w:r>
              <w:rPr>
                <w:b w:val="false"/>
                <w:bCs w:val="false"/>
              </w:rPr>
              <w:t xml:space="preserve">Rubric Criteria</w:t>
            </w:r>
          </w:p>
        </w:tc>
        <w:tc>
          <w:tcPr>
            <w:tcW w:type="dxa" w:w="2000"/>
            <w:tcMar>
              <w:top w:type="dxa" w:w="100"/>
              <w:left w:type="dxa" w:w="120"/>
              <w:bottom w:type="dxa" w:w="100"/>
              <w:right w:type="dxa" w:w="120"/>
            </w:tcMar>
          </w:tcPr>
          <w:p>
            <w:r>
              <w:rPr>
                <w:b w:val="false"/>
                <w:bCs w:val="false"/>
              </w:rPr>
              <w:t xml:space="preserve">Anyone with Editor access</w:t>
            </w:r>
          </w:p>
        </w:tc>
        <w:tc>
          <w:tcPr>
            <w:tcW w:type="dxa" w:w="5460"/>
            <w:tcMar>
              <w:top w:type="dxa" w:w="100"/>
              <w:left w:type="dxa" w:w="120"/>
              <w:bottom w:type="dxa" w:w="100"/>
              <w:right w:type="dxa" w:w="120"/>
            </w:tcMar>
          </w:tcPr>
          <w:p>
            <w:r>
              <w:rPr>
                <w:b w:val="false"/>
                <w:bCs w:val="false"/>
              </w:rPr>
              <w:t xml:space="preserve">One row per trait: its name, where the rubric lives, and the top score. This is what Claude reads to grade.</w:t>
            </w:r>
          </w:p>
        </w:tc>
      </w:tr>
      <w:tr>
        <w:tc>
          <w:tcPr>
            <w:tcW w:type="dxa" w:w="1900"/>
            <w:tcMar>
              <w:top w:type="dxa" w:w="100"/>
              <w:left w:type="dxa" w:w="120"/>
              <w:bottom w:type="dxa" w:w="100"/>
              <w:right w:type="dxa" w:w="120"/>
            </w:tcMar>
          </w:tcPr>
          <w:p>
            <w:r>
              <w:rPr>
                <w:b w:val="false"/>
                <w:bCs w:val="false"/>
              </w:rPr>
              <w:t xml:space="preserve">Passages</w:t>
            </w:r>
          </w:p>
        </w:tc>
        <w:tc>
          <w:tcPr>
            <w:tcW w:type="dxa" w:w="2000"/>
            <w:tcMar>
              <w:top w:type="dxa" w:w="100"/>
              <w:left w:type="dxa" w:w="120"/>
              <w:bottom w:type="dxa" w:w="100"/>
              <w:right w:type="dxa" w:w="120"/>
            </w:tcMar>
          </w:tcPr>
          <w:p>
            <w:r>
              <w:rPr>
                <w:b w:val="false"/>
                <w:bCs w:val="false"/>
              </w:rPr>
              <w:t xml:space="preserve">Anyone with Editor access</w:t>
            </w:r>
          </w:p>
        </w:tc>
        <w:tc>
          <w:tcPr>
            <w:tcW w:type="dxa" w:w="5460"/>
            <w:tcMar>
              <w:top w:type="dxa" w:w="100"/>
              <w:left w:type="dxa" w:w="120"/>
              <w:bottom w:type="dxa" w:w="100"/>
              <w:right w:type="dxa" w:w="120"/>
            </w:tcMar>
          </w:tcPr>
          <w:p>
            <w:r>
              <w:rPr>
                <w:b w:val="false"/>
                <w:bCs w:val="false"/>
              </w:rPr>
              <w:t xml:space="preserve">One row per week that analyzes a specific text (tone, rhetorical devices, etc.) — the passage itself, so Claude can check the analysis against it. Most weeks won’t need a row here.</w:t>
            </w:r>
          </w:p>
        </w:tc>
      </w:tr>
      <w:tr>
        <w:tc>
          <w:tcPr>
            <w:tcW w:type="dxa" w:w="1900"/>
            <w:tcMar>
              <w:top w:type="dxa" w:w="100"/>
              <w:left w:type="dxa" w:w="120"/>
              <w:bottom w:type="dxa" w:w="100"/>
              <w:right w:type="dxa" w:w="120"/>
            </w:tcMar>
          </w:tcPr>
          <w:p>
            <w:r>
              <w:rPr>
                <w:b w:val="false"/>
                <w:bCs w:val="false"/>
              </w:rPr>
              <w:t xml:space="preserve">Results</w:t>
            </w:r>
          </w:p>
        </w:tc>
        <w:tc>
          <w:tcPr>
            <w:tcW w:type="dxa" w:w="2000"/>
            <w:tcMar>
              <w:top w:type="dxa" w:w="100"/>
              <w:left w:type="dxa" w:w="120"/>
              <w:bottom w:type="dxa" w:w="100"/>
              <w:right w:type="dxa" w:w="120"/>
            </w:tcMar>
          </w:tcPr>
          <w:p>
            <w:r>
              <w:rPr>
                <w:b w:val="false"/>
                <w:bCs w:val="false"/>
              </w:rPr>
              <w:t xml:space="preserve">The script (automatic)</w:t>
            </w:r>
          </w:p>
        </w:tc>
        <w:tc>
          <w:tcPr>
            <w:tcW w:type="dxa" w:w="5460"/>
            <w:tcMar>
              <w:top w:type="dxa" w:w="100"/>
              <w:left w:type="dxa" w:w="120"/>
              <w:bottom w:type="dxa" w:w="100"/>
              <w:right w:type="dxa" w:w="120"/>
            </w:tcMar>
          </w:tcPr>
          <w:p>
            <w:r>
              <w:rPr>
                <w:b w:val="false"/>
                <w:bCs w:val="false"/>
              </w:rPr>
              <w:t xml:space="preserve">Every score, written by the script the moment a student submits. One exception below.</w:t>
            </w:r>
          </w:p>
        </w:tc>
      </w:tr>
      <w:tr>
        <w:tc>
          <w:tcPr>
            <w:tcW w:type="dxa" w:w="1900"/>
            <w:tcMar>
              <w:top w:type="dxa" w:w="100"/>
              <w:left w:type="dxa" w:w="120"/>
              <w:bottom w:type="dxa" w:w="100"/>
              <w:right w:type="dxa" w:w="120"/>
            </w:tcMar>
          </w:tcPr>
          <w:p>
            <w:r>
              <w:rPr>
                <w:b w:val="false"/>
                <w:bCs w:val="false"/>
              </w:rPr>
              <w:t xml:space="preserve">Errors</w:t>
            </w:r>
          </w:p>
        </w:tc>
        <w:tc>
          <w:tcPr>
            <w:tcW w:type="dxa" w:w="2000"/>
            <w:tcMar>
              <w:top w:type="dxa" w:w="100"/>
              <w:left w:type="dxa" w:w="120"/>
              <w:bottom w:type="dxa" w:w="100"/>
              <w:right w:type="dxa" w:w="120"/>
            </w:tcMar>
          </w:tcPr>
          <w:p>
            <w:r>
              <w:rPr>
                <w:b w:val="false"/>
                <w:bCs w:val="false"/>
              </w:rPr>
              <w:t xml:space="preserve">The script (automatic)</w:t>
            </w:r>
          </w:p>
        </w:tc>
        <w:tc>
          <w:tcPr>
            <w:tcW w:type="dxa" w:w="5460"/>
            <w:tcMar>
              <w:top w:type="dxa" w:w="100"/>
              <w:left w:type="dxa" w:w="120"/>
              <w:bottom w:type="dxa" w:w="100"/>
              <w:right w:type="dxa" w:w="120"/>
            </w:tcMar>
          </w:tcPr>
          <w:p>
            <w:r>
              <w:rPr>
                <w:b w:val="false"/>
                <w:bCs w:val="false"/>
              </w:rPr>
              <w:t xml:space="preserve">A running log of anything that went wrong, with enough detail to fix it.</w:t>
            </w:r>
          </w:p>
        </w:tc>
      </w:tr>
    </w:tbl>
    <w:p>
      <w:pPr>
        <w:shd w:fill="FFF2CC" w:val="clear"/>
        <w:spacing w:after="200" w:before="100"/>
      </w:pPr>
      <w:r>
        <w:rPr>
          <w:i/>
          <w:iCs/>
        </w:rPr>
        <w:t xml:space="preserve">Note: Don’t type into the Results tab except the one column meant for it: TeacherHandScore, used both during PLC norming (to compare a teacher’s own score against the AI’s) and as the actual grade for Hand-graded students (Section 7). The Gap column next to it calculates the difference automatically — you don’t need to touch it. Editing a score by hand elsewhere in that row does not re-run anything; it just overwrites what the AI reported.</w:t>
      </w:r>
    </w:p>
    <w:p>
      <w:pPr>
        <w:pStyle w:val="Heading1"/>
        <w:spacing w:after="150" w:before="400"/>
      </w:pPr>
      <w:r>
        <w:t xml:space="preserve">4. How to add a student</w:t>
      </w:r>
    </w:p>
    <w:p>
      <w:pPr>
        <w:pStyle w:val="ListParagraph"/>
        <w:numPr>
          <w:ilvl w:val="0"/>
          <w:numId w:val="2"/>
        </w:numPr>
        <w:spacing w:after="80"/>
      </w:pPr>
      <w:r>
        <w:t xml:space="preserve">Open the Roster tab.</w:t>
      </w:r>
    </w:p>
    <w:p>
      <w:pPr>
        <w:pStyle w:val="ListParagraph"/>
        <w:numPr>
          <w:ilvl w:val="0"/>
          <w:numId w:val="2"/>
        </w:numPr>
        <w:spacing w:after="80"/>
      </w:pPr>
      <w:r>
        <w:t xml:space="preserve">Add a new row: Student ID, Name, Email, Teacher, and GradingMode.</w:t>
      </w:r>
    </w:p>
    <w:p>
      <w:pPr>
        <w:pStyle w:val="ListParagraph"/>
        <w:numPr>
          <w:ilvl w:val="0"/>
          <w:numId w:val="2"/>
        </w:numPr>
        <w:spacing w:after="80"/>
      </w:pPr>
      <w:r>
        <w:t xml:space="preserve">Leave GradingMode blank for normal AI scoring. Only set it to “Hand” for a teacher whose students should never be sent to Claude at all — see Section 7 before using this.</w:t>
      </w:r>
    </w:p>
    <w:p>
      <w:pPr>
        <w:pStyle w:val="ListParagraph"/>
        <w:numPr>
          <w:ilvl w:val="0"/>
          <w:numId w:val="2"/>
        </w:numPr>
        <w:spacing w:after="80"/>
      </w:pPr>
      <w:r>
        <w:t xml:space="preserve">That’s it — nothing else needs to be told about a new student. But the student needs their assigned ID before they submit anything; the Form has no way to look up or assign one for them.</w:t>
      </w:r>
    </w:p>
    <w:p>
      <w:pPr>
        <w:shd w:fill="FFF2CC" w:val="clear"/>
        <w:spacing w:after="200" w:before="100"/>
      </w:pPr>
      <w:r>
        <w:rPr>
          <w:i/>
          <w:iCs/>
        </w:rPr>
        <w:t xml:space="preserve">Note: If you try to type into Roster and it won’t let you, that’s expected for anyone who hasn’t specifically been added as an editor of that one tab — see Section 9.</w:t>
      </w:r>
    </w:p>
    <w:p>
      <w:pPr>
        <w:pStyle w:val="Heading1"/>
        <w:spacing w:after="150" w:before="400"/>
      </w:pPr>
      <w:r>
        <w:t xml:space="preserve">5. How to add or update a rubric</w:t>
      </w:r>
    </w:p>
    <w:p>
      <w:pPr>
        <w:pStyle w:val="ListParagraph"/>
        <w:numPr>
          <w:ilvl w:val="0"/>
          <w:numId w:val="2"/>
        </w:numPr>
        <w:spacing w:after="80"/>
      </w:pPr>
      <w:r>
        <w:t xml:space="preserve">Open the Rubric Criteria tab.</w:t>
      </w:r>
    </w:p>
    <w:p>
      <w:pPr>
        <w:pStyle w:val="ListParagraph"/>
        <w:numPr>
          <w:ilvl w:val="0"/>
          <w:numId w:val="2"/>
        </w:numPr>
        <w:spacing w:after="80"/>
      </w:pPr>
      <w:r>
        <w:t xml:space="preserve">Add a new row (or edit an existing one): the Trait name exactly as it should appear on the Form, the rubric itself under RubricSource, and the top score under MaxScore.</w:t>
      </w:r>
    </w:p>
    <w:p>
      <w:pPr>
        <w:pStyle w:val="ListParagraph"/>
        <w:numPr>
          <w:ilvl w:val="0"/>
          <w:numId w:val="2"/>
        </w:numPr>
        <w:spacing w:after="80"/>
      </w:pPr>
      <w:r>
        <w:t xml:space="preserve">RubricSource can be the whole rubric pasted directly into that cell, or a link to a Google Doc — whatever you’d already use for hand-scoring. No special formatting, tags, or reformatting needed; the script just reads whatever text is there or in the linked Doc.</w:t>
      </w:r>
    </w:p>
    <w:p>
      <w:pPr>
        <w:pStyle w:val="ListParagraph"/>
        <w:numPr>
          <w:ilvl w:val="0"/>
          <w:numId w:val="2"/>
        </w:numPr>
        <w:spacing w:after="80"/>
      </w:pPr>
      <w:r>
        <w:t xml:space="preserve">Adding a brand-new trait (not just updating an existing one’s wording)? After adding its row here, go to the Formative Grader menu and run “Sync Trait Choices to Form” — it automatically rewrites the Form’s checkbox list to match this tab. You never need to edit the Form by hand for this.</w:t>
      </w:r>
    </w:p>
    <w:p>
      <w:pPr>
        <w:shd w:fill="FFF2CC" w:val="clear"/>
        <w:spacing w:after="200" w:before="100"/>
      </w:pPr>
      <w:r>
        <w:rPr>
          <w:i/>
          <w:iCs/>
        </w:rPr>
        <w:t xml:space="preserve">Note: To change an existing trait’s rubric — revising it for a new year, for instance — just edit that same row’s RubricSource. You don’t need a new row, and you don’t need to sync the Form (the trait’s name isn’t changing, just what’s behind it). Past scores already on the Results tab won’t change; only submissions from that point on use the new version.</w:t>
      </w:r>
    </w:p>
    <w:p>
      <w:pPr>
        <w:pStyle w:val="Heading1"/>
        <w:spacing w:after="150" w:before="400"/>
      </w:pPr>
      <w:r>
        <w:t xml:space="preserve">6. Passage-based formatives</w:t>
      </w:r>
    </w:p>
    <w:p>
      <w:pPr>
        <w:spacing w:after="120"/>
      </w:pPr>
      <w:r>
        <w:rPr>
          <w:b w:val="false"/>
          <w:bCs w:val="false"/>
          <w:i w:val="false"/>
          <w:iCs w:val="false"/>
        </w:rPr>
        <w:t xml:space="preserve">Some formatives ask students to analyze a specific passage — identifying tone, rhetorical devices, and so on — rather than just make their own argument. For these, the rubric alone isn’t enough: Claude also needs the actual passage, or it can only judge whether the analysis sounds plausible, not whether it’s actually true of the text.</w:t>
      </w:r>
    </w:p>
    <w:p>
      <w:pPr>
        <w:pStyle w:val="ListParagraph"/>
        <w:numPr>
          <w:ilvl w:val="0"/>
          <w:numId w:val="2"/>
        </w:numPr>
        <w:spacing w:after="80"/>
      </w:pPr>
      <w:r>
        <w:t xml:space="preserve">Open the Passages tab.</w:t>
      </w:r>
    </w:p>
    <w:p>
      <w:pPr>
        <w:pStyle w:val="ListParagraph"/>
        <w:numPr>
          <w:ilvl w:val="0"/>
          <w:numId w:val="2"/>
        </w:numPr>
        <w:spacing w:after="80"/>
      </w:pPr>
      <w:r>
        <w:t xml:space="preserve">Add a row: the current Cycle, the Week number, and the passage itself under SourceText — pasted text or a linked Google Doc, same as a rubric.</w:t>
      </w:r>
    </w:p>
    <w:p>
      <w:pPr>
        <w:pStyle w:val="ListParagraph"/>
        <w:numPr>
          <w:ilvl w:val="0"/>
          <w:numId w:val="2"/>
        </w:numPr>
        <w:spacing w:after="80"/>
      </w:pPr>
      <w:r>
        <w:t xml:space="preserve">That’s it. The same passage is used for every teacher and every trait scored that week — you set it once per week, not once per class.</w:t>
      </w:r>
    </w:p>
    <w:p>
      <w:pPr>
        <w:shd w:fill="FFF2CC" w:val="clear"/>
        <w:spacing w:after="200" w:before="100"/>
      </w:pPr>
      <w:r>
        <w:rPr>
          <w:i/>
          <w:iCs/>
        </w:rPr>
        <w:t xml:space="preserve">Note: Most weeks don’t need a row here at all — CER writing checks like Claim Clarity are scored purely from the student’s own writing, with nothing to look up. Only add a row for a week that specifically analyzes a text.</w:t>
      </w:r>
    </w:p>
    <w:p>
      <w:pPr>
        <w:pStyle w:val="Heading1"/>
        <w:spacing w:after="150" w:before="400"/>
      </w:pPr>
      <w:r>
        <w:t xml:space="preserve">7. Hand-grading opt-out</w:t>
      </w:r>
    </w:p>
    <w:p>
      <w:pPr>
        <w:spacing w:after="120"/>
      </w:pPr>
      <w:r>
        <w:rPr>
          <w:b w:val="false"/>
          <w:bCs w:val="false"/>
          <w:i w:val="false"/>
          <w:iCs w:val="false"/>
        </w:rPr>
        <w:t xml:space="preserve">Some teachers may not want their students’ writing sent to an AI at all, as a matter of principle — not just objecting to being scored by it. Setting a student’s GradingMode to “Hand” on the Roster tab guarantees that: the check happens before the script does anything else with that submission, so it is never sent anywhere near Claude.</w:t>
      </w:r>
    </w:p>
    <w:p>
      <w:pPr>
        <w:spacing w:after="120"/>
      </w:pPr>
      <w:r>
        <w:rPr>
          <w:b w:val="false"/>
          <w:bCs w:val="false"/>
          <w:i w:val="false"/>
          <w:iCs w:val="false"/>
        </w:rPr>
        <w:t xml:space="preserve">Their submissions still come in through the same Form and still land in the same Results tab, one row per trait, so the whole department stays comparable in one place — but every AI-generated field is left blank except a short note explaining why. You fill in TeacherHandScore by hand once you’ve graded the paper yourself; that’s the row’s real grade.</w:t>
      </w:r>
    </w:p>
    <w:p>
      <w:pPr>
        <w:shd w:fill="FFF2CC" w:val="clear"/>
        <w:spacing w:after="200" w:before="100"/>
      </w:pPr>
      <w:r>
        <w:rPr>
          <w:i/>
          <w:iCs/>
        </w:rPr>
        <w:t xml:space="preserve">Note: Two things this deliberately skips for Hand-graded rows: no automated feedback email goes out (there’s no AI-written note to send — you’re expected to give your own feedback directly), and the Gap column stays blank for these rows, since there’s no AI score to compare against.</w:t>
      </w:r>
    </w:p>
    <w:p>
      <w:pPr>
        <w:pStyle w:val="Heading1"/>
        <w:spacing w:after="150" w:before="400"/>
      </w:pPr>
      <w:r>
        <w:t xml:space="preserve">8. Starting a new grading cycle</w:t>
      </w:r>
    </w:p>
    <w:p>
      <w:pPr>
        <w:spacing w:after="120"/>
      </w:pPr>
      <w:r>
        <w:rPr>
          <w:b w:val="false"/>
          <w:bCs w:val="false"/>
          <w:i w:val="false"/>
          <w:iCs w:val="false"/>
        </w:rPr>
        <w:t xml:space="preserve">“Cycle” just means which semester or run this is — it keeps a future “Week 2” from being confused with this year’s “Week 2” in the Results tab.</w:t>
      </w:r>
    </w:p>
    <w:p>
      <w:pPr>
        <w:pStyle w:val="ListParagraph"/>
        <w:numPr>
          <w:ilvl w:val="0"/>
          <w:numId w:val="2"/>
        </w:numPr>
        <w:spacing w:after="80"/>
      </w:pPr>
      <w:r>
        <w:t xml:space="preserve">From the Formative Grader menu, choose “Set Current Cycle...”</w:t>
      </w:r>
    </w:p>
    <w:p>
      <w:pPr>
        <w:pStyle w:val="ListParagraph"/>
        <w:numPr>
          <w:ilvl w:val="0"/>
          <w:numId w:val="2"/>
        </w:numPr>
        <w:spacing w:after="80"/>
      </w:pPr>
      <w:r>
        <w:t xml:space="preserve">Type a label — “Fall 2026”, for example.</w:t>
      </w:r>
    </w:p>
    <w:p>
      <w:pPr>
        <w:pStyle w:val="ListParagraph"/>
        <w:numPr>
          <w:ilvl w:val="0"/>
          <w:numId w:val="2"/>
        </w:numPr>
        <w:spacing w:after="80"/>
      </w:pPr>
      <w:r>
        <w:t xml:space="preserve">Every submission from that point on is stamped with this label automatically, until it’s changed again. Do this once at the start of each new semester or year, not for every individual formative.</w:t>
      </w:r>
    </w:p>
    <w:p>
      <w:pPr>
        <w:pStyle w:val="Heading1"/>
        <w:spacing w:after="150" w:before="400"/>
      </w:pPr>
      <w:r>
        <w:t xml:space="preserve">9. Giving someone Editor access — what it actually includes</w:t>
      </w:r>
    </w:p>
    <w:p>
      <w:pPr>
        <w:shd w:fill="F8D7DA" w:val="clear"/>
        <w:spacing w:after="200" w:before="100"/>
      </w:pPr>
      <w:r>
        <w:rPr>
          <w:b/>
          <w:bCs/>
        </w:rPr>
        <w:t xml:space="preserve">Before you share access: Sharing the Sheet as “Editor” grants more than just the spreadsheet tabs. Two things worth knowing before you send an invite:</w:t>
      </w:r>
    </w:p>
    <w:p>
      <w:pPr>
        <w:pStyle w:val="ListParagraph"/>
        <w:numPr>
          <w:ilvl w:val="0"/>
          <w:numId w:val="3"/>
        </w:numPr>
        <w:spacing w:after="80"/>
      </w:pPr>
      <w:r>
        <w:t xml:space="preserve">The Roster tab is intentionally locked to just the original account that set this up, since it’s the only place a student’s real name and ID number are linked. If you want a specific colleague to be able to edit Roster too, that’s a separate step from sharing the Sheet: open Data → Protected sheets and ranges, click the Roster protection, and add their email as an approved editor there. Regular “Editor” access on the Sheet alone will not be enough for that one tab — by design.</w:t>
      </w:r>
    </w:p>
    <w:p>
      <w:pPr>
        <w:pStyle w:val="ListParagraph"/>
        <w:numPr>
          <w:ilvl w:val="0"/>
          <w:numId w:val="3"/>
        </w:numPr>
        <w:spacing w:after="80"/>
      </w:pPr>
      <w:r>
        <w:t xml:space="preserve">Editor access to the Sheet generally also gives access to the Apps Script project behind it (Extensions → Apps Script), including the page where the Claude API key is stored. That key isn’t written anywhere in the visible sheet, but someone with Editor access could find it there if they went looking, the same way anyone with a filing cabinet key can open every drawer. Worth factoring in when deciding who gets access, even for a small, trusted department.</w:t>
      </w:r>
    </w:p>
    <w:p>
      <w:pPr>
        <w:pStyle w:val="Heading1"/>
        <w:spacing w:after="150" w:before="400"/>
      </w:pPr>
      <w:r>
        <w:t xml:space="preserve">10. If something looks wrong</w:t>
      </w:r>
    </w:p>
    <w:p>
      <w:pPr>
        <w:spacing w:after="120"/>
      </w:pPr>
      <w:r>
        <w:rPr>
          <w:b w:val="false"/>
          <w:bCs w:val="false"/>
          <w:i w:val="false"/>
          <w:iCs w:val="false"/>
        </w:rPr>
        <w:t xml:space="preserve">Check the Errors tab first — every failure gets logged there with what happened and enough detail to fix it (a typo’d Student ID, a trait name that doesn’t match a Rubric Criteria row, a temporary API hiccup). A missing Results row almost always has a matching line in Errors explaining why.</w:t>
      </w:r>
    </w:p>
    <w:p>
      <w:pPr>
        <w:spacing w:after="0"/>
      </w:pPr>
      <w:r>
        <w:rPr>
          <w:b w:val="false"/>
          <w:bCs w:val="false"/>
          <w:i w:val="false"/>
          <w:iCs w:val="false"/>
        </w:rPr>
        <w:t xml:space="preserve">For the full technical breakdown — how the script itself is organized, every file’s role — see the README in the apps-script folder of the project. This guide covers everything you need for day-to-day use without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2026-09-17T14:22:00.098Z</dcterms:created>
  <dcterms:modified xsi:type="dcterms:W3CDTF">2026-09-17T14:22:00.110Z</dcterms:modified>
</cp:coreProperties>
</file>

<file path=docProps/custom.xml><?xml version="1.0" encoding="utf-8"?>
<Properties xmlns="http://schemas.openxmlformats.org/officeDocument/2006/custom-properties" xmlns:vt="http://schemas.openxmlformats.org/officeDocument/2006/docPropsVTypes"/>
</file>