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DF2" w:rsidRPr="009E0B88" w:rsidRDefault="001C213A">
      <w:pPr>
        <w:pStyle w:val="Heading1"/>
        <w:jc w:val="both"/>
        <w:rPr>
          <w:sz w:val="32"/>
        </w:rPr>
      </w:pPr>
      <w:r>
        <w:rPr>
          <w:b/>
          <w:sz w:val="32"/>
        </w:rPr>
        <w:t xml:space="preserve">Appendix </w:t>
      </w:r>
      <w:bookmarkStart w:id="0" w:name="_GoBack"/>
      <w:bookmarkEnd w:id="0"/>
      <w:r w:rsidR="002F2AAF" w:rsidRPr="009E0B88">
        <w:rPr>
          <w:b/>
          <w:sz w:val="32"/>
        </w:rPr>
        <w:t>2.</w:t>
      </w:r>
      <w:r w:rsidR="002F2AAF" w:rsidRPr="009E0B88">
        <w:rPr>
          <w:sz w:val="32"/>
        </w:rPr>
        <w:t xml:space="preserve"> Full subsets function outputs.</w:t>
      </w:r>
    </w:p>
    <w:tbl>
      <w:tblPr>
        <w:tblStyle w:val="1"/>
        <w:tblW w:w="10522"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00"/>
        <w:gridCol w:w="7702"/>
      </w:tblGrid>
      <w:tr w:rsidR="00100DF2" w:rsidTr="009E0B88">
        <w:trPr>
          <w:trHeight w:val="360"/>
        </w:trPr>
        <w:tc>
          <w:tcPr>
            <w:tcW w:w="222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Output</w:t>
            </w:r>
          </w:p>
        </w:tc>
        <w:tc>
          <w:tcPr>
            <w:tcW w:w="8302" w:type="dxa"/>
            <w:gridSpan w:val="2"/>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Details</w:t>
            </w:r>
          </w:p>
        </w:tc>
      </w:tr>
      <w:tr w:rsidR="00100DF2" w:rsidTr="009E0B88">
        <w:trPr>
          <w:trHeight w:val="420"/>
        </w:trPr>
        <w:tc>
          <w:tcPr>
            <w:tcW w:w="222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mod.data.out</w:t>
            </w:r>
            <w:proofErr w:type="spellEnd"/>
          </w:p>
        </w:tc>
        <w:tc>
          <w:tcPr>
            <w:tcW w:w="8302" w:type="dxa"/>
            <w:gridSpan w:val="2"/>
            <w:shd w:val="clear" w:color="auto" w:fill="auto"/>
            <w:tcMar>
              <w:top w:w="100" w:type="dxa"/>
              <w:left w:w="100" w:type="dxa"/>
              <w:bottom w:w="100" w:type="dxa"/>
              <w:right w:w="100" w:type="dxa"/>
            </w:tcMar>
          </w:tcPr>
          <w:p w:rsidR="00100DF2" w:rsidRDefault="002F2AAF">
            <w:pPr>
              <w:jc w:val="both"/>
              <w:rPr>
                <w:sz w:val="18"/>
                <w:szCs w:val="18"/>
              </w:rPr>
            </w:pPr>
            <w:r>
              <w:rPr>
                <w:sz w:val="18"/>
                <w:szCs w:val="18"/>
              </w:rPr>
              <w:t xml:space="preserve">A </w:t>
            </w:r>
            <w:proofErr w:type="spellStart"/>
            <w:r>
              <w:rPr>
                <w:sz w:val="18"/>
                <w:szCs w:val="18"/>
              </w:rPr>
              <w:t>data.frame</w:t>
            </w:r>
            <w:proofErr w:type="spellEnd"/>
            <w:r>
              <w:rPr>
                <w:sz w:val="18"/>
                <w:szCs w:val="18"/>
              </w:rPr>
              <w:t xml:space="preserve"> that contains the statistics associated with each model fit. This includes </w:t>
            </w:r>
            <w:proofErr w:type="spellStart"/>
            <w:r>
              <w:rPr>
                <w:sz w:val="18"/>
                <w:szCs w:val="18"/>
              </w:rPr>
              <w:t>AICc</w:t>
            </w:r>
            <w:proofErr w:type="spellEnd"/>
            <w:r>
              <w:rPr>
                <w:sz w:val="18"/>
                <w:szCs w:val="18"/>
              </w:rPr>
              <w:t xml:space="preserve"> and BIC, delta values (e.g. </w:t>
            </w:r>
            <w:proofErr w:type="spellStart"/>
            <w:r>
              <w:rPr>
                <w:sz w:val="18"/>
                <w:szCs w:val="18"/>
              </w:rPr>
              <w:t>AICc</w:t>
            </w:r>
            <w:proofErr w:type="spellEnd"/>
            <w:r>
              <w:rPr>
                <w:sz w:val="18"/>
                <w:szCs w:val="18"/>
              </w:rPr>
              <w:t>-(min(</w:t>
            </w:r>
            <w:proofErr w:type="spellStart"/>
            <w:r>
              <w:rPr>
                <w:sz w:val="18"/>
                <w:szCs w:val="18"/>
              </w:rPr>
              <w:t>AICc</w:t>
            </w:r>
            <w:proofErr w:type="spellEnd"/>
            <w:r>
              <w:rPr>
                <w:sz w:val="18"/>
                <w:szCs w:val="18"/>
              </w:rPr>
              <w:t>)), corresponding weight (</w:t>
            </w:r>
            <w:proofErr w:type="spellStart"/>
            <w:r>
              <w:rPr>
                <w:sz w:val="18"/>
                <w:szCs w:val="18"/>
              </w:rPr>
              <w:t>ωi</w:t>
            </w:r>
            <w:proofErr w:type="spellEnd"/>
            <w:r>
              <w:rPr>
                <w:sz w:val="18"/>
                <w:szCs w:val="18"/>
              </w:rPr>
              <w:t xml:space="preserve">) values </w:t>
            </w:r>
            <w:hyperlink r:id="rId4">
              <w:r>
                <w:rPr>
                  <w:sz w:val="18"/>
                  <w:szCs w:val="18"/>
                </w:rPr>
                <w:t>(Burnham and Anderson 2003)</w:t>
              </w:r>
            </w:hyperlink>
            <w:r>
              <w:rPr>
                <w:sz w:val="18"/>
                <w:szCs w:val="18"/>
              </w:rPr>
              <w:t>, an estimate of the model R</w:t>
            </w:r>
            <w:r>
              <w:rPr>
                <w:sz w:val="18"/>
                <w:szCs w:val="18"/>
                <w:vertAlign w:val="superscript"/>
              </w:rPr>
              <w:t>2</w:t>
            </w:r>
            <w:r>
              <w:rPr>
                <w:sz w:val="18"/>
                <w:szCs w:val="18"/>
              </w:rPr>
              <w:t xml:space="preserve">, and a column for each of the included predictor variables containing either 0 (variable not included in the model) or 1 (variable is present in the model). </w:t>
            </w:r>
          </w:p>
          <w:p w:rsidR="00100DF2" w:rsidRPr="00781EA7" w:rsidRDefault="00100DF2">
            <w:pPr>
              <w:jc w:val="both"/>
              <w:rPr>
                <w:sz w:val="6"/>
                <w:szCs w:val="18"/>
              </w:rPr>
            </w:pPr>
          </w:p>
          <w:p w:rsidR="00100DF2" w:rsidRDefault="002F2AAF">
            <w:pPr>
              <w:jc w:val="both"/>
              <w:rPr>
                <w:sz w:val="18"/>
                <w:szCs w:val="18"/>
              </w:rPr>
            </w:pPr>
            <w:r>
              <w:rPr>
                <w:sz w:val="18"/>
                <w:szCs w:val="18"/>
              </w:rPr>
              <w:t xml:space="preserve">Use of BIC in information theoretic approaches has been heavily </w:t>
            </w:r>
            <w:proofErr w:type="spellStart"/>
            <w:r>
              <w:rPr>
                <w:sz w:val="18"/>
                <w:szCs w:val="18"/>
              </w:rPr>
              <w:t>criticised</w:t>
            </w:r>
            <w:proofErr w:type="spellEnd"/>
            <w:r>
              <w:rPr>
                <w:sz w:val="18"/>
                <w:szCs w:val="18"/>
              </w:rPr>
              <w:t xml:space="preserve"> because of the inherent assumption of BIC that there is a “true” model that is represented in the candidate set (Anderson &amp; Burnham 2002). Rather than decide a-priori which model selection tool users should adopt, we supply both as part of the function outputs. </w:t>
            </w:r>
          </w:p>
          <w:p w:rsidR="00100DF2" w:rsidRPr="00781EA7" w:rsidRDefault="00100DF2">
            <w:pPr>
              <w:jc w:val="both"/>
              <w:rPr>
                <w:sz w:val="6"/>
                <w:szCs w:val="18"/>
              </w:rPr>
            </w:pPr>
          </w:p>
          <w:p w:rsidR="00100DF2" w:rsidRDefault="002F2AAF">
            <w:pPr>
              <w:jc w:val="both"/>
              <w:rPr>
                <w:sz w:val="18"/>
                <w:szCs w:val="18"/>
              </w:rPr>
            </w:pPr>
            <w:r>
              <w:rPr>
                <w:sz w:val="18"/>
                <w:szCs w:val="18"/>
              </w:rPr>
              <w:t xml:space="preserve">To simplify output, only </w:t>
            </w:r>
            <w:proofErr w:type="spellStart"/>
            <w:r>
              <w:rPr>
                <w:sz w:val="18"/>
                <w:szCs w:val="18"/>
              </w:rPr>
              <w:t>AICc</w:t>
            </w:r>
            <w:proofErr w:type="spellEnd"/>
            <w:r>
              <w:rPr>
                <w:sz w:val="18"/>
                <w:szCs w:val="18"/>
              </w:rPr>
              <w:t xml:space="preserve"> and </w:t>
            </w:r>
            <w:proofErr w:type="spellStart"/>
            <w:r>
              <w:rPr>
                <w:sz w:val="18"/>
                <w:szCs w:val="18"/>
              </w:rPr>
              <w:t>AICc</w:t>
            </w:r>
            <w:proofErr w:type="spellEnd"/>
            <w:r>
              <w:rPr>
                <w:sz w:val="18"/>
                <w:szCs w:val="18"/>
              </w:rPr>
              <w:t xml:space="preserve"> based model weights, rather than AIC, are included as these are asymptotically equivalent at large sample sizes, and for small sample sizes </w:t>
            </w:r>
            <w:proofErr w:type="spellStart"/>
            <w:r>
              <w:rPr>
                <w:sz w:val="18"/>
                <w:szCs w:val="18"/>
              </w:rPr>
              <w:t>AICc</w:t>
            </w:r>
            <w:proofErr w:type="spellEnd"/>
            <w:r>
              <w:rPr>
                <w:sz w:val="18"/>
                <w:szCs w:val="18"/>
              </w:rPr>
              <w:t xml:space="preserve"> should be used in any case. </w:t>
            </w:r>
          </w:p>
          <w:p w:rsidR="00100DF2" w:rsidRPr="00781EA7" w:rsidRDefault="00100DF2">
            <w:pPr>
              <w:jc w:val="both"/>
              <w:rPr>
                <w:sz w:val="6"/>
                <w:szCs w:val="18"/>
              </w:rPr>
            </w:pPr>
          </w:p>
          <w:p w:rsidR="00100DF2" w:rsidRDefault="002F2AAF">
            <w:pPr>
              <w:jc w:val="both"/>
              <w:rPr>
                <w:sz w:val="18"/>
                <w:szCs w:val="18"/>
              </w:rPr>
            </w:pPr>
            <w:r>
              <w:rPr>
                <w:sz w:val="18"/>
                <w:szCs w:val="18"/>
              </w:rPr>
              <w:t>Calculating R</w:t>
            </w:r>
            <w:r>
              <w:rPr>
                <w:sz w:val="18"/>
                <w:szCs w:val="18"/>
                <w:vertAlign w:val="superscript"/>
              </w:rPr>
              <w:t>2</w:t>
            </w:r>
            <w:r>
              <w:rPr>
                <w:sz w:val="18"/>
                <w:szCs w:val="18"/>
              </w:rPr>
              <w:t xml:space="preserve"> values is non-trivial for mixed models, especially non-</w:t>
            </w:r>
            <w:proofErr w:type="spellStart"/>
            <w:r>
              <w:rPr>
                <w:sz w:val="18"/>
                <w:szCs w:val="18"/>
              </w:rPr>
              <w:t>gaussian</w:t>
            </w:r>
            <w:proofErr w:type="spellEnd"/>
            <w:r>
              <w:rPr>
                <w:sz w:val="18"/>
                <w:szCs w:val="18"/>
              </w:rPr>
              <w:t xml:space="preserve"> cases (and some argue should not be done at all). We have supplied a range of methods for estimating R</w:t>
            </w:r>
            <w:r>
              <w:rPr>
                <w:sz w:val="18"/>
                <w:szCs w:val="18"/>
                <w:vertAlign w:val="superscript"/>
              </w:rPr>
              <w:t>2</w:t>
            </w:r>
            <w:r>
              <w:rPr>
                <w:sz w:val="18"/>
                <w:szCs w:val="18"/>
              </w:rPr>
              <w:t xml:space="preserve"> (r2.type, </w:t>
            </w:r>
            <w:r w:rsidR="001C213A">
              <w:rPr>
                <w:sz w:val="18"/>
                <w:szCs w:val="18"/>
              </w:rPr>
              <w:t xml:space="preserve">Appendix </w:t>
            </w:r>
            <w:r>
              <w:rPr>
                <w:sz w:val="18"/>
                <w:szCs w:val="18"/>
              </w:rPr>
              <w:t>1), as in our experience a single method rarely performs adequately across all scenarios.</w:t>
            </w:r>
          </w:p>
        </w:tc>
      </w:tr>
      <w:tr w:rsidR="00100DF2" w:rsidTr="009E0B88">
        <w:trPr>
          <w:trHeight w:val="420"/>
        </w:trPr>
        <w:tc>
          <w:tcPr>
            <w:tcW w:w="222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used.data</w:t>
            </w:r>
            <w:proofErr w:type="spellEnd"/>
          </w:p>
        </w:tc>
        <w:tc>
          <w:tcPr>
            <w:tcW w:w="8302" w:type="dxa"/>
            <w:gridSpan w:val="2"/>
            <w:shd w:val="clear" w:color="auto" w:fill="auto"/>
            <w:tcMar>
              <w:top w:w="100" w:type="dxa"/>
              <w:left w:w="100" w:type="dxa"/>
              <w:bottom w:w="100" w:type="dxa"/>
              <w:right w:w="100" w:type="dxa"/>
            </w:tcMar>
          </w:tcPr>
          <w:p w:rsidR="00100DF2" w:rsidRDefault="002F2AAF">
            <w:pPr>
              <w:jc w:val="both"/>
              <w:rPr>
                <w:sz w:val="18"/>
                <w:szCs w:val="18"/>
              </w:rPr>
            </w:pPr>
            <w:r>
              <w:rPr>
                <w:sz w:val="18"/>
                <w:szCs w:val="18"/>
              </w:rPr>
              <w:t xml:space="preserve">A </w:t>
            </w:r>
            <w:proofErr w:type="spellStart"/>
            <w:r>
              <w:rPr>
                <w:sz w:val="18"/>
                <w:szCs w:val="18"/>
              </w:rPr>
              <w:t>data.frame</w:t>
            </w:r>
            <w:proofErr w:type="spellEnd"/>
            <w:r>
              <w:rPr>
                <w:sz w:val="18"/>
                <w:szCs w:val="18"/>
              </w:rPr>
              <w:t xml:space="preserve"> which is identical to the </w:t>
            </w:r>
            <w:proofErr w:type="spellStart"/>
            <w:r>
              <w:rPr>
                <w:sz w:val="18"/>
                <w:szCs w:val="18"/>
              </w:rPr>
              <w:t>data.frame</w:t>
            </w:r>
            <w:proofErr w:type="spellEnd"/>
            <w:r>
              <w:rPr>
                <w:sz w:val="18"/>
                <w:szCs w:val="18"/>
              </w:rPr>
              <w:t xml:space="preserve"> initially supplied by the user, but with any hard coded interaction terms appended via </w:t>
            </w:r>
            <w:proofErr w:type="spellStart"/>
            <w:r>
              <w:rPr>
                <w:sz w:val="18"/>
                <w:szCs w:val="18"/>
              </w:rPr>
              <w:t>cbind</w:t>
            </w:r>
            <w:proofErr w:type="spellEnd"/>
            <w:r>
              <w:rPr>
                <w:sz w:val="18"/>
                <w:szCs w:val="18"/>
              </w:rPr>
              <w:t>.</w:t>
            </w:r>
          </w:p>
        </w:tc>
      </w:tr>
      <w:tr w:rsidR="00100DF2" w:rsidTr="009E0B88">
        <w:trPr>
          <w:trHeight w:val="420"/>
        </w:trPr>
        <w:tc>
          <w:tcPr>
            <w:tcW w:w="222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predictor.correlations</w:t>
            </w:r>
            <w:proofErr w:type="spellEnd"/>
          </w:p>
        </w:tc>
        <w:tc>
          <w:tcPr>
            <w:tcW w:w="8302" w:type="dxa"/>
            <w:gridSpan w:val="2"/>
            <w:shd w:val="clear" w:color="auto" w:fill="auto"/>
            <w:tcMar>
              <w:top w:w="100" w:type="dxa"/>
              <w:left w:w="100" w:type="dxa"/>
              <w:bottom w:w="100" w:type="dxa"/>
              <w:right w:w="100" w:type="dxa"/>
            </w:tcMar>
          </w:tcPr>
          <w:p w:rsidR="00100DF2" w:rsidRDefault="002F2AAF">
            <w:pPr>
              <w:jc w:val="both"/>
              <w:rPr>
                <w:sz w:val="18"/>
                <w:szCs w:val="18"/>
              </w:rPr>
            </w:pPr>
            <w:r>
              <w:rPr>
                <w:sz w:val="18"/>
                <w:szCs w:val="18"/>
              </w:rPr>
              <w:t xml:space="preserve">The matrix of estimated predictor correlations returned by the function </w:t>
            </w:r>
            <w:proofErr w:type="spellStart"/>
            <w:r>
              <w:rPr>
                <w:sz w:val="18"/>
                <w:szCs w:val="18"/>
              </w:rPr>
              <w:t>check.correlations</w:t>
            </w:r>
            <w:proofErr w:type="spellEnd"/>
            <w:r>
              <w:rPr>
                <w:sz w:val="18"/>
                <w:szCs w:val="18"/>
              </w:rPr>
              <w:t xml:space="preserve"> and used for model exclusion based on </w:t>
            </w:r>
            <w:proofErr w:type="spellStart"/>
            <w:r>
              <w:rPr>
                <w:sz w:val="18"/>
                <w:szCs w:val="18"/>
              </w:rPr>
              <w:t>cov.cutoff</w:t>
            </w:r>
            <w:proofErr w:type="spellEnd"/>
            <w:r>
              <w:rPr>
                <w:sz w:val="18"/>
                <w:szCs w:val="18"/>
              </w:rPr>
              <w:t xml:space="preserve"> (supplementary </w:t>
            </w:r>
            <w:r w:rsidR="001C213A">
              <w:rPr>
                <w:sz w:val="18"/>
                <w:szCs w:val="18"/>
              </w:rPr>
              <w:t xml:space="preserve">Appendix </w:t>
            </w:r>
            <w:r>
              <w:rPr>
                <w:sz w:val="18"/>
                <w:szCs w:val="18"/>
              </w:rPr>
              <w:t>1).</w:t>
            </w:r>
          </w:p>
        </w:tc>
      </w:tr>
      <w:tr w:rsidR="00100DF2" w:rsidTr="009E0B88">
        <w:trPr>
          <w:trHeight w:val="420"/>
        </w:trPr>
        <w:tc>
          <w:tcPr>
            <w:tcW w:w="222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failed.models</w:t>
            </w:r>
            <w:proofErr w:type="spellEnd"/>
          </w:p>
        </w:tc>
        <w:tc>
          <w:tcPr>
            <w:tcW w:w="8302" w:type="dxa"/>
            <w:gridSpan w:val="2"/>
            <w:shd w:val="clear" w:color="auto" w:fill="auto"/>
            <w:tcMar>
              <w:top w:w="100" w:type="dxa"/>
              <w:left w:w="100" w:type="dxa"/>
              <w:bottom w:w="100" w:type="dxa"/>
              <w:right w:w="100" w:type="dxa"/>
            </w:tcMar>
          </w:tcPr>
          <w:p w:rsidR="00100DF2" w:rsidRDefault="002F2AAF">
            <w:pPr>
              <w:jc w:val="both"/>
              <w:rPr>
                <w:sz w:val="18"/>
                <w:szCs w:val="18"/>
              </w:rPr>
            </w:pPr>
            <w:r>
              <w:rPr>
                <w:sz w:val="18"/>
                <w:szCs w:val="18"/>
              </w:rPr>
              <w:t xml:space="preserve">A list containing the try-error catch associated with models that failed to fit. Ideally the list of failed models should be empty, but when this is not the case interrogating </w:t>
            </w:r>
            <w:proofErr w:type="spellStart"/>
            <w:r>
              <w:rPr>
                <w:sz w:val="18"/>
                <w:szCs w:val="18"/>
              </w:rPr>
              <w:t>failed.models</w:t>
            </w:r>
            <w:proofErr w:type="spellEnd"/>
            <w:r>
              <w:rPr>
                <w:sz w:val="18"/>
                <w:szCs w:val="18"/>
              </w:rPr>
              <w:t xml:space="preserve"> provides a useful means of troubleshooting. Users can examine which models are not fitting and explore the reasons for this by fitting the failed models outside the </w:t>
            </w:r>
            <w:proofErr w:type="spellStart"/>
            <w:r>
              <w:rPr>
                <w:sz w:val="18"/>
                <w:szCs w:val="18"/>
              </w:rPr>
              <w:t>full.subsets.gam</w:t>
            </w:r>
            <w:proofErr w:type="spellEnd"/>
            <w:r>
              <w:rPr>
                <w:sz w:val="18"/>
                <w:szCs w:val="18"/>
              </w:rPr>
              <w:t xml:space="preserve"> call based on the listed formula. When a large number of models fail to fit properly it usually indicates poor specification of the initial </w:t>
            </w:r>
            <w:proofErr w:type="spellStart"/>
            <w:r>
              <w:rPr>
                <w:sz w:val="18"/>
                <w:szCs w:val="18"/>
              </w:rPr>
              <w:t>test.fit</w:t>
            </w:r>
            <w:proofErr w:type="spellEnd"/>
            <w:r>
              <w:rPr>
                <w:sz w:val="18"/>
                <w:szCs w:val="18"/>
              </w:rPr>
              <w:t xml:space="preserve"> (supplementary </w:t>
            </w:r>
            <w:r w:rsidR="001C213A">
              <w:rPr>
                <w:sz w:val="18"/>
                <w:szCs w:val="18"/>
              </w:rPr>
              <w:t xml:space="preserve">Appendix </w:t>
            </w:r>
            <w:r>
              <w:rPr>
                <w:sz w:val="18"/>
                <w:szCs w:val="18"/>
              </w:rPr>
              <w:t xml:space="preserve">1) or other arguments in the call to </w:t>
            </w:r>
            <w:proofErr w:type="spellStart"/>
            <w:r>
              <w:rPr>
                <w:sz w:val="18"/>
                <w:szCs w:val="18"/>
              </w:rPr>
              <w:t>full.subsets.gam</w:t>
            </w:r>
            <w:proofErr w:type="spellEnd"/>
            <w:r>
              <w:rPr>
                <w:sz w:val="18"/>
                <w:szCs w:val="18"/>
              </w:rPr>
              <w:t xml:space="preserve"> (such as the inclusion of factor interactions when there are few data within each </w:t>
            </w:r>
            <w:r w:rsidR="002547FC">
              <w:rPr>
                <w:sz w:val="18"/>
                <w:szCs w:val="18"/>
              </w:rPr>
              <w:t xml:space="preserve">level of the </w:t>
            </w:r>
            <w:r>
              <w:rPr>
                <w:sz w:val="18"/>
                <w:szCs w:val="18"/>
              </w:rPr>
              <w:t xml:space="preserve">factor), or that inappropriate variables are being included in the model set. </w:t>
            </w:r>
          </w:p>
        </w:tc>
      </w:tr>
      <w:tr w:rsidR="00100DF2" w:rsidTr="009E0B88">
        <w:trPr>
          <w:trHeight w:val="420"/>
        </w:trPr>
        <w:tc>
          <w:tcPr>
            <w:tcW w:w="222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success.models</w:t>
            </w:r>
            <w:proofErr w:type="spellEnd"/>
          </w:p>
        </w:tc>
        <w:tc>
          <w:tcPr>
            <w:tcW w:w="8302" w:type="dxa"/>
            <w:gridSpan w:val="2"/>
            <w:shd w:val="clear" w:color="auto" w:fill="auto"/>
            <w:tcMar>
              <w:top w:w="100" w:type="dxa"/>
              <w:left w:w="100" w:type="dxa"/>
              <w:bottom w:w="100" w:type="dxa"/>
              <w:right w:w="100" w:type="dxa"/>
            </w:tcMar>
          </w:tcPr>
          <w:p w:rsidR="00100DF2" w:rsidRDefault="002F2AAF">
            <w:pPr>
              <w:jc w:val="both"/>
              <w:rPr>
                <w:sz w:val="18"/>
                <w:szCs w:val="18"/>
              </w:rPr>
            </w:pPr>
            <w:r>
              <w:rPr>
                <w:sz w:val="18"/>
                <w:szCs w:val="18"/>
              </w:rPr>
              <w:t xml:space="preserve">A complete list of all successfully fitted models. This can be used for </w:t>
            </w:r>
            <w:proofErr w:type="spellStart"/>
            <w:r>
              <w:rPr>
                <w:sz w:val="18"/>
                <w:szCs w:val="18"/>
              </w:rPr>
              <w:t>multimodel</w:t>
            </w:r>
            <w:proofErr w:type="spellEnd"/>
            <w:r>
              <w:rPr>
                <w:sz w:val="18"/>
                <w:szCs w:val="18"/>
              </w:rPr>
              <w:t xml:space="preserve"> inference and creating model averaged predictions.</w:t>
            </w:r>
          </w:p>
        </w:tc>
      </w:tr>
      <w:tr w:rsidR="00100DF2" w:rsidTr="009E0B88">
        <w:trPr>
          <w:trHeight w:val="420"/>
        </w:trPr>
        <w:tc>
          <w:tcPr>
            <w:tcW w:w="2220" w:type="dxa"/>
            <w:vMerge w:val="restart"/>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variable.importance</w:t>
            </w:r>
            <w:proofErr w:type="spellEnd"/>
          </w:p>
        </w:tc>
        <w:tc>
          <w:tcPr>
            <w:tcW w:w="8302" w:type="dxa"/>
            <w:gridSpan w:val="2"/>
            <w:shd w:val="clear" w:color="auto" w:fill="auto"/>
            <w:tcMar>
              <w:top w:w="100" w:type="dxa"/>
              <w:left w:w="100" w:type="dxa"/>
              <w:bottom w:w="100" w:type="dxa"/>
              <w:right w:w="100" w:type="dxa"/>
            </w:tcMar>
          </w:tcPr>
          <w:p w:rsidR="00100DF2" w:rsidRDefault="002F2AAF">
            <w:pPr>
              <w:jc w:val="both"/>
              <w:rPr>
                <w:sz w:val="18"/>
                <w:szCs w:val="18"/>
              </w:rPr>
            </w:pPr>
            <w:r>
              <w:rPr>
                <w:sz w:val="18"/>
                <w:szCs w:val="18"/>
              </w:rPr>
              <w:t>A list containing importance scores for each included predictor.</w:t>
            </w:r>
          </w:p>
          <w:p w:rsidR="00100DF2" w:rsidRPr="00781EA7" w:rsidRDefault="00100DF2">
            <w:pPr>
              <w:jc w:val="both"/>
              <w:rPr>
                <w:sz w:val="6"/>
                <w:szCs w:val="18"/>
              </w:rPr>
            </w:pPr>
          </w:p>
          <w:p w:rsidR="00100DF2" w:rsidRDefault="002F2AAF" w:rsidP="007D76A9">
            <w:pPr>
              <w:jc w:val="both"/>
              <w:rPr>
                <w:sz w:val="18"/>
                <w:szCs w:val="18"/>
              </w:rPr>
            </w:pPr>
            <w:r>
              <w:rPr>
                <w:sz w:val="18"/>
                <w:szCs w:val="18"/>
              </w:rPr>
              <w:t xml:space="preserve">To determine the relative importance of each predictor across the whole model set we summed the </w:t>
            </w:r>
            <w:proofErr w:type="spellStart"/>
            <w:r>
              <w:rPr>
                <w:sz w:val="18"/>
                <w:szCs w:val="18"/>
              </w:rPr>
              <w:t>ωi</w:t>
            </w:r>
            <w:proofErr w:type="spellEnd"/>
            <w:r>
              <w:rPr>
                <w:sz w:val="18"/>
                <w:szCs w:val="18"/>
              </w:rPr>
              <w:t xml:space="preserve"> values for all models containing each variable. The higher the combined weights for an explanatory parameter, the more important it is in the analysis (Burnham &amp; Anderson, 2002).</w:t>
            </w:r>
            <w:r w:rsidR="007D76A9">
              <w:rPr>
                <w:sz w:val="18"/>
                <w:szCs w:val="18"/>
              </w:rPr>
              <w:t xml:space="preserve"> An assumption of the use of summed model weights to infer variable importance is that the number of models in which the different predictors are present is uniform. As our function removes models with correlated predictors, this is not always the case. To overcome this issue, the summed </w:t>
            </w:r>
            <w:proofErr w:type="spellStart"/>
            <w:r w:rsidR="007D76A9">
              <w:rPr>
                <w:sz w:val="18"/>
                <w:szCs w:val="18"/>
              </w:rPr>
              <w:t>variable.importance</w:t>
            </w:r>
            <w:proofErr w:type="spellEnd"/>
            <w:r w:rsidR="007D76A9">
              <w:rPr>
                <w:sz w:val="18"/>
                <w:szCs w:val="18"/>
              </w:rPr>
              <w:t xml:space="preserve"> scores are the </w:t>
            </w:r>
            <w:r w:rsidR="007D76A9" w:rsidRPr="007D76A9">
              <w:rPr>
                <w:sz w:val="18"/>
                <w:szCs w:val="18"/>
              </w:rPr>
              <w:t>summed weights for the best n models, where n is equal to the minimum number of models any one predictor is present in</w:t>
            </w:r>
            <w:r w:rsidR="007D76A9">
              <w:rPr>
                <w:sz w:val="18"/>
                <w:szCs w:val="18"/>
              </w:rPr>
              <w:t>.</w:t>
            </w:r>
          </w:p>
        </w:tc>
      </w:tr>
      <w:tr w:rsidR="00100DF2" w:rsidTr="009E0B88">
        <w:trPr>
          <w:trHeight w:val="380"/>
        </w:trPr>
        <w:tc>
          <w:tcPr>
            <w:tcW w:w="2220" w:type="dxa"/>
            <w:vMerge/>
            <w:shd w:val="clear" w:color="auto" w:fill="auto"/>
            <w:tcMar>
              <w:top w:w="100" w:type="dxa"/>
              <w:left w:w="100" w:type="dxa"/>
              <w:bottom w:w="100" w:type="dxa"/>
              <w:right w:w="100" w:type="dxa"/>
            </w:tcMar>
          </w:tcPr>
          <w:p w:rsidR="00100DF2" w:rsidRDefault="00100DF2">
            <w:pPr>
              <w:widowControl w:val="0"/>
              <w:spacing w:line="240" w:lineRule="auto"/>
              <w:rPr>
                <w:sz w:val="18"/>
                <w:szCs w:val="18"/>
              </w:rPr>
            </w:pPr>
          </w:p>
        </w:tc>
        <w:tc>
          <w:tcPr>
            <w:tcW w:w="60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aic</w:t>
            </w:r>
            <w:proofErr w:type="spellEnd"/>
          </w:p>
        </w:tc>
        <w:tc>
          <w:tcPr>
            <w:tcW w:w="7702" w:type="dxa"/>
            <w:shd w:val="clear" w:color="auto" w:fill="auto"/>
            <w:tcMar>
              <w:top w:w="100" w:type="dxa"/>
              <w:left w:w="100" w:type="dxa"/>
              <w:bottom w:w="100" w:type="dxa"/>
              <w:right w:w="100" w:type="dxa"/>
            </w:tcMar>
          </w:tcPr>
          <w:p w:rsidR="00100DF2" w:rsidRDefault="002F2AAF">
            <w:pPr>
              <w:jc w:val="both"/>
              <w:rPr>
                <w:sz w:val="18"/>
                <w:szCs w:val="18"/>
              </w:rPr>
            </w:pPr>
            <w:r>
              <w:rPr>
                <w:sz w:val="18"/>
                <w:szCs w:val="18"/>
              </w:rPr>
              <w:t xml:space="preserve">Variable importance values based on summed </w:t>
            </w:r>
            <w:proofErr w:type="spellStart"/>
            <w:r>
              <w:rPr>
                <w:sz w:val="18"/>
                <w:szCs w:val="18"/>
              </w:rPr>
              <w:t>AICc</w:t>
            </w:r>
            <w:proofErr w:type="spellEnd"/>
            <w:r>
              <w:rPr>
                <w:sz w:val="18"/>
                <w:szCs w:val="18"/>
              </w:rPr>
              <w:t xml:space="preserve"> weights</w:t>
            </w:r>
          </w:p>
        </w:tc>
      </w:tr>
      <w:tr w:rsidR="00100DF2" w:rsidTr="009E0B88">
        <w:trPr>
          <w:trHeight w:val="380"/>
        </w:trPr>
        <w:tc>
          <w:tcPr>
            <w:tcW w:w="2220" w:type="dxa"/>
            <w:vMerge/>
            <w:shd w:val="clear" w:color="auto" w:fill="auto"/>
            <w:tcMar>
              <w:top w:w="100" w:type="dxa"/>
              <w:left w:w="100" w:type="dxa"/>
              <w:bottom w:w="100" w:type="dxa"/>
              <w:right w:w="100" w:type="dxa"/>
            </w:tcMar>
          </w:tcPr>
          <w:p w:rsidR="00100DF2" w:rsidRDefault="00100DF2">
            <w:pPr>
              <w:widowControl w:val="0"/>
              <w:spacing w:line="240" w:lineRule="auto"/>
              <w:rPr>
                <w:sz w:val="18"/>
                <w:szCs w:val="18"/>
              </w:rPr>
            </w:pPr>
          </w:p>
        </w:tc>
        <w:tc>
          <w:tcPr>
            <w:tcW w:w="600"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w:t>
            </w:r>
            <w:proofErr w:type="spellStart"/>
            <w:r>
              <w:rPr>
                <w:sz w:val="18"/>
                <w:szCs w:val="18"/>
              </w:rPr>
              <w:t>bic</w:t>
            </w:r>
            <w:proofErr w:type="spellEnd"/>
          </w:p>
        </w:tc>
        <w:tc>
          <w:tcPr>
            <w:tcW w:w="7702" w:type="dxa"/>
            <w:shd w:val="clear" w:color="auto" w:fill="auto"/>
            <w:tcMar>
              <w:top w:w="100" w:type="dxa"/>
              <w:left w:w="100" w:type="dxa"/>
              <w:bottom w:w="100" w:type="dxa"/>
              <w:right w:w="100" w:type="dxa"/>
            </w:tcMar>
          </w:tcPr>
          <w:p w:rsidR="00100DF2" w:rsidRDefault="002F2AAF">
            <w:pPr>
              <w:widowControl w:val="0"/>
              <w:spacing w:line="240" w:lineRule="auto"/>
              <w:rPr>
                <w:sz w:val="18"/>
                <w:szCs w:val="18"/>
              </w:rPr>
            </w:pPr>
            <w:r>
              <w:rPr>
                <w:sz w:val="18"/>
                <w:szCs w:val="18"/>
              </w:rPr>
              <w:t>Variable importance values based on summed BIC weights.</w:t>
            </w:r>
          </w:p>
        </w:tc>
      </w:tr>
    </w:tbl>
    <w:p w:rsidR="00100DF2" w:rsidRDefault="00100DF2"/>
    <w:sectPr w:rsidR="00100DF2" w:rsidSect="009E0B88">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DF2"/>
    <w:rsid w:val="00100DF2"/>
    <w:rsid w:val="001030AE"/>
    <w:rsid w:val="001100CA"/>
    <w:rsid w:val="001C213A"/>
    <w:rsid w:val="002547FC"/>
    <w:rsid w:val="0025530E"/>
    <w:rsid w:val="002F2AAF"/>
    <w:rsid w:val="00781EA7"/>
    <w:rsid w:val="007D76A9"/>
    <w:rsid w:val="00936CA3"/>
    <w:rsid w:val="009E0B88"/>
    <w:rsid w:val="00A05D92"/>
    <w:rsid w:val="00C52A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72B37A-30B3-4786-921C-EA41912A2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 w:eastAsia="en-AU"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7D76A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76A9"/>
    <w:rPr>
      <w:rFonts w:ascii="Segoe UI" w:hAnsi="Segoe UI" w:cs="Segoe UI"/>
      <w:sz w:val="18"/>
      <w:szCs w:val="18"/>
    </w:rPr>
  </w:style>
  <w:style w:type="character" w:styleId="LineNumber">
    <w:name w:val="line number"/>
    <w:basedOn w:val="DefaultParagraphFont"/>
    <w:uiPriority w:val="99"/>
    <w:semiHidden/>
    <w:unhideWhenUsed/>
    <w:rsid w:val="00103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aperpile.com/c/8mZnHu/whq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Fisher</dc:creator>
  <cp:keywords/>
  <dc:description/>
  <cp:lastModifiedBy>Rebecca Fisher</cp:lastModifiedBy>
  <cp:revision>5</cp:revision>
  <dcterms:created xsi:type="dcterms:W3CDTF">2018-03-07T05:22:00Z</dcterms:created>
  <dcterms:modified xsi:type="dcterms:W3CDTF">2018-04-06T02:26:00Z</dcterms:modified>
</cp:coreProperties>
</file>