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AF8" w:rsidRDefault="0084028E">
      <w:pPr>
        <w:spacing w:after="80"/>
        <w:jc w:val="center"/>
        <w:rPr>
          <w:lang w:eastAsia="zh-TW"/>
        </w:rPr>
      </w:pPr>
      <w:r>
        <w:rPr>
          <w:b/>
          <w:color w:val="1E3A8A"/>
          <w:sz w:val="48"/>
          <w:lang w:eastAsia="zh-TW"/>
        </w:rPr>
        <w:t xml:space="preserve">123 </w:t>
      </w:r>
      <w:r>
        <w:rPr>
          <w:b/>
          <w:color w:val="1E3A8A"/>
          <w:sz w:val="48"/>
          <w:lang w:eastAsia="zh-TW"/>
        </w:rPr>
        <w:t>資料夾統計數據深度分析報告</w:t>
      </w:r>
    </w:p>
    <w:p w:rsidR="00206AF8" w:rsidRDefault="0084028E">
      <w:pPr>
        <w:spacing w:after="320"/>
        <w:jc w:val="center"/>
      </w:pPr>
      <w:r>
        <w:rPr>
          <w:color w:val="64748B"/>
          <w:sz w:val="24"/>
        </w:rPr>
        <w:t>涵蓋</w:t>
      </w:r>
      <w:r>
        <w:rPr>
          <w:color w:val="64748B"/>
          <w:sz w:val="24"/>
        </w:rPr>
        <w:t xml:space="preserve"> Kruskal-Wallis </w:t>
      </w:r>
      <w:r>
        <w:rPr>
          <w:color w:val="64748B"/>
          <w:sz w:val="24"/>
        </w:rPr>
        <w:t>檢定、</w:t>
      </w:r>
      <w:r>
        <w:rPr>
          <w:color w:val="64748B"/>
          <w:sz w:val="24"/>
        </w:rPr>
        <w:t xml:space="preserve">Mann-Whitney U </w:t>
      </w:r>
      <w:r>
        <w:rPr>
          <w:color w:val="64748B"/>
          <w:sz w:val="24"/>
        </w:rPr>
        <w:t>檢定、事後成對比較與專業圖表繪製</w:t>
      </w:r>
    </w:p>
    <w:p w:rsidR="00206AF8" w:rsidRDefault="0084028E">
      <w:pPr>
        <w:spacing w:after="320"/>
        <w:jc w:val="center"/>
      </w:pPr>
      <w:r>
        <w:rPr>
          <w:color w:val="94A3B8"/>
          <w:sz w:val="18"/>
        </w:rPr>
        <w:t>分析目錄：</w:t>
      </w:r>
      <w:r>
        <w:rPr>
          <w:color w:val="94A3B8"/>
          <w:sz w:val="18"/>
        </w:rPr>
        <w:t xml:space="preserve">/Users/chenyichieh/Downloads/123   |   </w:t>
      </w:r>
      <w:r>
        <w:rPr>
          <w:color w:val="94A3B8"/>
          <w:sz w:val="18"/>
        </w:rPr>
        <w:t>分析檔案數：</w:t>
      </w:r>
      <w:r>
        <w:rPr>
          <w:color w:val="94A3B8"/>
          <w:sz w:val="18"/>
        </w:rPr>
        <w:t xml:space="preserve">3 </w:t>
      </w:r>
      <w:r>
        <w:rPr>
          <w:color w:val="94A3B8"/>
          <w:sz w:val="18"/>
        </w:rPr>
        <w:t>份</w:t>
      </w:r>
      <w:r>
        <w:rPr>
          <w:color w:val="94A3B8"/>
          <w:sz w:val="18"/>
        </w:rPr>
        <w:t xml:space="preserve"> Excel   |   </w:t>
      </w:r>
      <w:r>
        <w:rPr>
          <w:color w:val="94A3B8"/>
          <w:sz w:val="18"/>
        </w:rPr>
        <w:t>報告日期：</w:t>
      </w:r>
      <w:r>
        <w:rPr>
          <w:color w:val="94A3B8"/>
          <w:sz w:val="18"/>
        </w:rPr>
        <w:t xml:space="preserve">2026 </w:t>
      </w:r>
      <w:r>
        <w:rPr>
          <w:color w:val="94A3B8"/>
          <w:sz w:val="18"/>
        </w:rPr>
        <w:t>年</w:t>
      </w:r>
      <w:r>
        <w:rPr>
          <w:color w:val="94A3B8"/>
          <w:sz w:val="18"/>
        </w:rPr>
        <w:t xml:space="preserve"> 10 </w:t>
      </w:r>
      <w:r>
        <w:rPr>
          <w:color w:val="94A3B8"/>
          <w:sz w:val="18"/>
        </w:rPr>
        <w:t>月</w:t>
      </w:r>
    </w:p>
    <w:p w:rsidR="00206AF8" w:rsidRDefault="0084028E">
      <w:pPr>
        <w:keepNext/>
        <w:spacing w:before="320" w:after="120"/>
        <w:rPr>
          <w:lang w:eastAsia="zh-TW"/>
        </w:rPr>
      </w:pPr>
      <w:r>
        <w:rPr>
          <w:b/>
          <w:color w:val="1E3A8A"/>
          <w:sz w:val="32"/>
          <w:lang w:eastAsia="zh-TW"/>
        </w:rPr>
        <w:t>一、執行摘要與綜合成果總覽</w:t>
      </w:r>
      <w:r>
        <w:rPr>
          <w:b/>
          <w:color w:val="1E3A8A"/>
          <w:sz w:val="32"/>
          <w:lang w:eastAsia="zh-TW"/>
        </w:rPr>
        <w:t xml:space="preserve"> (Executive Summary Dashboard)</w:t>
      </w:r>
    </w:p>
    <w:p w:rsidR="00206AF8" w:rsidRDefault="0084028E">
      <w:pPr>
        <w:spacing w:after="160"/>
        <w:rPr>
          <w:lang w:eastAsia="zh-TW"/>
        </w:rPr>
      </w:pPr>
      <w:r>
        <w:rPr>
          <w:lang w:eastAsia="zh-TW"/>
        </w:rPr>
        <w:t>本專案針對</w:t>
      </w:r>
      <w:r>
        <w:rPr>
          <w:lang w:eastAsia="zh-TW"/>
        </w:rPr>
        <w:t xml:space="preserve"> 123 </w:t>
      </w:r>
      <w:r>
        <w:rPr>
          <w:lang w:eastAsia="zh-TW"/>
        </w:rPr>
        <w:t>資料夾內的三個統計學數據檔案進行全面探索性資料分析</w:t>
      </w:r>
      <w:r>
        <w:rPr>
          <w:lang w:eastAsia="zh-TW"/>
        </w:rPr>
        <w:t xml:space="preserve"> (EDA)</w:t>
      </w:r>
      <w:r>
        <w:rPr>
          <w:lang w:eastAsia="zh-TW"/>
        </w:rPr>
        <w:t>、母數與非母數假設檢定、效應量</w:t>
      </w:r>
      <w:r>
        <w:rPr>
          <w:lang w:eastAsia="zh-TW"/>
        </w:rPr>
        <w:t xml:space="preserve"> (Effect Size) </w:t>
      </w:r>
      <w:r>
        <w:rPr>
          <w:lang w:eastAsia="zh-TW"/>
        </w:rPr>
        <w:t>評估與視覺化圖表生成。下圖為三項研究之中位數與檢定結論之綜合儀表板：</w:t>
      </w:r>
    </w:p>
    <w:p w:rsidR="00206AF8" w:rsidRDefault="0084028E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669280" cy="1903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summary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F8" w:rsidRDefault="0084028E">
      <w:pPr>
        <w:spacing w:after="240"/>
        <w:jc w:val="center"/>
      </w:pPr>
      <w:r>
        <w:rPr>
          <w:i/>
          <w:color w:val="64748B"/>
          <w:sz w:val="17"/>
        </w:rPr>
        <w:t>圖</w:t>
      </w:r>
      <w:r>
        <w:rPr>
          <w:i/>
          <w:color w:val="64748B"/>
          <w:sz w:val="17"/>
        </w:rPr>
        <w:t xml:space="preserve"> 1</w:t>
      </w:r>
      <w:r>
        <w:rPr>
          <w:i/>
          <w:color w:val="64748B"/>
          <w:sz w:val="17"/>
        </w:rPr>
        <w:t>：三項統計研究綜合對比儀表板</w:t>
      </w:r>
      <w:r>
        <w:rPr>
          <w:i/>
          <w:color w:val="64748B"/>
          <w:sz w:val="17"/>
        </w:rPr>
        <w:t xml:space="preserve"> (Summary Dashboard)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1080"/>
        <w:gridCol w:w="1014"/>
        <w:gridCol w:w="1148"/>
        <w:gridCol w:w="1097"/>
        <w:gridCol w:w="1119"/>
        <w:gridCol w:w="1059"/>
        <w:gridCol w:w="1141"/>
      </w:tblGrid>
      <w:tr w:rsidR="00206AF8">
        <w:trPr>
          <w:jc w:val="center"/>
        </w:trPr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檔案名稱</w:t>
            </w:r>
          </w:p>
        </w:tc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研究主題</w:t>
            </w:r>
          </w:p>
        </w:tc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樣本數</w:t>
            </w:r>
          </w:p>
        </w:tc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推薦檢定方法</w:t>
            </w:r>
          </w:p>
        </w:tc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統計檢定量</w:t>
            </w:r>
          </w:p>
        </w:tc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p-value</w:t>
            </w:r>
          </w:p>
        </w:tc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顯著性</w:t>
            </w:r>
          </w:p>
        </w:tc>
        <w:tc>
          <w:tcPr>
            <w:tcW w:w="117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核心結論</w:t>
            </w:r>
          </w:p>
        </w:tc>
      </w:tr>
      <w:tr w:rsidR="00206AF8">
        <w:trPr>
          <w:jc w:val="center"/>
        </w:trPr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KW_Blood type.xlsx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血型與身高相關性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 = 44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Kruskal-Wallis</w:t>
            </w:r>
            <w:r>
              <w:rPr>
                <w:color w:val="1E293B"/>
                <w:sz w:val="19"/>
              </w:rPr>
              <w:br/>
              <w:t>(ANOVA)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H = 1.507</w:t>
            </w:r>
            <w:r>
              <w:rPr>
                <w:color w:val="1E293B"/>
                <w:sz w:val="19"/>
              </w:rPr>
              <w:br/>
              <w:t xml:space="preserve">(F = </w:t>
            </w:r>
            <w:r>
              <w:rPr>
                <w:color w:val="1E293B"/>
                <w:sz w:val="19"/>
              </w:rPr>
              <w:t>0.460)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0.6806</w:t>
            </w:r>
            <w:r>
              <w:rPr>
                <w:color w:val="1E293B"/>
                <w:sz w:val="19"/>
              </w:rPr>
              <w:br/>
              <w:t>(0.7118)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不顯著</w:t>
            </w:r>
            <w:r>
              <w:rPr>
                <w:color w:val="1E293B"/>
                <w:sz w:val="19"/>
              </w:rPr>
              <w:t xml:space="preserve"> (ns)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pPr>
              <w:rPr>
                <w:lang w:eastAsia="zh-TW"/>
              </w:rPr>
            </w:pPr>
            <w:r>
              <w:rPr>
                <w:color w:val="1E293B"/>
                <w:sz w:val="19"/>
                <w:lang w:eastAsia="zh-TW"/>
              </w:rPr>
              <w:t>血型與身高無顯著關聯，符合現代遺傳學常理。</w:t>
            </w:r>
          </w:p>
        </w:tc>
      </w:tr>
      <w:tr w:rsidR="00206AF8">
        <w:trPr>
          <w:jc w:val="center"/>
        </w:trPr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KW_Pro_salary.xlsx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四大職業運動年薪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 = 40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Kruskal-Wallis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lastRenderedPageBreak/>
              <w:t>(Dunn's post-hoc)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lastRenderedPageBreak/>
              <w:t>H = 27.611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4.38 × 10⁻⁶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極顯著</w:t>
            </w:r>
            <w:r>
              <w:rPr>
                <w:color w:val="1E293B"/>
                <w:sz w:val="19"/>
              </w:rPr>
              <w:t xml:space="preserve"> (***)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pPr>
              <w:rPr>
                <w:lang w:eastAsia="zh-TW"/>
              </w:rPr>
            </w:pPr>
            <w:r>
              <w:rPr>
                <w:color w:val="1E293B"/>
                <w:sz w:val="19"/>
                <w:lang w:eastAsia="zh-TW"/>
              </w:rPr>
              <w:t xml:space="preserve">WNBA </w:t>
            </w:r>
            <w:r>
              <w:rPr>
                <w:color w:val="1E293B"/>
                <w:sz w:val="19"/>
                <w:lang w:eastAsia="zh-TW"/>
              </w:rPr>
              <w:t>與男子三大聯盟存在</w:t>
            </w:r>
            <w:r>
              <w:rPr>
                <w:color w:val="1E293B"/>
                <w:sz w:val="19"/>
                <w:lang w:eastAsia="zh-TW"/>
              </w:rPr>
              <w:t xml:space="preserve"> </w:t>
            </w:r>
            <w:r>
              <w:rPr>
                <w:color w:val="1E293B"/>
                <w:sz w:val="19"/>
                <w:lang w:eastAsia="zh-TW"/>
              </w:rPr>
              <w:lastRenderedPageBreak/>
              <w:t xml:space="preserve">234 </w:t>
            </w:r>
            <w:r>
              <w:rPr>
                <w:color w:val="1E293B"/>
                <w:sz w:val="19"/>
                <w:lang w:eastAsia="zh-TW"/>
              </w:rPr>
              <w:t>倍性別薪資落差。</w:t>
            </w:r>
          </w:p>
        </w:tc>
      </w:tr>
      <w:tr w:rsidR="00206AF8">
        <w:trPr>
          <w:jc w:val="center"/>
        </w:trPr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lastRenderedPageBreak/>
              <w:t>Mann whitney.xlsx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乳癌</w:t>
            </w:r>
            <w:r>
              <w:rPr>
                <w:color w:val="1E293B"/>
                <w:sz w:val="19"/>
              </w:rPr>
              <w:t xml:space="preserve"> vs </w:t>
            </w:r>
            <w:r>
              <w:rPr>
                <w:color w:val="1E293B"/>
                <w:sz w:val="19"/>
              </w:rPr>
              <w:t>肺癌</w:t>
            </w:r>
            <w:r>
              <w:rPr>
                <w:color w:val="1E293B"/>
                <w:sz w:val="19"/>
              </w:rPr>
              <w:t xml:space="preserve"> HER2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 = 17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Mann-Whitney U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U = 71.0</w:t>
            </w:r>
            <w:r>
              <w:rPr>
                <w:color w:val="1E293B"/>
                <w:sz w:val="19"/>
              </w:rPr>
              <w:br/>
              <w:t xml:space="preserve">(W = </w:t>
            </w:r>
            <w:r>
              <w:rPr>
                <w:color w:val="1E293B"/>
                <w:sz w:val="19"/>
              </w:rPr>
              <w:t>107.0)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8.88 × 10⁻⁴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極顯著</w:t>
            </w:r>
            <w:r>
              <w:rPr>
                <w:color w:val="1E293B"/>
                <w:sz w:val="19"/>
              </w:rPr>
              <w:t xml:space="preserve"> (***)</w:t>
            </w:r>
          </w:p>
        </w:tc>
        <w:tc>
          <w:tcPr>
            <w:tcW w:w="11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乳癌</w:t>
            </w:r>
            <w:r>
              <w:rPr>
                <w:color w:val="1E293B"/>
                <w:sz w:val="19"/>
              </w:rPr>
              <w:t xml:space="preserve"> HER2 </w:t>
            </w:r>
            <w:r>
              <w:rPr>
                <w:color w:val="1E293B"/>
                <w:sz w:val="19"/>
              </w:rPr>
              <w:t>顯著高於肺腺癌</w:t>
            </w:r>
            <w:r>
              <w:rPr>
                <w:color w:val="1E293B"/>
                <w:sz w:val="19"/>
              </w:rPr>
              <w:t xml:space="preserve"> (Cliff's δ = 0.972)</w:t>
            </w:r>
            <w:r>
              <w:rPr>
                <w:color w:val="1E293B"/>
                <w:sz w:val="19"/>
              </w:rPr>
              <w:t>。</w:t>
            </w:r>
          </w:p>
        </w:tc>
      </w:tr>
    </w:tbl>
    <w:p w:rsidR="00206AF8" w:rsidRDefault="00206AF8"/>
    <w:p w:rsidR="00206AF8" w:rsidRDefault="0084028E">
      <w:pPr>
        <w:keepNext/>
        <w:spacing w:before="320" w:after="120"/>
      </w:pPr>
      <w:r>
        <w:rPr>
          <w:b/>
          <w:color w:val="1E3A8A"/>
          <w:sz w:val="32"/>
        </w:rPr>
        <w:t>二、研究一：</w:t>
      </w:r>
      <w:r>
        <w:rPr>
          <w:b/>
          <w:color w:val="1E3A8A"/>
          <w:sz w:val="32"/>
        </w:rPr>
        <w:t xml:space="preserve">KW_Blood type.xlsx — </w:t>
      </w:r>
      <w:r>
        <w:rPr>
          <w:b/>
          <w:color w:val="1E3A8A"/>
          <w:sz w:val="32"/>
        </w:rPr>
        <w:t>血型與身高關聯性分析</w:t>
      </w:r>
    </w:p>
    <w:p w:rsidR="00206AF8" w:rsidRDefault="0084028E">
      <w:pPr>
        <w:rPr>
          <w:lang w:eastAsia="zh-TW"/>
        </w:rPr>
      </w:pPr>
      <w:r>
        <w:rPr>
          <w:lang w:eastAsia="zh-TW"/>
        </w:rPr>
        <w:t>本檔案探索</w:t>
      </w:r>
      <w:r>
        <w:rPr>
          <w:lang w:eastAsia="zh-TW"/>
        </w:rPr>
        <w:t xml:space="preserve"> ABO </w:t>
      </w:r>
      <w:r>
        <w:rPr>
          <w:lang w:eastAsia="zh-TW"/>
        </w:rPr>
        <w:t>血型分類</w:t>
      </w:r>
      <w:r>
        <w:rPr>
          <w:lang w:eastAsia="zh-TW"/>
        </w:rPr>
        <w:t xml:space="preserve"> (A, B, O, AB) </w:t>
      </w:r>
      <w:r>
        <w:rPr>
          <w:lang w:eastAsia="zh-TW"/>
        </w:rPr>
        <w:t>是否對受試者之成人身高</w:t>
      </w:r>
      <w:r>
        <w:rPr>
          <w:lang w:eastAsia="zh-TW"/>
        </w:rPr>
        <w:t xml:space="preserve"> (Height, cm) </w:t>
      </w:r>
      <w:r>
        <w:rPr>
          <w:lang w:eastAsia="zh-TW"/>
        </w:rPr>
        <w:t>造成統計學上的系統性差異。自變數為</w:t>
      </w:r>
      <w:r>
        <w:rPr>
          <w:lang w:eastAsia="zh-TW"/>
        </w:rPr>
        <w:t xml:space="preserve"> 4 </w:t>
      </w:r>
      <w:r>
        <w:rPr>
          <w:lang w:eastAsia="zh-TW"/>
        </w:rPr>
        <w:t>個血型組別，應變數為連續數值型身高。</w:t>
      </w:r>
    </w:p>
    <w:p w:rsidR="00206AF8" w:rsidRDefault="0084028E">
      <w:pPr>
        <w:keepNext/>
        <w:spacing w:before="240" w:after="80"/>
      </w:pPr>
      <w:r>
        <w:rPr>
          <w:b/>
          <w:color w:val="0E7490"/>
          <w:sz w:val="26"/>
        </w:rPr>
        <w:t xml:space="preserve">1. </w:t>
      </w:r>
      <w:r>
        <w:rPr>
          <w:b/>
          <w:color w:val="0E7490"/>
          <w:sz w:val="26"/>
        </w:rPr>
        <w:t>敘述統計與常態性檢定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06AF8">
        <w:trPr>
          <w:jc w:val="center"/>
        </w:trPr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血型</w:t>
            </w:r>
            <w:r>
              <w:rPr>
                <w:b/>
                <w:color w:val="FFFFFF"/>
                <w:sz w:val="19"/>
              </w:rPr>
              <w:t xml:space="preserve"> (Blood Type)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樣本數</w:t>
            </w:r>
            <w:r>
              <w:rPr>
                <w:b/>
                <w:color w:val="FFFFFF"/>
                <w:sz w:val="19"/>
              </w:rPr>
              <w:t xml:space="preserve"> (n)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平均數</w:t>
            </w:r>
            <w:r>
              <w:rPr>
                <w:b/>
                <w:color w:val="FFFFFF"/>
                <w:sz w:val="19"/>
              </w:rPr>
              <w:t xml:space="preserve"> ± </w:t>
            </w:r>
            <w:r>
              <w:rPr>
                <w:b/>
                <w:color w:val="FFFFFF"/>
                <w:sz w:val="19"/>
              </w:rPr>
              <w:t>標準差</w:t>
            </w:r>
            <w:r>
              <w:rPr>
                <w:b/>
                <w:color w:val="FFFFFF"/>
                <w:sz w:val="19"/>
              </w:rPr>
              <w:t xml:space="preserve"> (cm)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中位數</w:t>
            </w:r>
            <w:r>
              <w:rPr>
                <w:b/>
                <w:color w:val="FFFFFF"/>
                <w:sz w:val="19"/>
              </w:rPr>
              <w:t xml:space="preserve"> (cm)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四分位距</w:t>
            </w:r>
            <w:r>
              <w:rPr>
                <w:b/>
                <w:color w:val="FFFFFF"/>
                <w:sz w:val="19"/>
              </w:rPr>
              <w:t xml:space="preserve"> IQR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範圍</w:t>
            </w:r>
            <w:r>
              <w:rPr>
                <w:b/>
                <w:color w:val="FFFFFF"/>
                <w:sz w:val="19"/>
              </w:rPr>
              <w:t xml:space="preserve"> [Min - Max]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Shapiro-Wilk </w:t>
            </w:r>
            <w:r>
              <w:rPr>
                <w:b/>
                <w:color w:val="FFFFFF"/>
                <w:sz w:val="19"/>
              </w:rPr>
              <w:t>檢定</w:t>
            </w:r>
          </w:p>
        </w:tc>
      </w:tr>
      <w:tr w:rsidR="00206AF8">
        <w:trPr>
          <w:jc w:val="center"/>
        </w:trPr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A </w:t>
            </w:r>
            <w:r>
              <w:rPr>
                <w:color w:val="1E293B"/>
                <w:sz w:val="19"/>
              </w:rPr>
              <w:t>型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12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174.00 ± 7.63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173.50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7.50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[158, 185]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W = 0.941, p = 0.4807 (</w:t>
            </w:r>
            <w:r>
              <w:rPr>
                <w:color w:val="1E293B"/>
                <w:sz w:val="19"/>
              </w:rPr>
              <w:t>常態</w:t>
            </w:r>
            <w:r>
              <w:rPr>
                <w:color w:val="1E293B"/>
                <w:sz w:val="19"/>
              </w:rPr>
              <w:t>)</w:t>
            </w:r>
          </w:p>
        </w:tc>
      </w:tr>
      <w:tr w:rsidR="00206AF8">
        <w:trPr>
          <w:jc w:val="center"/>
        </w:trPr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B </w:t>
            </w:r>
            <w:r>
              <w:rPr>
                <w:color w:val="1E293B"/>
                <w:sz w:val="19"/>
              </w:rPr>
              <w:t>型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171.50 ± 9.07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173.00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9.50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[157, 184]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W = 0.948, p = 0.5969 (</w:t>
            </w:r>
            <w:r>
              <w:rPr>
                <w:color w:val="1E293B"/>
                <w:sz w:val="19"/>
              </w:rPr>
              <w:t>常態</w:t>
            </w:r>
            <w:r>
              <w:rPr>
                <w:color w:val="1E293B"/>
                <w:sz w:val="19"/>
              </w:rPr>
              <w:t>)</w:t>
            </w:r>
          </w:p>
        </w:tc>
      </w:tr>
      <w:tr w:rsidR="00206AF8">
        <w:trPr>
          <w:jc w:val="center"/>
        </w:trPr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lastRenderedPageBreak/>
              <w:t xml:space="preserve">O </w:t>
            </w:r>
            <w:r>
              <w:rPr>
                <w:color w:val="1E293B"/>
                <w:sz w:val="19"/>
              </w:rPr>
              <w:t>型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9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170.44 ± 11.31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170.00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11.00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[154, 187]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W = 0.942, p = </w:t>
            </w:r>
            <w:r>
              <w:rPr>
                <w:color w:val="1E293B"/>
                <w:sz w:val="19"/>
              </w:rPr>
              <w:t>0.6061 (</w:t>
            </w:r>
            <w:r>
              <w:rPr>
                <w:color w:val="1E293B"/>
                <w:sz w:val="19"/>
              </w:rPr>
              <w:t>常態</w:t>
            </w:r>
            <w:r>
              <w:rPr>
                <w:color w:val="1E293B"/>
                <w:sz w:val="19"/>
              </w:rPr>
              <w:t>)</w:t>
            </w:r>
          </w:p>
        </w:tc>
      </w:tr>
      <w:tr w:rsidR="00206AF8">
        <w:trPr>
          <w:jc w:val="center"/>
        </w:trPr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AB </w:t>
            </w:r>
            <w:r>
              <w:rPr>
                <w:color w:val="1E293B"/>
                <w:sz w:val="19"/>
              </w:rPr>
              <w:t>型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13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169.92 ± 9.11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172.00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9.00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[154, 185]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W = 0.984, p = 0.9696 (</w:t>
            </w:r>
            <w:r>
              <w:rPr>
                <w:color w:val="1E293B"/>
                <w:sz w:val="19"/>
              </w:rPr>
              <w:t>常態</w:t>
            </w:r>
            <w:r>
              <w:rPr>
                <w:color w:val="1E293B"/>
                <w:sz w:val="19"/>
              </w:rPr>
              <w:t>)</w:t>
            </w:r>
          </w:p>
        </w:tc>
      </w:tr>
      <w:tr w:rsidR="00206AF8">
        <w:trPr>
          <w:jc w:val="center"/>
        </w:trPr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整體總計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44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171.50 ± 9.05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172.00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11.00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[154, 187]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W = 0.983, p = 0.7416 (</w:t>
            </w:r>
            <w:r>
              <w:rPr>
                <w:color w:val="1E293B"/>
                <w:sz w:val="19"/>
              </w:rPr>
              <w:t>常態</w:t>
            </w:r>
            <w:r>
              <w:rPr>
                <w:color w:val="1E293B"/>
                <w:sz w:val="19"/>
              </w:rPr>
              <w:t>)</w:t>
            </w:r>
          </w:p>
        </w:tc>
      </w:tr>
    </w:tbl>
    <w:p w:rsidR="00206AF8" w:rsidRDefault="0084028E">
      <w:pPr>
        <w:keepNext/>
        <w:spacing w:before="240" w:after="80"/>
      </w:pPr>
      <w:r>
        <w:rPr>
          <w:b/>
          <w:color w:val="0E7490"/>
          <w:sz w:val="26"/>
        </w:rPr>
        <w:t xml:space="preserve">2. </w:t>
      </w:r>
      <w:r>
        <w:rPr>
          <w:b/>
          <w:color w:val="0E7490"/>
          <w:sz w:val="26"/>
        </w:rPr>
        <w:t>假設檢定實證結果</w:t>
      </w:r>
    </w:p>
    <w:p w:rsidR="00206AF8" w:rsidRDefault="0084028E">
      <w:r>
        <w:rPr>
          <w:b/>
        </w:rPr>
        <w:t xml:space="preserve">• </w:t>
      </w:r>
      <w:r>
        <w:rPr>
          <w:b/>
        </w:rPr>
        <w:t>變異數同質性檢定</w:t>
      </w:r>
      <w:r>
        <w:rPr>
          <w:b/>
        </w:rPr>
        <w:t xml:space="preserve"> (Levene's Test)</w:t>
      </w:r>
      <w:r>
        <w:rPr>
          <w:b/>
        </w:rPr>
        <w:t>：</w:t>
      </w:r>
      <w:r>
        <w:t xml:space="preserve">W = 0.4563, p = 0.7143 (p &gt; </w:t>
      </w:r>
      <w:r>
        <w:t>0.05</w:t>
      </w:r>
      <w:r>
        <w:t>，滿足變異數齊一性假設</w:t>
      </w:r>
      <w:r>
        <w:t>)</w:t>
      </w:r>
      <w:r>
        <w:t>。</w:t>
      </w:r>
      <w:r>
        <w:br/>
      </w:r>
      <w:r>
        <w:rPr>
          <w:b/>
        </w:rPr>
        <w:t xml:space="preserve">• Kruskal-Wallis </w:t>
      </w:r>
      <w:r>
        <w:rPr>
          <w:b/>
        </w:rPr>
        <w:t>非母數檢定：</w:t>
      </w:r>
      <w:r>
        <w:t>H = 1.5070, df = 3, p = 0.6806 (p &gt; 0.05</w:t>
      </w:r>
      <w:r>
        <w:t>，無顯著差異</w:t>
      </w:r>
      <w:r>
        <w:t xml:space="preserve"> ns)</w:t>
      </w:r>
      <w:r>
        <w:t>。</w:t>
      </w:r>
      <w:r>
        <w:br/>
      </w:r>
      <w:r>
        <w:rPr>
          <w:b/>
        </w:rPr>
        <w:t xml:space="preserve">• </w:t>
      </w:r>
      <w:r>
        <w:rPr>
          <w:b/>
        </w:rPr>
        <w:t>單因子變異數分析</w:t>
      </w:r>
      <w:r>
        <w:rPr>
          <w:b/>
        </w:rPr>
        <w:t xml:space="preserve"> (One-way ANOVA)</w:t>
      </w:r>
      <w:r>
        <w:rPr>
          <w:b/>
        </w:rPr>
        <w:t>：</w:t>
      </w:r>
      <w:r>
        <w:t>F(3, 40) = 0.4600, p = 0.7118 (p &gt; 0.05</w:t>
      </w:r>
      <w:r>
        <w:t>，無顯著差異</w:t>
      </w:r>
      <w:r>
        <w:t xml:space="preserve"> ns)</w:t>
      </w:r>
      <w:r>
        <w:t>。</w:t>
      </w:r>
      <w:r>
        <w:br/>
      </w:r>
      <w:r>
        <w:rPr>
          <w:b/>
        </w:rPr>
        <w:t xml:space="preserve">• </w:t>
      </w:r>
      <w:r>
        <w:rPr>
          <w:b/>
        </w:rPr>
        <w:t>效應量評估：</w:t>
      </w:r>
      <w:r>
        <w:t>η² = 0.033, ε² = 0.037 (</w:t>
      </w:r>
      <w:r>
        <w:t>效應量微小，組間差異僅佔總變異的</w:t>
      </w:r>
      <w:r>
        <w:t xml:space="preserve"> 3.3%)</w:t>
      </w:r>
      <w:r>
        <w:t>。</w:t>
      </w:r>
    </w:p>
    <w:p w:rsidR="00206AF8" w:rsidRDefault="0084028E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486400" cy="23369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blood_type_he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F8" w:rsidRDefault="0084028E">
      <w:pPr>
        <w:jc w:val="center"/>
      </w:pPr>
      <w:r>
        <w:rPr>
          <w:i/>
          <w:color w:val="64748B"/>
          <w:sz w:val="17"/>
        </w:rPr>
        <w:t>圖</w:t>
      </w:r>
      <w:r>
        <w:rPr>
          <w:i/>
          <w:color w:val="64748B"/>
          <w:sz w:val="17"/>
        </w:rPr>
        <w:t xml:space="preserve"> 2</w:t>
      </w:r>
      <w:r>
        <w:rPr>
          <w:i/>
          <w:color w:val="64748B"/>
          <w:sz w:val="17"/>
        </w:rPr>
        <w:t>：血型與身高分佈箱型圖與機率密度估計圖</w:t>
      </w:r>
      <w:r>
        <w:rPr>
          <w:i/>
          <w:color w:val="64748B"/>
          <w:sz w:val="17"/>
        </w:rPr>
        <w:t xml:space="preserve"> (KDE</w:t>
      </w:r>
      <w:r>
        <w:rPr>
          <w:i/>
          <w:color w:val="64748B"/>
          <w:sz w:val="17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6AF8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6AF8" w:rsidRDefault="0084028E">
            <w:pPr>
              <w:spacing w:before="40" w:after="80"/>
            </w:pPr>
            <w:r>
              <w:rPr>
                <w:b/>
                <w:color w:val="1D4ED8"/>
                <w:sz w:val="20"/>
              </w:rPr>
              <w:lastRenderedPageBreak/>
              <w:t>💡</w:t>
            </w:r>
            <w:r>
              <w:rPr>
                <w:b/>
                <w:color w:val="1D4ED8"/>
                <w:sz w:val="20"/>
              </w:rPr>
              <w:t xml:space="preserve"> </w:t>
            </w:r>
            <w:r>
              <w:rPr>
                <w:b/>
                <w:color w:val="1D4ED8"/>
                <w:sz w:val="20"/>
              </w:rPr>
              <w:t>統計洞察與結論：</w:t>
            </w:r>
            <w:r>
              <w:rPr>
                <w:b/>
                <w:color w:val="1D4ED8"/>
                <w:sz w:val="20"/>
              </w:rPr>
              <w:br/>
            </w:r>
          </w:p>
          <w:p w:rsidR="00206AF8" w:rsidRDefault="0084028E">
            <w:pPr>
              <w:spacing w:before="40" w:after="40"/>
            </w:pPr>
            <w:r>
              <w:rPr>
                <w:color w:val="1E293B"/>
                <w:sz w:val="19"/>
              </w:rPr>
              <w:t xml:space="preserve">• </w:t>
            </w:r>
            <w:r>
              <w:rPr>
                <w:color w:val="1E293B"/>
                <w:sz w:val="19"/>
              </w:rPr>
              <w:t>檢定結論：無母數</w:t>
            </w:r>
            <w:r>
              <w:rPr>
                <w:color w:val="1E293B"/>
                <w:sz w:val="19"/>
              </w:rPr>
              <w:t xml:space="preserve"> Kruskal-Wallis </w:t>
            </w:r>
            <w:r>
              <w:rPr>
                <w:color w:val="1E293B"/>
                <w:sz w:val="19"/>
              </w:rPr>
              <w:t>與母數</w:t>
            </w:r>
            <w:r>
              <w:rPr>
                <w:color w:val="1E293B"/>
                <w:sz w:val="19"/>
              </w:rPr>
              <w:t xml:space="preserve"> ANOVA </w:t>
            </w:r>
            <w:r>
              <w:rPr>
                <w:color w:val="1E293B"/>
                <w:sz w:val="19"/>
              </w:rPr>
              <w:t>檢定結果完全一致，</w:t>
            </w:r>
            <w:r>
              <w:rPr>
                <w:color w:val="1E293B"/>
                <w:sz w:val="19"/>
              </w:rPr>
              <w:t xml:space="preserve">p </w:t>
            </w:r>
            <w:r>
              <w:rPr>
                <w:color w:val="1E293B"/>
                <w:sz w:val="19"/>
              </w:rPr>
              <w:t>值均遠大於</w:t>
            </w:r>
            <w:r>
              <w:rPr>
                <w:color w:val="1E293B"/>
                <w:sz w:val="19"/>
              </w:rPr>
              <w:t xml:space="preserve"> 0.05</w:t>
            </w:r>
            <w:r>
              <w:rPr>
                <w:color w:val="1E293B"/>
                <w:sz w:val="19"/>
              </w:rPr>
              <w:t>，無法拒絕虛無假說</w:t>
            </w:r>
            <w:r>
              <w:rPr>
                <w:color w:val="1E293B"/>
                <w:sz w:val="19"/>
              </w:rPr>
              <w:t xml:space="preserve"> (Fail to reject H₀)</w:t>
            </w:r>
            <w:r>
              <w:rPr>
                <w:color w:val="1E293B"/>
                <w:sz w:val="19"/>
              </w:rPr>
              <w:t>。</w:t>
            </w:r>
          </w:p>
          <w:p w:rsidR="00206AF8" w:rsidRDefault="0084028E">
            <w:pPr>
              <w:spacing w:before="40" w:after="40"/>
            </w:pPr>
            <w:r>
              <w:rPr>
                <w:color w:val="1E293B"/>
                <w:sz w:val="19"/>
              </w:rPr>
              <w:t xml:space="preserve">• </w:t>
            </w:r>
            <w:r>
              <w:rPr>
                <w:color w:val="1E293B"/>
                <w:sz w:val="19"/>
              </w:rPr>
              <w:t>生理遺傳學意義：</w:t>
            </w:r>
            <w:r>
              <w:rPr>
                <w:color w:val="1E293B"/>
                <w:sz w:val="19"/>
              </w:rPr>
              <w:t xml:space="preserve">ABO </w:t>
            </w:r>
            <w:r>
              <w:rPr>
                <w:color w:val="1E293B"/>
                <w:sz w:val="19"/>
              </w:rPr>
              <w:t>血型由第</w:t>
            </w:r>
            <w:r>
              <w:rPr>
                <w:color w:val="1E293B"/>
                <w:sz w:val="19"/>
              </w:rPr>
              <w:t xml:space="preserve"> 9 </w:t>
            </w:r>
            <w:r>
              <w:rPr>
                <w:color w:val="1E293B"/>
                <w:sz w:val="19"/>
              </w:rPr>
              <w:t>號染色體之單一基因座決定，而人類身高級數屬於典型多基因遺傳</w:t>
            </w:r>
            <w:r>
              <w:rPr>
                <w:color w:val="1E293B"/>
                <w:sz w:val="19"/>
              </w:rPr>
              <w:t xml:space="preserve"> (Polygenic inheritance) </w:t>
            </w:r>
            <w:r>
              <w:rPr>
                <w:color w:val="1E293B"/>
                <w:sz w:val="19"/>
              </w:rPr>
              <w:t>並受後天營養環境影響，兩者機轉獨立，無顯著差異符合科學事實。</w:t>
            </w:r>
          </w:p>
          <w:p w:rsidR="00206AF8" w:rsidRDefault="0084028E">
            <w:pPr>
              <w:spacing w:before="40" w:after="40"/>
            </w:pPr>
            <w:r>
              <w:rPr>
                <w:color w:val="1E293B"/>
                <w:sz w:val="19"/>
              </w:rPr>
              <w:t xml:space="preserve">• </w:t>
            </w:r>
            <w:r>
              <w:rPr>
                <w:color w:val="1E293B"/>
                <w:sz w:val="19"/>
              </w:rPr>
              <w:t>附註說明：該檔案工作表</w:t>
            </w:r>
            <w:r>
              <w:rPr>
                <w:color w:val="1E293B"/>
                <w:sz w:val="19"/>
              </w:rPr>
              <w:t xml:space="preserve"> 2 </w:t>
            </w:r>
            <w:r>
              <w:rPr>
                <w:color w:val="1E293B"/>
                <w:sz w:val="19"/>
              </w:rPr>
              <w:t>包含</w:t>
            </w:r>
            <w:r>
              <w:rPr>
                <w:color w:val="1E293B"/>
                <w:sz w:val="19"/>
              </w:rPr>
              <w:t xml:space="preserve"> 10 </w:t>
            </w:r>
            <w:r>
              <w:rPr>
                <w:color w:val="1E293B"/>
                <w:sz w:val="19"/>
              </w:rPr>
              <w:t>筆</w:t>
            </w:r>
            <w:r>
              <w:rPr>
                <w:color w:val="1E293B"/>
                <w:sz w:val="19"/>
              </w:rPr>
              <w:t xml:space="preserve"> NFL </w:t>
            </w:r>
            <w:r>
              <w:rPr>
                <w:color w:val="1E293B"/>
                <w:sz w:val="19"/>
              </w:rPr>
              <w:t>球員年薪，推測為建檔時之暫存資料，主分</w:t>
            </w:r>
            <w:r>
              <w:rPr>
                <w:color w:val="1E293B"/>
                <w:sz w:val="19"/>
              </w:rPr>
              <w:t>析以工作表</w:t>
            </w:r>
            <w:r>
              <w:rPr>
                <w:color w:val="1E293B"/>
                <w:sz w:val="19"/>
              </w:rPr>
              <w:t xml:space="preserve"> 1 </w:t>
            </w:r>
            <w:r>
              <w:rPr>
                <w:color w:val="1E293B"/>
                <w:sz w:val="19"/>
              </w:rPr>
              <w:t>為準。</w:t>
            </w:r>
          </w:p>
        </w:tc>
      </w:tr>
    </w:tbl>
    <w:p w:rsidR="00206AF8" w:rsidRDefault="00206AF8"/>
    <w:p w:rsidR="00206AF8" w:rsidRDefault="0084028E">
      <w:pPr>
        <w:keepNext/>
        <w:spacing w:before="320" w:after="120"/>
      </w:pPr>
      <w:r>
        <w:rPr>
          <w:b/>
          <w:color w:val="1E3A8A"/>
          <w:sz w:val="32"/>
        </w:rPr>
        <w:t>三、研究二：</w:t>
      </w:r>
      <w:r>
        <w:rPr>
          <w:b/>
          <w:color w:val="1E3A8A"/>
          <w:sz w:val="32"/>
        </w:rPr>
        <w:t xml:space="preserve">KW_Pro_salary.xlsx — </w:t>
      </w:r>
      <w:r>
        <w:rPr>
          <w:b/>
          <w:color w:val="1E3A8A"/>
          <w:sz w:val="32"/>
        </w:rPr>
        <w:t>職業運動年薪結構與性別差距研究</w:t>
      </w:r>
    </w:p>
    <w:p w:rsidR="00206AF8" w:rsidRDefault="0084028E">
      <w:r>
        <w:t>本檔案取樣四大職業運動聯盟各</w:t>
      </w:r>
      <w:r>
        <w:t xml:space="preserve"> 10 </w:t>
      </w:r>
      <w:r>
        <w:t>位頂尖選手</w:t>
      </w:r>
      <w:r>
        <w:t xml:space="preserve"> (</w:t>
      </w:r>
      <w:r>
        <w:t>總樣本數</w:t>
      </w:r>
      <w:r>
        <w:t xml:space="preserve"> N = 40)</w:t>
      </w:r>
      <w:r>
        <w:t>：</w:t>
      </w:r>
      <w:r>
        <w:t>NBA (</w:t>
      </w:r>
      <w:r>
        <w:t>男子職籃</w:t>
      </w:r>
      <w:r>
        <w:t>)</w:t>
      </w:r>
      <w:r>
        <w:t>、</w:t>
      </w:r>
      <w:r>
        <w:t>MLB (</w:t>
      </w:r>
      <w:r>
        <w:t>男子職棒</w:t>
      </w:r>
      <w:r>
        <w:t>)</w:t>
      </w:r>
      <w:r>
        <w:t>、</w:t>
      </w:r>
      <w:r>
        <w:t>NFL (</w:t>
      </w:r>
      <w:r>
        <w:t>美式足球</w:t>
      </w:r>
      <w:r>
        <w:t xml:space="preserve">) </w:t>
      </w:r>
      <w:r>
        <w:t>及</w:t>
      </w:r>
      <w:r>
        <w:t xml:space="preserve"> WNBA (</w:t>
      </w:r>
      <w:r>
        <w:t>女子職籃</w:t>
      </w:r>
      <w:r>
        <w:t>)</w:t>
      </w:r>
      <w:r>
        <w:t>，針對年薪、性別與年齡結構進行深度剖析。</w:t>
      </w:r>
    </w:p>
    <w:p w:rsidR="00206AF8" w:rsidRDefault="0084028E">
      <w:pPr>
        <w:keepNext/>
        <w:spacing w:before="240" w:after="80"/>
      </w:pPr>
      <w:r>
        <w:rPr>
          <w:b/>
          <w:color w:val="0E7490"/>
          <w:sz w:val="26"/>
        </w:rPr>
        <w:t xml:space="preserve">1. </w:t>
      </w:r>
      <w:r>
        <w:rPr>
          <w:b/>
          <w:color w:val="0E7490"/>
          <w:sz w:val="26"/>
        </w:rPr>
        <w:t>聯盟年薪敘述統計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427"/>
        <w:gridCol w:w="1427"/>
        <w:gridCol w:w="1337"/>
        <w:gridCol w:w="1337"/>
      </w:tblGrid>
      <w:tr w:rsidR="00206AF8">
        <w:trPr>
          <w:jc w:val="center"/>
        </w:trPr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聯盟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運動項目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性別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樣本數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平均年薪</w:t>
            </w:r>
            <w:r>
              <w:rPr>
                <w:b/>
                <w:color w:val="FFFFFF"/>
                <w:sz w:val="19"/>
              </w:rPr>
              <w:t xml:space="preserve"> (Mean ± SD)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中位數年薪</w:t>
            </w:r>
            <w:r>
              <w:rPr>
                <w:b/>
                <w:color w:val="FFFFFF"/>
                <w:sz w:val="19"/>
              </w:rPr>
              <w:t xml:space="preserve"> (Median)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最高年薪代表</w:t>
            </w:r>
            <w:r>
              <w:rPr>
                <w:b/>
                <w:color w:val="FFFFFF"/>
                <w:sz w:val="19"/>
              </w:rPr>
              <w:t xml:space="preserve"> (Max)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最低年薪代表</w:t>
            </w:r>
            <w:r>
              <w:rPr>
                <w:b/>
                <w:color w:val="FFFFFF"/>
                <w:sz w:val="19"/>
              </w:rPr>
              <w:t xml:space="preserve"> (Min)</w:t>
            </w:r>
          </w:p>
        </w:tc>
      </w:tr>
      <w:tr w:rsidR="00206AF8">
        <w:trPr>
          <w:jc w:val="center"/>
        </w:trPr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NBA </w:t>
            </w:r>
            <w:r>
              <w:rPr>
                <w:color w:val="1E293B"/>
                <w:sz w:val="19"/>
              </w:rPr>
              <w:t>(</w:t>
            </w:r>
            <w:r>
              <w:rPr>
                <w:color w:val="1E293B"/>
                <w:sz w:val="19"/>
              </w:rPr>
              <w:t>男籃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男</w:t>
            </w:r>
            <w:r>
              <w:rPr>
                <w:color w:val="1E293B"/>
                <w:sz w:val="19"/>
              </w:rPr>
              <w:t xml:space="preserve"> (1)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$45,464,546 ± $7,037,160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$46,623,717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Stephen Curry ($55.76M)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Jayson Tatum ($34.85M)</w:t>
            </w:r>
          </w:p>
        </w:tc>
      </w:tr>
      <w:tr w:rsidR="00206AF8">
        <w:trPr>
          <w:jc w:val="center"/>
        </w:trPr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MLB (</w:t>
            </w:r>
            <w:r>
              <w:rPr>
                <w:color w:val="1E293B"/>
                <w:sz w:val="19"/>
              </w:rPr>
              <w:t>棒球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男</w:t>
            </w:r>
            <w:r>
              <w:rPr>
                <w:color w:val="1E293B"/>
                <w:sz w:val="19"/>
              </w:rPr>
              <w:t xml:space="preserve"> (1)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$42,370,833 ± $11,121,253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$38,500,000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Shohei Ohtani </w:t>
            </w:r>
            <w:r>
              <w:rPr>
                <w:color w:val="1E293B"/>
                <w:sz w:val="19"/>
              </w:rPr>
              <w:t>大谷翔平</w:t>
            </w:r>
            <w:r>
              <w:rPr>
                <w:color w:val="1E293B"/>
                <w:sz w:val="19"/>
              </w:rPr>
              <w:t xml:space="preserve"> ($70.00M)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Corey Seager ($32.50M)</w:t>
            </w:r>
          </w:p>
        </w:tc>
      </w:tr>
      <w:tr w:rsidR="00206AF8">
        <w:trPr>
          <w:jc w:val="center"/>
        </w:trPr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NFL (</w:t>
            </w:r>
            <w:r>
              <w:rPr>
                <w:color w:val="1E293B"/>
                <w:sz w:val="19"/>
              </w:rPr>
              <w:t>美足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男</w:t>
            </w:r>
            <w:r>
              <w:rPr>
                <w:color w:val="1E293B"/>
                <w:sz w:val="19"/>
              </w:rPr>
              <w:t xml:space="preserve"> (1)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$52,460,000 ± </w:t>
            </w:r>
            <w:r>
              <w:rPr>
                <w:color w:val="1E293B"/>
                <w:sz w:val="19"/>
              </w:rPr>
              <w:lastRenderedPageBreak/>
              <w:t>$4,408,880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lastRenderedPageBreak/>
              <w:t>$52,750,000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Dak Prescott </w:t>
            </w:r>
            <w:r>
              <w:rPr>
                <w:color w:val="1E293B"/>
                <w:sz w:val="19"/>
              </w:rPr>
              <w:lastRenderedPageBreak/>
              <w:t>($60.00M)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lastRenderedPageBreak/>
              <w:t xml:space="preserve">Patrick Mahomes </w:t>
            </w:r>
            <w:r>
              <w:rPr>
                <w:color w:val="1E293B"/>
                <w:sz w:val="19"/>
              </w:rPr>
              <w:lastRenderedPageBreak/>
              <w:t>($45.00M)</w:t>
            </w:r>
          </w:p>
        </w:tc>
      </w:tr>
      <w:tr w:rsidR="00206AF8">
        <w:trPr>
          <w:jc w:val="center"/>
        </w:trPr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lastRenderedPageBreak/>
              <w:t>WNBA (</w:t>
            </w:r>
            <w:r>
              <w:rPr>
                <w:color w:val="1E293B"/>
                <w:sz w:val="19"/>
              </w:rPr>
              <w:t>女籃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女</w:t>
            </w:r>
            <w:r>
              <w:rPr>
                <w:color w:val="1E293B"/>
                <w:sz w:val="19"/>
              </w:rPr>
              <w:t xml:space="preserve"> (2)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$199,922 ± $47,436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$203,500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Jackie Young ($252,450)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Caitlin Clark ($76,535)</w:t>
            </w:r>
          </w:p>
        </w:tc>
      </w:tr>
    </w:tbl>
    <w:p w:rsidR="00206AF8" w:rsidRDefault="0084028E">
      <w:pPr>
        <w:keepNext/>
        <w:spacing w:before="240" w:after="80"/>
      </w:pPr>
      <w:r>
        <w:rPr>
          <w:b/>
          <w:color w:val="0E7490"/>
          <w:sz w:val="26"/>
        </w:rPr>
        <w:t xml:space="preserve">2. </w:t>
      </w:r>
      <w:r>
        <w:rPr>
          <w:b/>
          <w:color w:val="0E7490"/>
          <w:sz w:val="26"/>
        </w:rPr>
        <w:t>假說檢定與事後成對比較</w:t>
      </w:r>
      <w:r>
        <w:rPr>
          <w:b/>
          <w:color w:val="0E7490"/>
          <w:sz w:val="26"/>
        </w:rPr>
        <w:t xml:space="preserve"> (Dunn's Post-Hoc Test)</w:t>
      </w:r>
    </w:p>
    <w:p w:rsidR="00206AF8" w:rsidRDefault="0084028E">
      <w:r>
        <w:rPr>
          <w:b/>
        </w:rPr>
        <w:t xml:space="preserve">• </w:t>
      </w:r>
      <w:r>
        <w:rPr>
          <w:b/>
        </w:rPr>
        <w:t>分布特徵與適格性：</w:t>
      </w:r>
      <w:r>
        <w:t xml:space="preserve">MLB (p = 0.0083) </w:t>
      </w:r>
      <w:r>
        <w:t>與</w:t>
      </w:r>
      <w:r>
        <w:t xml:space="preserve"> WNBA (p = </w:t>
      </w:r>
      <w:r>
        <w:t xml:space="preserve">0.0009) </w:t>
      </w:r>
      <w:r>
        <w:t>具顯著偏態，且變異數極不均齊</w:t>
      </w:r>
      <w:r>
        <w:t xml:space="preserve"> (Levene p = 0.020)</w:t>
      </w:r>
      <w:r>
        <w:t>，故必須採用非參數</w:t>
      </w:r>
      <w:r>
        <w:t xml:space="preserve"> Kruskal-Wallis </w:t>
      </w:r>
      <w:r>
        <w:t>檢定。</w:t>
      </w:r>
      <w:r>
        <w:br/>
      </w:r>
      <w:r>
        <w:rPr>
          <w:b/>
        </w:rPr>
        <w:t xml:space="preserve">• Kruskal-Wallis </w:t>
      </w:r>
      <w:r>
        <w:rPr>
          <w:b/>
        </w:rPr>
        <w:t>主檢定：</w:t>
      </w:r>
      <w:r>
        <w:t>H = 27.6106, df = 3, p = 4.384 × 10⁻⁶ (p &lt; 0.0001</w:t>
      </w:r>
      <w:r>
        <w:t>，達極高度顯著差異</w:t>
      </w:r>
      <w:r>
        <w:t xml:space="preserve"> ***)</w:t>
      </w:r>
      <w:r>
        <w:t>。</w:t>
      </w:r>
      <w:r>
        <w:br/>
      </w:r>
      <w:r>
        <w:rPr>
          <w:b/>
        </w:rPr>
        <w:t xml:space="preserve">• </w:t>
      </w:r>
      <w:r>
        <w:rPr>
          <w:b/>
        </w:rPr>
        <w:t>效應量：</w:t>
      </w:r>
      <w:r>
        <w:t>ε² = 0.684 (</w:t>
      </w:r>
      <w:r>
        <w:t>極大效應量，聯盟分類解釋了絕大部分薪資變異</w:t>
      </w:r>
      <w:r>
        <w:t>)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06AF8">
        <w:trPr>
          <w:jc w:val="center"/>
        </w:trPr>
        <w:tc>
          <w:tcPr>
            <w:tcW w:w="15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成對比較組別</w:t>
            </w:r>
          </w:p>
        </w:tc>
        <w:tc>
          <w:tcPr>
            <w:tcW w:w="15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平均秩差</w:t>
            </w:r>
            <w:r>
              <w:rPr>
                <w:b/>
                <w:color w:val="FFFFFF"/>
                <w:sz w:val="19"/>
              </w:rPr>
              <w:t xml:space="preserve"> (Rank Diff)</w:t>
            </w:r>
          </w:p>
        </w:tc>
        <w:tc>
          <w:tcPr>
            <w:tcW w:w="15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標準化檢定量</w:t>
            </w:r>
            <w:r>
              <w:rPr>
                <w:b/>
                <w:color w:val="FFFFFF"/>
                <w:sz w:val="19"/>
              </w:rPr>
              <w:t xml:space="preserve"> Z</w:t>
            </w:r>
          </w:p>
        </w:tc>
        <w:tc>
          <w:tcPr>
            <w:tcW w:w="15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未校正</w:t>
            </w:r>
            <w:r>
              <w:rPr>
                <w:b/>
                <w:color w:val="FFFFFF"/>
                <w:sz w:val="19"/>
              </w:rPr>
              <w:t xml:space="preserve"> p-value</w:t>
            </w:r>
          </w:p>
        </w:tc>
        <w:tc>
          <w:tcPr>
            <w:tcW w:w="15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Bonferroni </w:t>
            </w:r>
            <w:r>
              <w:rPr>
                <w:b/>
                <w:color w:val="FFFFFF"/>
                <w:sz w:val="19"/>
              </w:rPr>
              <w:t>校正</w:t>
            </w:r>
            <w:r>
              <w:rPr>
                <w:b/>
                <w:color w:val="FFFFFF"/>
                <w:sz w:val="19"/>
              </w:rPr>
              <w:t>後</w:t>
            </w:r>
            <w:r>
              <w:rPr>
                <w:b/>
                <w:color w:val="FFFFFF"/>
                <w:sz w:val="19"/>
              </w:rPr>
              <w:t xml:space="preserve"> p </w:t>
            </w:r>
            <w:r>
              <w:rPr>
                <w:b/>
                <w:color w:val="FFFFFF"/>
                <w:sz w:val="19"/>
              </w:rPr>
              <w:t>值</w:t>
            </w:r>
          </w:p>
        </w:tc>
        <w:tc>
          <w:tcPr>
            <w:tcW w:w="15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顯著性判定</w:t>
            </w:r>
          </w:p>
        </w:tc>
      </w:tr>
      <w:tr w:rsidR="00206AF8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NFL vs WNBA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+26.75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5.117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3.11 × 10⁻⁷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1.87 × 10⁻⁶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極顯著</w:t>
            </w:r>
            <w:r>
              <w:rPr>
                <w:color w:val="1E293B"/>
                <w:sz w:val="19"/>
              </w:rPr>
              <w:t xml:space="preserve"> (***)</w:t>
            </w:r>
          </w:p>
        </w:tc>
      </w:tr>
      <w:tr w:rsidR="00206AF8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NBA vs WNBA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+18.70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3.577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3.48 × 10⁻⁴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2.09 × 10⁻³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高度顯著</w:t>
            </w:r>
            <w:r>
              <w:rPr>
                <w:color w:val="1E293B"/>
                <w:sz w:val="19"/>
              </w:rPr>
              <w:t xml:space="preserve"> (**)</w:t>
            </w:r>
          </w:p>
        </w:tc>
      </w:tr>
      <w:tr w:rsidR="00206AF8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MLB vs WNBA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+14.55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2.783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5.39 × 10⁻³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3.23 × 10⁻²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顯著</w:t>
            </w:r>
            <w:r>
              <w:rPr>
                <w:color w:val="1E293B"/>
                <w:sz w:val="19"/>
              </w:rPr>
              <w:t xml:space="preserve"> (*)</w:t>
            </w:r>
          </w:p>
        </w:tc>
      </w:tr>
      <w:tr w:rsidR="00206AF8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NFL vs MLB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+12.20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2.334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0.0196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0.1177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不顯著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color w:val="1E293B"/>
                <w:sz w:val="19"/>
              </w:rPr>
              <w:t>趨勢</w:t>
            </w:r>
            <w:r>
              <w:rPr>
                <w:color w:val="1E293B"/>
                <w:sz w:val="19"/>
              </w:rPr>
              <w:t>)</w:t>
            </w:r>
          </w:p>
        </w:tc>
      </w:tr>
      <w:tr w:rsidR="00206AF8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NFL vs NBA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+8.05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1.540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0.1236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0.7417</w:t>
            </w:r>
          </w:p>
        </w:tc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不顯著</w:t>
            </w:r>
            <w:r>
              <w:rPr>
                <w:color w:val="1E293B"/>
                <w:sz w:val="19"/>
              </w:rPr>
              <w:t xml:space="preserve"> (ns)</w:t>
            </w:r>
          </w:p>
        </w:tc>
      </w:tr>
      <w:tr w:rsidR="00206AF8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NBA vs MLB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+4.15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0.794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0.4273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1.0000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不顯著</w:t>
            </w:r>
            <w:r>
              <w:rPr>
                <w:color w:val="1E293B"/>
                <w:sz w:val="19"/>
              </w:rPr>
              <w:t xml:space="preserve"> (ns)</w:t>
            </w:r>
          </w:p>
        </w:tc>
      </w:tr>
    </w:tbl>
    <w:p w:rsidR="00206AF8" w:rsidRDefault="0084028E">
      <w:pPr>
        <w:keepNext/>
        <w:spacing w:before="240" w:after="80"/>
      </w:pPr>
      <w:r>
        <w:rPr>
          <w:b/>
          <w:color w:val="0E7490"/>
          <w:sz w:val="26"/>
        </w:rPr>
        <w:lastRenderedPageBreak/>
        <w:t xml:space="preserve">3. </w:t>
      </w:r>
      <w:r>
        <w:rPr>
          <w:b/>
          <w:color w:val="0E7490"/>
          <w:sz w:val="26"/>
        </w:rPr>
        <w:t>性別薪資落差與年齡趨勢剖析</w:t>
      </w:r>
    </w:p>
    <w:p w:rsidR="00206AF8" w:rsidRDefault="0084028E">
      <w:r>
        <w:rPr>
          <w:b/>
        </w:rPr>
        <w:t xml:space="preserve">• </w:t>
      </w:r>
      <w:r>
        <w:rPr>
          <w:b/>
        </w:rPr>
        <w:t>性別運動薪資落差：</w:t>
      </w:r>
      <w:r>
        <w:t>男性選手</w:t>
      </w:r>
      <w:r>
        <w:t xml:space="preserve"> (n=30) </w:t>
      </w:r>
      <w:r>
        <w:t>平均年薪為</w:t>
      </w:r>
      <w:r>
        <w:t xml:space="preserve"> 4,677 </w:t>
      </w:r>
      <w:r>
        <w:t>萬美元，女性選手</w:t>
      </w:r>
      <w:r>
        <w:t xml:space="preserve"> (n=10) </w:t>
      </w:r>
      <w:r>
        <w:t>平均年薪僅</w:t>
      </w:r>
      <w:r>
        <w:t xml:space="preserve"> 20 </w:t>
      </w:r>
      <w:r>
        <w:t>萬美元，差距高達</w:t>
      </w:r>
      <w:r>
        <w:t xml:space="preserve"> 233.9 </w:t>
      </w:r>
      <w:r>
        <w:t>倍！</w:t>
      </w:r>
      <w:r>
        <w:t xml:space="preserve">Mann-Whitney U </w:t>
      </w:r>
      <w:r>
        <w:t>檢定</w:t>
      </w:r>
      <w:r>
        <w:t xml:space="preserve"> U = 300.0, p = 1.84 × 10⁻⁷ (***)</w:t>
      </w:r>
      <w:r>
        <w:t>。</w:t>
      </w:r>
      <w:r>
        <w:br/>
      </w:r>
      <w:r>
        <w:rPr>
          <w:b/>
        </w:rPr>
        <w:t xml:space="preserve">• </w:t>
      </w:r>
      <w:r>
        <w:rPr>
          <w:b/>
        </w:rPr>
        <w:t>年齡與薪資關係：</w:t>
      </w:r>
      <w:r>
        <w:t xml:space="preserve">NBA </w:t>
      </w:r>
      <w:r>
        <w:t>內部年齡與年薪呈顯著正相關</w:t>
      </w:r>
      <w:r>
        <w:t xml:space="preserve"> (Spearman rs = 0.675, p = 0.0322)</w:t>
      </w:r>
      <w:r>
        <w:t>，反映勞資協議中年資與超級頂薪</w:t>
      </w:r>
      <w:r>
        <w:t xml:space="preserve"> (Supermax) </w:t>
      </w:r>
      <w:r>
        <w:t>條款之作用。</w:t>
      </w:r>
    </w:p>
    <w:p w:rsidR="00206AF8" w:rsidRDefault="0084028E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669280" cy="47197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pro_salary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F8" w:rsidRDefault="0084028E">
      <w:pPr>
        <w:jc w:val="center"/>
      </w:pPr>
      <w:r>
        <w:rPr>
          <w:i/>
          <w:color w:val="64748B"/>
          <w:sz w:val="17"/>
        </w:rPr>
        <w:t>圖</w:t>
      </w:r>
      <w:r>
        <w:rPr>
          <w:i/>
          <w:color w:val="64748B"/>
          <w:sz w:val="17"/>
        </w:rPr>
        <w:t xml:space="preserve"> 3</w:t>
      </w:r>
      <w:r>
        <w:rPr>
          <w:i/>
          <w:color w:val="64748B"/>
          <w:sz w:val="17"/>
        </w:rPr>
        <w:t>：四大職業運動年薪結構、性別差距與年齡趨勢圖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6AF8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6AF8" w:rsidRDefault="0084028E">
            <w:pPr>
              <w:spacing w:before="40" w:after="80"/>
            </w:pPr>
            <w:r>
              <w:rPr>
                <w:b/>
                <w:color w:val="1D4ED8"/>
                <w:sz w:val="20"/>
              </w:rPr>
              <w:t>💡</w:t>
            </w:r>
            <w:r>
              <w:rPr>
                <w:b/>
                <w:color w:val="1D4ED8"/>
                <w:sz w:val="20"/>
              </w:rPr>
              <w:t xml:space="preserve"> </w:t>
            </w:r>
            <w:r>
              <w:rPr>
                <w:b/>
                <w:color w:val="1D4ED8"/>
                <w:sz w:val="20"/>
              </w:rPr>
              <w:t>統計洞察與結論：</w:t>
            </w:r>
            <w:r>
              <w:rPr>
                <w:b/>
                <w:color w:val="1D4ED8"/>
                <w:sz w:val="20"/>
              </w:rPr>
              <w:br/>
            </w:r>
          </w:p>
          <w:p w:rsidR="00206AF8" w:rsidRDefault="0084028E">
            <w:pPr>
              <w:spacing w:before="40" w:after="40"/>
            </w:pPr>
            <w:r>
              <w:rPr>
                <w:color w:val="1E293B"/>
                <w:sz w:val="19"/>
              </w:rPr>
              <w:t xml:space="preserve">• </w:t>
            </w:r>
            <w:r>
              <w:rPr>
                <w:color w:val="1E293B"/>
                <w:sz w:val="19"/>
              </w:rPr>
              <w:t>職業運動產業結構：男子三大聯盟</w:t>
            </w:r>
            <w:r>
              <w:rPr>
                <w:color w:val="1E293B"/>
                <w:sz w:val="19"/>
              </w:rPr>
              <w:t xml:space="preserve"> (NFL, NBA, MLB) </w:t>
            </w:r>
            <w:r>
              <w:rPr>
                <w:color w:val="1E293B"/>
                <w:sz w:val="19"/>
              </w:rPr>
              <w:t>選手年薪主要落在</w:t>
            </w:r>
            <w:r>
              <w:rPr>
                <w:color w:val="1E293B"/>
                <w:sz w:val="19"/>
              </w:rPr>
              <w:t xml:space="preserve"> 3,200 </w:t>
            </w:r>
            <w:r>
              <w:rPr>
                <w:color w:val="1E293B"/>
                <w:sz w:val="19"/>
              </w:rPr>
              <w:t>萬至</w:t>
            </w:r>
            <w:r>
              <w:rPr>
                <w:color w:val="1E293B"/>
                <w:sz w:val="19"/>
              </w:rPr>
              <w:t xml:space="preserve"> 7,000 </w:t>
            </w:r>
            <w:r>
              <w:rPr>
                <w:color w:val="1E293B"/>
                <w:sz w:val="19"/>
              </w:rPr>
              <w:t>萬美元之間，組間無顯著統計差異；而</w:t>
            </w:r>
            <w:r>
              <w:rPr>
                <w:color w:val="1E293B"/>
                <w:sz w:val="19"/>
              </w:rPr>
              <w:t xml:space="preserve"> WNBA </w:t>
            </w:r>
            <w:r>
              <w:rPr>
                <w:color w:val="1E293B"/>
                <w:sz w:val="19"/>
              </w:rPr>
              <w:t>頂尖選手最高僅約</w:t>
            </w:r>
            <w:r>
              <w:rPr>
                <w:color w:val="1E293B"/>
                <w:sz w:val="19"/>
              </w:rPr>
              <w:t xml:space="preserve"> 25 </w:t>
            </w:r>
            <w:r>
              <w:rPr>
                <w:color w:val="1E293B"/>
                <w:sz w:val="19"/>
              </w:rPr>
              <w:t>萬美元，受限於聯盟轉播合約體量與硬工資帽制度。</w:t>
            </w:r>
          </w:p>
          <w:p w:rsidR="00206AF8" w:rsidRDefault="0084028E">
            <w:pPr>
              <w:spacing w:before="40" w:after="40"/>
            </w:pPr>
            <w:r>
              <w:rPr>
                <w:color w:val="1E293B"/>
                <w:sz w:val="19"/>
              </w:rPr>
              <w:lastRenderedPageBreak/>
              <w:t xml:space="preserve">• </w:t>
            </w:r>
            <w:r>
              <w:rPr>
                <w:color w:val="1E293B"/>
                <w:sz w:val="19"/>
              </w:rPr>
              <w:t>事後檢定證實：顯著性主要完全來</w:t>
            </w:r>
            <w:r>
              <w:rPr>
                <w:color w:val="1E293B"/>
                <w:sz w:val="19"/>
              </w:rPr>
              <w:t>自於</w:t>
            </w:r>
            <w:r>
              <w:rPr>
                <w:color w:val="1E293B"/>
                <w:sz w:val="19"/>
              </w:rPr>
              <w:t xml:space="preserve"> WNBA </w:t>
            </w:r>
            <w:r>
              <w:rPr>
                <w:color w:val="1E293B"/>
                <w:sz w:val="19"/>
              </w:rPr>
              <w:t>與男子三大聯盟之間的龐大落差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color w:val="1E293B"/>
                <w:sz w:val="19"/>
              </w:rPr>
              <w:t>校正後</w:t>
            </w:r>
            <w:r>
              <w:rPr>
                <w:color w:val="1E293B"/>
                <w:sz w:val="19"/>
              </w:rPr>
              <w:t xml:space="preserve"> p &lt; 0.05)</w:t>
            </w:r>
            <w:r>
              <w:rPr>
                <w:color w:val="1E293B"/>
                <w:sz w:val="19"/>
              </w:rPr>
              <w:t>。</w:t>
            </w:r>
          </w:p>
        </w:tc>
      </w:tr>
    </w:tbl>
    <w:p w:rsidR="00206AF8" w:rsidRDefault="00206AF8"/>
    <w:p w:rsidR="00206AF8" w:rsidRDefault="0084028E">
      <w:pPr>
        <w:keepNext/>
        <w:spacing w:before="320" w:after="120"/>
      </w:pPr>
      <w:r>
        <w:rPr>
          <w:b/>
          <w:color w:val="1E3A8A"/>
          <w:sz w:val="32"/>
        </w:rPr>
        <w:t>四、研究三：</w:t>
      </w:r>
      <w:r>
        <w:rPr>
          <w:b/>
          <w:color w:val="1E3A8A"/>
          <w:sz w:val="32"/>
        </w:rPr>
        <w:t xml:space="preserve">Mann whitney.xlsx — </w:t>
      </w:r>
      <w:r>
        <w:rPr>
          <w:b/>
          <w:color w:val="1E3A8A"/>
          <w:sz w:val="32"/>
        </w:rPr>
        <w:t>乳腺癌</w:t>
      </w:r>
      <w:r>
        <w:rPr>
          <w:b/>
          <w:color w:val="1E3A8A"/>
          <w:sz w:val="32"/>
        </w:rPr>
        <w:t xml:space="preserve"> vs </w:t>
      </w:r>
      <w:r>
        <w:rPr>
          <w:b/>
          <w:color w:val="1E3A8A"/>
          <w:sz w:val="32"/>
        </w:rPr>
        <w:t>肺腺癌之</w:t>
      </w:r>
      <w:r>
        <w:rPr>
          <w:b/>
          <w:color w:val="1E3A8A"/>
          <w:sz w:val="32"/>
        </w:rPr>
        <w:t xml:space="preserve"> HER2 </w:t>
      </w:r>
      <w:r>
        <w:rPr>
          <w:b/>
          <w:color w:val="1E3A8A"/>
          <w:sz w:val="32"/>
        </w:rPr>
        <w:t>表現量檢定</w:t>
      </w:r>
    </w:p>
    <w:p w:rsidR="00206AF8" w:rsidRDefault="0084028E">
      <w:r>
        <w:t>本檔案研究臨床腫瘤組織切片中，乳腺癌</w:t>
      </w:r>
      <w:r>
        <w:t xml:space="preserve"> (Breast Cancer, BC, n=8) </w:t>
      </w:r>
      <w:r>
        <w:t>與肺腺癌</w:t>
      </w:r>
      <w:r>
        <w:t xml:space="preserve"> (Lung Adenocarcinoma, LUAD, n=9) </w:t>
      </w:r>
      <w:r>
        <w:t>之</w:t>
      </w:r>
      <w:r>
        <w:t xml:space="preserve"> HER2 (</w:t>
      </w:r>
      <w:r>
        <w:t>人表皮生長因子受體</w:t>
      </w:r>
      <w:r>
        <w:t xml:space="preserve"> 2) </w:t>
      </w:r>
      <w:r>
        <w:t>蛋白質表現量差異。</w:t>
      </w:r>
    </w:p>
    <w:p w:rsidR="00206AF8" w:rsidRDefault="0084028E">
      <w:pPr>
        <w:keepNext/>
        <w:spacing w:before="240" w:after="80"/>
      </w:pPr>
      <w:r>
        <w:rPr>
          <w:b/>
          <w:color w:val="0E7490"/>
          <w:sz w:val="26"/>
        </w:rPr>
        <w:t xml:space="preserve">1. </w:t>
      </w:r>
      <w:r>
        <w:rPr>
          <w:b/>
          <w:color w:val="0E7490"/>
          <w:sz w:val="26"/>
        </w:rPr>
        <w:t>敘述統計與分佈檢定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1337"/>
        <w:gridCol w:w="1337"/>
        <w:gridCol w:w="1337"/>
        <w:gridCol w:w="1337"/>
        <w:gridCol w:w="1337"/>
        <w:gridCol w:w="1337"/>
      </w:tblGrid>
      <w:tr w:rsidR="00206AF8">
        <w:trPr>
          <w:jc w:val="center"/>
        </w:trPr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癌症分類</w:t>
            </w:r>
            <w:r>
              <w:rPr>
                <w:b/>
                <w:color w:val="FFFFFF"/>
                <w:sz w:val="19"/>
              </w:rPr>
              <w:t xml:space="preserve"> (Annotation)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樣本數</w:t>
            </w:r>
            <w:r>
              <w:rPr>
                <w:b/>
                <w:color w:val="FFFFFF"/>
                <w:sz w:val="19"/>
              </w:rPr>
              <w:t xml:space="preserve"> (n)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平均數</w:t>
            </w:r>
            <w:r>
              <w:rPr>
                <w:b/>
                <w:color w:val="FFFFFF"/>
                <w:sz w:val="19"/>
              </w:rPr>
              <w:t xml:space="preserve"> ± </w:t>
            </w:r>
            <w:r>
              <w:rPr>
                <w:b/>
                <w:color w:val="FFFFFF"/>
                <w:sz w:val="19"/>
              </w:rPr>
              <w:t>標準差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中位數</w:t>
            </w:r>
            <w:r>
              <w:rPr>
                <w:b/>
                <w:color w:val="FFFFFF"/>
                <w:sz w:val="19"/>
              </w:rPr>
              <w:t xml:space="preserve"> (Median)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四分位距</w:t>
            </w:r>
            <w:r>
              <w:rPr>
                <w:b/>
                <w:color w:val="FFFFFF"/>
                <w:sz w:val="19"/>
              </w:rPr>
              <w:t xml:space="preserve"> IQR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範圍</w:t>
            </w:r>
            <w:r>
              <w:rPr>
                <w:b/>
                <w:color w:val="FFFFFF"/>
                <w:sz w:val="19"/>
              </w:rPr>
              <w:t xml:space="preserve"> [Min - Max]</w:t>
            </w:r>
          </w:p>
        </w:tc>
        <w:tc>
          <w:tcPr>
            <w:tcW w:w="1337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Shapiro-Wilk </w:t>
            </w:r>
            <w:r>
              <w:rPr>
                <w:b/>
                <w:color w:val="FFFFFF"/>
                <w:sz w:val="19"/>
              </w:rPr>
              <w:t>常態性檢定</w:t>
            </w:r>
          </w:p>
        </w:tc>
      </w:tr>
      <w:tr w:rsidR="00206AF8">
        <w:trPr>
          <w:jc w:val="center"/>
        </w:trPr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乳腺癌</w:t>
            </w:r>
            <w:r>
              <w:rPr>
                <w:color w:val="1E293B"/>
                <w:sz w:val="19"/>
              </w:rPr>
              <w:t xml:space="preserve"> (BC, Group 1)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8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434.50 ± 202.05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446.50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343.25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[156, 666]</w:t>
            </w:r>
          </w:p>
        </w:tc>
        <w:tc>
          <w:tcPr>
            <w:tcW w:w="133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W = 0.892, p = 0.2220 (</w:t>
            </w:r>
            <w:r>
              <w:rPr>
                <w:color w:val="1E293B"/>
                <w:sz w:val="19"/>
              </w:rPr>
              <w:t>常態</w:t>
            </w:r>
            <w:r>
              <w:rPr>
                <w:color w:val="1E293B"/>
                <w:sz w:val="19"/>
              </w:rPr>
              <w:t>)</w:t>
            </w:r>
          </w:p>
        </w:tc>
      </w:tr>
      <w:tr w:rsidR="00206AF8">
        <w:trPr>
          <w:jc w:val="center"/>
        </w:trPr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肺腺癌</w:t>
            </w:r>
            <w:r>
              <w:rPr>
                <w:color w:val="1E293B"/>
                <w:sz w:val="19"/>
              </w:rPr>
              <w:t xml:space="preserve"> (LUAD, Group 2)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9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128.44 ± 25.62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118.00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13.00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[111, 187]</w:t>
            </w:r>
          </w:p>
        </w:tc>
        <w:tc>
          <w:tcPr>
            <w:tcW w:w="133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W = 0.724, p = 0.0033 (</w:t>
            </w:r>
            <w:r>
              <w:rPr>
                <w:color w:val="1E293B"/>
                <w:sz w:val="19"/>
              </w:rPr>
              <w:t>顯著偏態</w:t>
            </w:r>
            <w:r>
              <w:rPr>
                <w:color w:val="1E293B"/>
                <w:sz w:val="19"/>
              </w:rPr>
              <w:t>)</w:t>
            </w:r>
          </w:p>
        </w:tc>
      </w:tr>
    </w:tbl>
    <w:p w:rsidR="00206AF8" w:rsidRDefault="0084028E">
      <w:pPr>
        <w:keepNext/>
        <w:spacing w:before="240" w:after="80"/>
      </w:pPr>
      <w:r>
        <w:rPr>
          <w:b/>
          <w:color w:val="0E7490"/>
          <w:sz w:val="26"/>
        </w:rPr>
        <w:t xml:space="preserve">2. </w:t>
      </w:r>
      <w:r>
        <w:rPr>
          <w:b/>
          <w:color w:val="0E7490"/>
          <w:sz w:val="26"/>
        </w:rPr>
        <w:t xml:space="preserve">Mann-Whitney U </w:t>
      </w:r>
      <w:r>
        <w:rPr>
          <w:b/>
          <w:color w:val="0E7490"/>
          <w:sz w:val="26"/>
        </w:rPr>
        <w:t>假設檢定與效應量評估</w:t>
      </w:r>
    </w:p>
    <w:p w:rsidR="00206AF8" w:rsidRDefault="0084028E">
      <w:r>
        <w:rPr>
          <w:b/>
        </w:rPr>
        <w:t xml:space="preserve">• </w:t>
      </w:r>
      <w:r>
        <w:rPr>
          <w:b/>
        </w:rPr>
        <w:t>檢定適格性：</w:t>
      </w:r>
      <w:r>
        <w:t xml:space="preserve">LUAD </w:t>
      </w:r>
      <w:r>
        <w:t>樣本具極顯著偏態</w:t>
      </w:r>
      <w:r>
        <w:t xml:space="preserve"> (p = 0.0033)</w:t>
      </w:r>
      <w:r>
        <w:t>，且</w:t>
      </w:r>
      <w:r>
        <w:t xml:space="preserve"> BC </w:t>
      </w:r>
      <w:r>
        <w:t>的變異數為</w:t>
      </w:r>
      <w:r>
        <w:t xml:space="preserve"> LUAD </w:t>
      </w:r>
      <w:r>
        <w:t>的</w:t>
      </w:r>
      <w:r>
        <w:t xml:space="preserve"> 62 </w:t>
      </w:r>
      <w:r>
        <w:t>倍</w:t>
      </w:r>
      <w:r>
        <w:t xml:space="preserve"> (Levene p = 0.0051)</w:t>
      </w:r>
      <w:r>
        <w:t>，傳統獨立樣本</w:t>
      </w:r>
      <w:r>
        <w:t xml:space="preserve"> t </w:t>
      </w:r>
      <w:r>
        <w:t>檢定假設完全被打破，必須使用無母數</w:t>
      </w:r>
      <w:r>
        <w:t xml:space="preserve"> Mann-Whitney U </w:t>
      </w:r>
      <w:r>
        <w:t>檢定。</w:t>
      </w:r>
      <w:r>
        <w:br/>
      </w:r>
      <w:r>
        <w:rPr>
          <w:b/>
        </w:rPr>
        <w:t xml:space="preserve">• Mann-Whitney U </w:t>
      </w:r>
      <w:r>
        <w:rPr>
          <w:b/>
        </w:rPr>
        <w:t>統計檢定：</w:t>
      </w:r>
      <w:r>
        <w:t xml:space="preserve">U = 71.0, W = 107.0, </w:t>
      </w:r>
      <w:r>
        <w:t>雙尾</w:t>
      </w:r>
      <w:r>
        <w:t xml:space="preserve"> p = 8.8787 × 10⁻⁴ (p &lt; 0.001 ***</w:t>
      </w:r>
      <w:r>
        <w:t>，達極高度顯著差異</w:t>
      </w:r>
      <w:r>
        <w:t>)</w:t>
      </w:r>
      <w:r>
        <w:t>。</w:t>
      </w:r>
      <w:r>
        <w:br/>
      </w:r>
      <w:r>
        <w:rPr>
          <w:b/>
        </w:rPr>
        <w:t xml:space="preserve">• </w:t>
      </w:r>
      <w:r>
        <w:rPr>
          <w:b/>
        </w:rPr>
        <w:t>效應量</w:t>
      </w:r>
      <w:r>
        <w:rPr>
          <w:b/>
        </w:rPr>
        <w:t xml:space="preserve"> Cliff's De</w:t>
      </w:r>
      <w:r>
        <w:rPr>
          <w:b/>
        </w:rPr>
        <w:t>lta (δ)</w:t>
      </w:r>
      <w:r>
        <w:rPr>
          <w:b/>
        </w:rPr>
        <w:t>：</w:t>
      </w:r>
      <w:r>
        <w:t>δ = (71 - 1) / 72 = 0.9722 (</w:t>
      </w:r>
      <w:r>
        <w:t>接近</w:t>
      </w:r>
      <w:r>
        <w:t xml:space="preserve"> 1.0 </w:t>
      </w:r>
      <w:r>
        <w:t>之極致大效應量</w:t>
      </w:r>
      <w:r>
        <w:t>)</w:t>
      </w:r>
      <w:r>
        <w:t>。</w:t>
      </w:r>
      <w:r>
        <w:br/>
      </w:r>
      <w:r>
        <w:rPr>
          <w:b/>
        </w:rPr>
        <w:t xml:space="preserve">• </w:t>
      </w:r>
      <w:r>
        <w:rPr>
          <w:b/>
        </w:rPr>
        <w:t>常態語言效應量</w:t>
      </w:r>
      <w:r>
        <w:rPr>
          <w:b/>
        </w:rPr>
        <w:t xml:space="preserve"> (CLES)</w:t>
      </w:r>
      <w:r>
        <w:rPr>
          <w:b/>
        </w:rPr>
        <w:t>：</w:t>
      </w:r>
      <w:r>
        <w:t>隨機抽取一名乳癌病患，其</w:t>
      </w:r>
      <w:r>
        <w:t xml:space="preserve"> HER2 </w:t>
      </w:r>
      <w:r>
        <w:t>高於肺腺癌之機率高達</w:t>
      </w:r>
      <w:r>
        <w:t xml:space="preserve"> 98.6%</w:t>
      </w:r>
      <w:r>
        <w:t>。</w:t>
      </w:r>
    </w:p>
    <w:p w:rsidR="00206AF8" w:rsidRDefault="0084028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5486400" cy="24137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mann_whitney_he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F8" w:rsidRDefault="0084028E">
      <w:pPr>
        <w:jc w:val="center"/>
      </w:pPr>
      <w:r>
        <w:rPr>
          <w:i/>
          <w:color w:val="64748B"/>
          <w:sz w:val="17"/>
        </w:rPr>
        <w:t>圖</w:t>
      </w:r>
      <w:r>
        <w:rPr>
          <w:i/>
          <w:color w:val="64748B"/>
          <w:sz w:val="17"/>
        </w:rPr>
        <w:t xml:space="preserve"> 4</w:t>
      </w:r>
      <w:r>
        <w:rPr>
          <w:i/>
          <w:color w:val="64748B"/>
          <w:sz w:val="17"/>
        </w:rPr>
        <w:t>：乳腺癌與肺腺癌</w:t>
      </w:r>
      <w:r>
        <w:rPr>
          <w:i/>
          <w:color w:val="64748B"/>
          <w:sz w:val="17"/>
        </w:rPr>
        <w:t xml:space="preserve"> HER2 </w:t>
      </w:r>
      <w:r>
        <w:rPr>
          <w:i/>
          <w:color w:val="64748B"/>
          <w:sz w:val="17"/>
        </w:rPr>
        <w:t>表現量小提琴圖、箱型圖與</w:t>
      </w:r>
      <w:r>
        <w:rPr>
          <w:i/>
          <w:color w:val="64748B"/>
          <w:sz w:val="17"/>
        </w:rPr>
        <w:t xml:space="preserve"> ECDF </w:t>
      </w:r>
      <w:r>
        <w:rPr>
          <w:i/>
          <w:color w:val="64748B"/>
          <w:sz w:val="17"/>
        </w:rPr>
        <w:t>累積分配函數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06AF8">
        <w:trPr>
          <w:jc w:val="center"/>
        </w:trPr>
        <w:tc>
          <w:tcPr>
            <w:tcW w:w="9360" w:type="dxa"/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6AF8" w:rsidRDefault="0084028E">
            <w:pPr>
              <w:spacing w:before="40" w:after="80"/>
            </w:pPr>
            <w:r>
              <w:rPr>
                <w:b/>
                <w:color w:val="1D4ED8"/>
                <w:sz w:val="20"/>
              </w:rPr>
              <w:t>💡</w:t>
            </w:r>
            <w:r>
              <w:rPr>
                <w:b/>
                <w:color w:val="1D4ED8"/>
                <w:sz w:val="20"/>
              </w:rPr>
              <w:t xml:space="preserve"> </w:t>
            </w:r>
            <w:r>
              <w:rPr>
                <w:b/>
                <w:color w:val="1D4ED8"/>
                <w:sz w:val="20"/>
              </w:rPr>
              <w:t>統計洞察與結論：</w:t>
            </w:r>
            <w:r>
              <w:rPr>
                <w:b/>
                <w:color w:val="1D4ED8"/>
                <w:sz w:val="20"/>
              </w:rPr>
              <w:br/>
            </w:r>
          </w:p>
          <w:p w:rsidR="00206AF8" w:rsidRDefault="0084028E">
            <w:pPr>
              <w:spacing w:before="40" w:after="40"/>
            </w:pPr>
            <w:r>
              <w:rPr>
                <w:color w:val="1E293B"/>
                <w:sz w:val="19"/>
              </w:rPr>
              <w:t xml:space="preserve">• </w:t>
            </w:r>
            <w:r>
              <w:rPr>
                <w:color w:val="1E293B"/>
                <w:sz w:val="19"/>
              </w:rPr>
              <w:t>高度分離特徵：</w:t>
            </w:r>
            <w:r>
              <w:rPr>
                <w:color w:val="1E293B"/>
                <w:sz w:val="19"/>
              </w:rPr>
              <w:t xml:space="preserve">8 </w:t>
            </w:r>
            <w:r>
              <w:rPr>
                <w:color w:val="1E293B"/>
                <w:sz w:val="19"/>
              </w:rPr>
              <w:t>個</w:t>
            </w:r>
            <w:r>
              <w:rPr>
                <w:color w:val="1E293B"/>
                <w:sz w:val="19"/>
              </w:rPr>
              <w:t xml:space="preserve"> BC </w:t>
            </w:r>
            <w:r>
              <w:rPr>
                <w:color w:val="1E293B"/>
                <w:sz w:val="19"/>
              </w:rPr>
              <w:t>樣本中僅有</w:t>
            </w:r>
            <w:r>
              <w:rPr>
                <w:color w:val="1E293B"/>
                <w:sz w:val="19"/>
              </w:rPr>
              <w:t xml:space="preserve"> 1 </w:t>
            </w:r>
            <w:r>
              <w:rPr>
                <w:color w:val="1E293B"/>
                <w:sz w:val="19"/>
              </w:rPr>
              <w:t>筆數值</w:t>
            </w:r>
            <w:r>
              <w:rPr>
                <w:color w:val="1E293B"/>
                <w:sz w:val="19"/>
              </w:rPr>
              <w:t xml:space="preserve"> (156) </w:t>
            </w:r>
            <w:r>
              <w:rPr>
                <w:color w:val="1E293B"/>
                <w:sz w:val="19"/>
              </w:rPr>
              <w:t>落入較低區間，其餘皆大於</w:t>
            </w:r>
            <w:r>
              <w:rPr>
                <w:color w:val="1E293B"/>
                <w:sz w:val="19"/>
              </w:rPr>
              <w:t xml:space="preserve"> 250</w:t>
            </w:r>
            <w:r>
              <w:rPr>
                <w:color w:val="1E293B"/>
                <w:sz w:val="19"/>
              </w:rPr>
              <w:t>；而</w:t>
            </w:r>
            <w:r>
              <w:rPr>
                <w:color w:val="1E293B"/>
                <w:sz w:val="19"/>
              </w:rPr>
              <w:t xml:space="preserve"> 9 </w:t>
            </w:r>
            <w:r>
              <w:rPr>
                <w:color w:val="1E293B"/>
                <w:sz w:val="19"/>
              </w:rPr>
              <w:t>個</w:t>
            </w:r>
            <w:r>
              <w:rPr>
                <w:color w:val="1E293B"/>
                <w:sz w:val="19"/>
              </w:rPr>
              <w:t xml:space="preserve"> LUAD </w:t>
            </w:r>
            <w:r>
              <w:rPr>
                <w:color w:val="1E293B"/>
                <w:sz w:val="19"/>
              </w:rPr>
              <w:t>樣本中僅有</w:t>
            </w:r>
            <w:r>
              <w:rPr>
                <w:color w:val="1E293B"/>
                <w:sz w:val="19"/>
              </w:rPr>
              <w:t xml:space="preserve"> 1 </w:t>
            </w:r>
            <w:r>
              <w:rPr>
                <w:color w:val="1E293B"/>
                <w:sz w:val="19"/>
              </w:rPr>
              <w:t>筆數值</w:t>
            </w:r>
            <w:r>
              <w:rPr>
                <w:color w:val="1E293B"/>
                <w:sz w:val="19"/>
              </w:rPr>
              <w:t xml:space="preserve"> (187) </w:t>
            </w:r>
            <w:r>
              <w:rPr>
                <w:color w:val="1E293B"/>
                <w:sz w:val="19"/>
              </w:rPr>
              <w:t>略高，其餘均小於等於</w:t>
            </w:r>
            <w:r>
              <w:rPr>
                <w:color w:val="1E293B"/>
                <w:sz w:val="19"/>
              </w:rPr>
              <w:t xml:space="preserve"> 15</w:t>
            </w:r>
            <w:r>
              <w:rPr>
                <w:color w:val="1E293B"/>
                <w:sz w:val="19"/>
              </w:rPr>
              <w:t>3</w:t>
            </w:r>
            <w:r>
              <w:rPr>
                <w:color w:val="1E293B"/>
                <w:sz w:val="19"/>
              </w:rPr>
              <w:t>，兩組幾近完全分離。</w:t>
            </w:r>
          </w:p>
          <w:p w:rsidR="00206AF8" w:rsidRDefault="0084028E">
            <w:pPr>
              <w:spacing w:before="40" w:after="40"/>
            </w:pPr>
            <w:r>
              <w:rPr>
                <w:color w:val="1E293B"/>
                <w:sz w:val="19"/>
              </w:rPr>
              <w:t xml:space="preserve">• </w:t>
            </w:r>
            <w:r>
              <w:rPr>
                <w:color w:val="1E293B"/>
                <w:sz w:val="19"/>
              </w:rPr>
              <w:t>腫瘤分子生物學意義：</w:t>
            </w:r>
            <w:r>
              <w:rPr>
                <w:color w:val="1E293B"/>
                <w:sz w:val="19"/>
              </w:rPr>
              <w:t xml:space="preserve">HER2/ERBB2 </w:t>
            </w:r>
            <w:r>
              <w:rPr>
                <w:color w:val="1E293B"/>
                <w:sz w:val="19"/>
              </w:rPr>
              <w:t>是乳腺癌臨床一線關鍵致癌基因</w:t>
            </w:r>
            <w:r>
              <w:rPr>
                <w:color w:val="1E293B"/>
                <w:sz w:val="19"/>
              </w:rPr>
              <w:t xml:space="preserve"> (Oncogene)</w:t>
            </w:r>
            <w:r>
              <w:rPr>
                <w:color w:val="1E293B"/>
                <w:sz w:val="19"/>
              </w:rPr>
              <w:t>，約</w:t>
            </w:r>
            <w:r>
              <w:rPr>
                <w:color w:val="1E293B"/>
                <w:sz w:val="19"/>
              </w:rPr>
              <w:t xml:space="preserve"> 15-20% </w:t>
            </w:r>
            <w:r>
              <w:rPr>
                <w:color w:val="1E293B"/>
                <w:sz w:val="19"/>
              </w:rPr>
              <w:t>乳癌會發生基因擴增而高度表現，適用曲妥珠單抗</w:t>
            </w:r>
            <w:r>
              <w:rPr>
                <w:color w:val="1E293B"/>
                <w:sz w:val="19"/>
              </w:rPr>
              <w:t xml:space="preserve"> (Trastuzumab) </w:t>
            </w:r>
            <w:r>
              <w:rPr>
                <w:color w:val="1E293B"/>
                <w:sz w:val="19"/>
              </w:rPr>
              <w:t>標靶治療；而肺腺癌主要致癌突變為</w:t>
            </w:r>
            <w:r>
              <w:rPr>
                <w:color w:val="1E293B"/>
                <w:sz w:val="19"/>
              </w:rPr>
              <w:t xml:space="preserve"> EGFR </w:t>
            </w:r>
            <w:r>
              <w:rPr>
                <w:color w:val="1E293B"/>
                <w:sz w:val="19"/>
              </w:rPr>
              <w:t>與</w:t>
            </w:r>
            <w:r>
              <w:rPr>
                <w:color w:val="1E293B"/>
                <w:sz w:val="19"/>
              </w:rPr>
              <w:t xml:space="preserve"> KRAS</w:t>
            </w:r>
            <w:r>
              <w:rPr>
                <w:color w:val="1E293B"/>
                <w:sz w:val="19"/>
              </w:rPr>
              <w:t>，</w:t>
            </w:r>
            <w:r>
              <w:rPr>
                <w:color w:val="1E293B"/>
                <w:sz w:val="19"/>
              </w:rPr>
              <w:t xml:space="preserve">HER2 </w:t>
            </w:r>
            <w:r>
              <w:rPr>
                <w:color w:val="1E293B"/>
                <w:sz w:val="19"/>
              </w:rPr>
              <w:t>過度表現非常罕見，數據精準反映了此病理分型特點。</w:t>
            </w:r>
          </w:p>
        </w:tc>
      </w:tr>
    </w:tbl>
    <w:p w:rsidR="00206AF8" w:rsidRDefault="00206AF8"/>
    <w:p w:rsidR="00206AF8" w:rsidRDefault="0084028E">
      <w:pPr>
        <w:keepNext/>
        <w:spacing w:before="320" w:after="120"/>
      </w:pPr>
      <w:r>
        <w:rPr>
          <w:b/>
          <w:color w:val="1E3A8A"/>
          <w:sz w:val="32"/>
        </w:rPr>
        <w:t>五、統計分析方法論總結</w:t>
      </w:r>
      <w:r>
        <w:rPr>
          <w:b/>
          <w:color w:val="1E3A8A"/>
          <w:sz w:val="32"/>
        </w:rPr>
        <w:t xml:space="preserve"> (Statistical Methodology)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06AF8">
        <w:trPr>
          <w:jc w:val="center"/>
        </w:trPr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檢定方法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適用資料型態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對應母數統計方法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本專案應用範例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206AF8" w:rsidRDefault="0084028E">
            <w:pPr>
              <w:jc w:val="center"/>
            </w:pPr>
            <w:r>
              <w:rPr>
                <w:b/>
                <w:color w:val="FFFFFF"/>
                <w:sz w:val="19"/>
              </w:rPr>
              <w:t>選用無母數之核心優勢</w:t>
            </w:r>
          </w:p>
        </w:tc>
      </w:tr>
      <w:tr w:rsidR="00206AF8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Kruskal-Wallis </w:t>
            </w:r>
            <w:r>
              <w:rPr>
                <w:color w:val="1E293B"/>
                <w:sz w:val="19"/>
              </w:rPr>
              <w:t>檢定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≥ 3 </w:t>
            </w:r>
            <w:r>
              <w:rPr>
                <w:color w:val="1E293B"/>
                <w:sz w:val="19"/>
              </w:rPr>
              <w:t>組獨立連續或等級變數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單因子變異數分析</w:t>
            </w:r>
            <w:r>
              <w:rPr>
                <w:color w:val="1E293B"/>
                <w:sz w:val="19"/>
              </w:rPr>
              <w:t xml:space="preserve"> (ANOVA)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血型與身高、四大運動聯盟年薪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對小樣本、偏態分配及極端離群值具極佳強韌性。</w:t>
            </w:r>
          </w:p>
        </w:tc>
      </w:tr>
      <w:tr w:rsidR="00206AF8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Mann-Whitney U </w:t>
            </w:r>
            <w:r>
              <w:rPr>
                <w:color w:val="1E293B"/>
                <w:sz w:val="19"/>
              </w:rPr>
              <w:t>檢定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2 </w:t>
            </w:r>
            <w:r>
              <w:rPr>
                <w:color w:val="1E293B"/>
                <w:sz w:val="19"/>
              </w:rPr>
              <w:t>組獨立連續或等級變數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獨立樣本雙尾</w:t>
            </w:r>
            <w:r>
              <w:rPr>
                <w:color w:val="1E293B"/>
                <w:sz w:val="19"/>
              </w:rPr>
              <w:t xml:space="preserve"> t </w:t>
            </w:r>
            <w:r>
              <w:rPr>
                <w:color w:val="1E293B"/>
                <w:sz w:val="19"/>
              </w:rPr>
              <w:t>檢定</w:t>
            </w:r>
            <w:r>
              <w:rPr>
                <w:color w:val="1E293B"/>
                <w:sz w:val="19"/>
              </w:rPr>
              <w:t xml:space="preserve"> (t-test)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乳腺癌</w:t>
            </w:r>
            <w:r>
              <w:rPr>
                <w:color w:val="1E293B"/>
                <w:sz w:val="19"/>
              </w:rPr>
              <w:t xml:space="preserve"> vs </w:t>
            </w:r>
            <w:r>
              <w:rPr>
                <w:color w:val="1E293B"/>
                <w:sz w:val="19"/>
              </w:rPr>
              <w:t>肺腺癌</w:t>
            </w:r>
            <w:r>
              <w:rPr>
                <w:color w:val="1E293B"/>
                <w:sz w:val="19"/>
              </w:rPr>
              <w:t xml:space="preserve"> HER2 </w:t>
            </w:r>
            <w:r>
              <w:rPr>
                <w:color w:val="1E293B"/>
                <w:sz w:val="19"/>
              </w:rPr>
              <w:t>表現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以秩和為基礎，不依賴常態分佈與等分散性假設。</w:t>
            </w:r>
          </w:p>
        </w:tc>
      </w:tr>
      <w:tr w:rsidR="00206AF8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lastRenderedPageBreak/>
              <w:t xml:space="preserve">Dunn's </w:t>
            </w:r>
            <w:r>
              <w:rPr>
                <w:color w:val="1E293B"/>
                <w:sz w:val="19"/>
              </w:rPr>
              <w:t>事後檢定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KW </w:t>
            </w:r>
            <w:r>
              <w:rPr>
                <w:color w:val="1E293B"/>
                <w:sz w:val="19"/>
              </w:rPr>
              <w:t>檢定顯著後之成對檢定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 xml:space="preserve">Tukey HSD / Scheffé </w:t>
            </w:r>
            <w:r>
              <w:rPr>
                <w:color w:val="1E293B"/>
                <w:sz w:val="19"/>
              </w:rPr>
              <w:t>檢定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四大運動聯盟成對年薪差異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06AF8" w:rsidRDefault="0084028E">
            <w:r>
              <w:rPr>
                <w:color w:val="1E293B"/>
                <w:sz w:val="19"/>
              </w:rPr>
              <w:t>以總秩次標準差進行</w:t>
            </w:r>
            <w:r>
              <w:rPr>
                <w:color w:val="1E293B"/>
                <w:sz w:val="19"/>
              </w:rPr>
              <w:t xml:space="preserve"> Z </w:t>
            </w:r>
            <w:r>
              <w:rPr>
                <w:color w:val="1E293B"/>
                <w:sz w:val="19"/>
              </w:rPr>
              <w:t>檢定，搭配</w:t>
            </w:r>
            <w:r>
              <w:rPr>
                <w:color w:val="1E293B"/>
                <w:sz w:val="19"/>
              </w:rPr>
              <w:t xml:space="preserve"> Bonferroni </w:t>
            </w:r>
            <w:r>
              <w:rPr>
                <w:color w:val="1E293B"/>
                <w:sz w:val="19"/>
              </w:rPr>
              <w:t>校正控制型一誤差。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  <w:t xml:space="preserve">NPar </w:t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28"/>
          <w:szCs w:val="28"/>
          <w:lang w:eastAsia="zh-TW"/>
        </w:rPr>
        <w:t>檢定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3211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註解</w:t>
      </w:r>
    </w:p>
    <w:p w:rsidR="002E4E4D" w:rsidRPr="002E4E4D" w:rsidRDefault="002E4E4D" w:rsidP="002E4E4D">
      <w:pPr>
        <w:widowControl w:val="0"/>
        <w:tabs>
          <w:tab w:val="center" w:pos="3211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468"/>
        <w:gridCol w:w="1469"/>
        <w:gridCol w:w="3240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937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建立的輸出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15-OCT-2026 15:25:44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937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說明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c>
          <w:tcPr>
            <w:tcW w:w="14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輸入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過濾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加權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分割檔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目前啟用的資料檔中之橫列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N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17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4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遺漏值處理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遺漏的定義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使用者定義的遺漏值被視為遺漏。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已使用觀察值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-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個檢定的統計量都是以該檢定所用變數中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具有效資料的所有觀察值為基礎。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2937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語法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NPAR TESTS  /M-W= HER2_level   BY group(1 2)  /MISSING ANALYSIS.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14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資源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經過的時間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0:00:00.01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允許的觀察值個數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(a)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74898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 xml:space="preserve">a  </w:t>
      </w:r>
      <w:r w:rsidRPr="002E4E4D">
        <w:rPr>
          <w:rFonts w:ascii="新細明體" w:eastAsia="新細明體" w:hAnsi="Times New Roman" w:cs="新細明體" w:hint="eastAsia"/>
          <w:color w:val="000000"/>
          <w:sz w:val="18"/>
          <w:szCs w:val="18"/>
          <w:lang w:eastAsia="zh-TW"/>
        </w:rPr>
        <w:t>根據記憶體空間的可用度。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  <w:t xml:space="preserve">Mann-Whitney </w:t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28"/>
          <w:szCs w:val="28"/>
          <w:lang w:eastAsia="zh-TW"/>
        </w:rPr>
        <w:t>檢定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273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等級</w:t>
      </w:r>
    </w:p>
    <w:p w:rsidR="002E4E4D" w:rsidRPr="002E4E4D" w:rsidRDefault="002E4E4D" w:rsidP="002E4E4D">
      <w:pPr>
        <w:widowControl w:val="0"/>
        <w:tabs>
          <w:tab w:val="center" w:pos="273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950"/>
        <w:gridCol w:w="950"/>
        <w:gridCol w:w="1080"/>
        <w:gridCol w:w="1180"/>
        <w:gridCol w:w="1080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group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個數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等級平均數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等級總和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5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HER2_level</w:t>
            </w:r>
          </w:p>
        </w:tc>
        <w:tc>
          <w:tcPr>
            <w:tcW w:w="950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13.38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107.00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50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9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5.11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46.00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5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9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總和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17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172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檢定統計量</w:t>
      </w: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>(b)</w:t>
      </w:r>
    </w:p>
    <w:p w:rsidR="002E4E4D" w:rsidRPr="002E4E4D" w:rsidRDefault="002E4E4D" w:rsidP="002E4E4D">
      <w:pPr>
        <w:widowControl w:val="0"/>
        <w:tabs>
          <w:tab w:val="center" w:pos="172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2059"/>
        <w:gridCol w:w="1123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0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HER2_level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59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Mann-Whitney U 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統計量</w:t>
            </w:r>
          </w:p>
        </w:tc>
        <w:tc>
          <w:tcPr>
            <w:tcW w:w="1123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1.000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5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Wilcoxon W 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統計量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46.000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5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lastRenderedPageBreak/>
              <w:t xml:space="preserve">Z 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檢定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-3.372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05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漸近顯著性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(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雙尾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.001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05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精確顯著性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[2*(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單尾顯著性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)]</w:t>
            </w:r>
          </w:p>
        </w:tc>
        <w:tc>
          <w:tcPr>
            <w:tcW w:w="112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.000(a)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 xml:space="preserve">a  </w:t>
      </w:r>
      <w:r w:rsidRPr="002E4E4D">
        <w:rPr>
          <w:rFonts w:ascii="新細明體" w:eastAsia="新細明體" w:hAnsi="Times New Roman" w:cs="新細明體" w:hint="eastAsia"/>
          <w:color w:val="000000"/>
          <w:sz w:val="18"/>
          <w:szCs w:val="18"/>
          <w:lang w:eastAsia="zh-TW"/>
        </w:rPr>
        <w:t>未對等值結做修正。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 xml:space="preserve">b  </w:t>
      </w:r>
      <w:r w:rsidRPr="002E4E4D">
        <w:rPr>
          <w:rFonts w:ascii="新細明體" w:eastAsia="新細明體" w:hAnsi="Times New Roman" w:cs="新細明體" w:hint="eastAsia"/>
          <w:color w:val="000000"/>
          <w:sz w:val="18"/>
          <w:szCs w:val="18"/>
          <w:lang w:eastAsia="zh-TW"/>
        </w:rPr>
        <w:t>分組變數：</w:t>
      </w: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>group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</w:pP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>&gt;Warning.  Command name: GET DATA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</w:pP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&gt;(2103) 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變數名稱</w:t>
      </w: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 (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截斷成</w:t>
      </w: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 64 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位元組</w:t>
      </w: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) 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與</w:t>
      </w: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 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之前定義的變數衝突。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</w:pP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&gt;* 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變數名稱編號：</w:t>
      </w: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 "profession"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</w:pP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&gt;* 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衝突直行編號：</w:t>
      </w: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 2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</w:pP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&gt;* </w:t>
      </w:r>
      <w:r w:rsidRPr="002E4E4D">
        <w:rPr>
          <w:rFonts w:ascii="細明體" w:eastAsia="細明體" w:hAnsi="Times New Roman" w:cs="細明體" w:hint="eastAsia"/>
          <w:color w:val="000000"/>
          <w:sz w:val="20"/>
          <w:szCs w:val="20"/>
          <w:lang w:eastAsia="zh-TW"/>
        </w:rPr>
        <w:t>重複直行編號：</w:t>
      </w:r>
      <w:r w:rsidRPr="002E4E4D"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  <w:t xml:space="preserve"> 3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細明體" w:eastAsia="細明體" w:hAnsi="Times New Roman" w:cs="細明體"/>
          <w:color w:val="000000"/>
          <w:sz w:val="20"/>
          <w:szCs w:val="20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  <w:t xml:space="preserve">NPar </w:t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28"/>
          <w:szCs w:val="28"/>
          <w:lang w:eastAsia="zh-TW"/>
        </w:rPr>
        <w:t>檢定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3211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註解</w:t>
      </w:r>
    </w:p>
    <w:p w:rsidR="002E4E4D" w:rsidRPr="002E4E4D" w:rsidRDefault="002E4E4D" w:rsidP="002E4E4D">
      <w:pPr>
        <w:widowControl w:val="0"/>
        <w:tabs>
          <w:tab w:val="center" w:pos="3211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468"/>
        <w:gridCol w:w="1469"/>
        <w:gridCol w:w="3240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937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建立的輸出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15-OCT-2026 15:44:52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937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說明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c>
          <w:tcPr>
            <w:tcW w:w="14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輸入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過濾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加權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分割檔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目前啟用的資料檔中之橫列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N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40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4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遺漏值處理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遺漏的定義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使用者定義的遺漏值被視為遺漏。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已使用觀察值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-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個檢定的統計量都是以該檢定所用變數中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具有效資料的所有觀察值為基礎。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2937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語法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NPAR TESTS  /K-W=SalaryAnnual   BY profession_A(1 4)  /MISSING ANALYSIS.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849"/>
        </w:trPr>
        <w:tc>
          <w:tcPr>
            <w:tcW w:w="14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資源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經過的時間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0:00:00.00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允許的觀察值個數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(a)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74898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 xml:space="preserve">a  </w:t>
      </w:r>
      <w:r w:rsidRPr="002E4E4D">
        <w:rPr>
          <w:rFonts w:ascii="新細明體" w:eastAsia="新細明體" w:hAnsi="Times New Roman" w:cs="新細明體" w:hint="eastAsia"/>
          <w:color w:val="000000"/>
          <w:sz w:val="18"/>
          <w:szCs w:val="18"/>
          <w:lang w:eastAsia="zh-TW"/>
        </w:rPr>
        <w:t>根據記憶體空間的可用度。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  <w:t xml:space="preserve">Kruskal-Wallis </w:t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28"/>
          <w:szCs w:val="28"/>
          <w:lang w:eastAsia="zh-TW"/>
        </w:rPr>
        <w:t>檢定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247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等級</w:t>
      </w:r>
    </w:p>
    <w:p w:rsidR="002E4E4D" w:rsidRPr="002E4E4D" w:rsidRDefault="002E4E4D" w:rsidP="002E4E4D">
      <w:pPr>
        <w:widowControl w:val="0"/>
        <w:tabs>
          <w:tab w:val="center" w:pos="247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238"/>
        <w:gridCol w:w="1238"/>
        <w:gridCol w:w="1080"/>
        <w:gridCol w:w="1180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2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profession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個數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等級平均數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Salary (Annual)</w:t>
            </w:r>
          </w:p>
        </w:tc>
        <w:tc>
          <w:tcPr>
            <w:tcW w:w="1238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24.20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20.05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lastRenderedPageBreak/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32.25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5.50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總和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40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142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檢定統計量</w:t>
      </w: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>(a,b)</w:t>
      </w:r>
    </w:p>
    <w:p w:rsidR="002E4E4D" w:rsidRPr="002E4E4D" w:rsidRDefault="002E4E4D" w:rsidP="002E4E4D">
      <w:pPr>
        <w:widowControl w:val="0"/>
        <w:tabs>
          <w:tab w:val="center" w:pos="142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195"/>
        <w:gridCol w:w="1396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1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3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Salary (Annual)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9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卡方</w:t>
            </w:r>
          </w:p>
        </w:tc>
        <w:tc>
          <w:tcPr>
            <w:tcW w:w="1396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27.611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95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自由度</w:t>
            </w:r>
          </w:p>
        </w:tc>
        <w:tc>
          <w:tcPr>
            <w:tcW w:w="139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3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9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漸近顯著性</w:t>
            </w:r>
          </w:p>
        </w:tc>
        <w:tc>
          <w:tcPr>
            <w:tcW w:w="139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.000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 xml:space="preserve">a  Kruskal Wallis </w:t>
      </w:r>
      <w:r w:rsidRPr="002E4E4D">
        <w:rPr>
          <w:rFonts w:ascii="新細明體" w:eastAsia="新細明體" w:hAnsi="Times New Roman" w:cs="新細明體" w:hint="eastAsia"/>
          <w:color w:val="000000"/>
          <w:sz w:val="18"/>
          <w:szCs w:val="18"/>
          <w:lang w:eastAsia="zh-TW"/>
        </w:rPr>
        <w:t>檢定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 xml:space="preserve">b  </w:t>
      </w:r>
      <w:r w:rsidRPr="002E4E4D">
        <w:rPr>
          <w:rFonts w:ascii="新細明體" w:eastAsia="新細明體" w:hAnsi="Times New Roman" w:cs="新細明體" w:hint="eastAsia"/>
          <w:color w:val="000000"/>
          <w:sz w:val="18"/>
          <w:szCs w:val="18"/>
          <w:lang w:eastAsia="zh-TW"/>
        </w:rPr>
        <w:t>分組變數：</w:t>
      </w:r>
      <w:r w:rsidRPr="002E4E4D"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  <w:t>profession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28"/>
          <w:szCs w:val="28"/>
          <w:lang w:eastAsia="zh-TW"/>
        </w:rPr>
        <w:t>探測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309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註解</w:t>
      </w:r>
    </w:p>
    <w:p w:rsidR="002E4E4D" w:rsidRPr="002E4E4D" w:rsidRDefault="002E4E4D" w:rsidP="002E4E4D">
      <w:pPr>
        <w:widowControl w:val="0"/>
        <w:tabs>
          <w:tab w:val="center" w:pos="309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3240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36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建立的輸出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15-OCT-2026 15:45:16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36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說明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c>
          <w:tcPr>
            <w:tcW w:w="13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輸入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過濾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加權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分割檔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&lt;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無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&gt;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目前啟用的資料檔中之橫列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N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40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3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遺漏值的處理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遺漏值的定義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使用者界定的依變數遺漏值會被視為遺漏值。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使用的觀察值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統計量是以所使用的依變數或因子</w:t>
            </w: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不包含遺漏值的觀察值為準。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2736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語法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EXAMINE  VARIABLES=SalaryAnnual BY profession /PLOT=BOXPLOT/STATISTICS=NONE/NOTOTAL.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1036"/>
        </w:trPr>
        <w:tc>
          <w:tcPr>
            <w:tcW w:w="13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資源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經過的時間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0:00:00.01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  <w:t>profession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</w:p>
    <w:p w:rsidR="002E4E4D" w:rsidRPr="002E4E4D" w:rsidRDefault="002E4E4D" w:rsidP="002E4E4D">
      <w:pPr>
        <w:widowControl w:val="0"/>
        <w:tabs>
          <w:tab w:val="center" w:pos="4593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  <w:tab/>
      </w:r>
      <w:r w:rsidRPr="002E4E4D">
        <w:rPr>
          <w:rFonts w:ascii="新細明體" w:eastAsia="新細明體" w:hAnsi="Times New Roman" w:cs="新細明體" w:hint="eastAsia"/>
          <w:b/>
          <w:bCs/>
          <w:color w:val="000000"/>
          <w:sz w:val="18"/>
          <w:szCs w:val="18"/>
          <w:lang w:eastAsia="zh-TW"/>
        </w:rPr>
        <w:t>觀察值處理摘要</w:t>
      </w:r>
    </w:p>
    <w:p w:rsidR="002E4E4D" w:rsidRPr="002E4E4D" w:rsidRDefault="002E4E4D" w:rsidP="002E4E4D">
      <w:pPr>
        <w:widowControl w:val="0"/>
        <w:tabs>
          <w:tab w:val="center" w:pos="4593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18"/>
          <w:szCs w:val="18"/>
          <w:lang w:eastAsia="zh-TW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238"/>
        <w:gridCol w:w="1238"/>
        <w:gridCol w:w="1080"/>
        <w:gridCol w:w="1080"/>
        <w:gridCol w:w="1080"/>
        <w:gridCol w:w="1080"/>
        <w:gridCol w:w="1080"/>
        <w:gridCol w:w="1080"/>
      </w:tblGrid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23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profession</w:t>
            </w:r>
          </w:p>
        </w:tc>
        <w:tc>
          <w:tcPr>
            <w:tcW w:w="648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觀察值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23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有效的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遺漏值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總和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23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個數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百分比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個數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百分比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個數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 w:hint="eastAsia"/>
                <w:color w:val="000000"/>
                <w:sz w:val="18"/>
                <w:szCs w:val="18"/>
                <w:lang w:eastAsia="zh-TW"/>
              </w:rPr>
              <w:t>百分比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lastRenderedPageBreak/>
              <w:t>Salary (Annual)</w:t>
            </w:r>
          </w:p>
        </w:tc>
        <w:tc>
          <w:tcPr>
            <w:tcW w:w="1238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MLB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.0%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NBA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NFL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</w:tr>
      <w:tr w:rsidR="002E4E4D" w:rsidRPr="002E4E4D" w:rsidTr="00A947D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3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WNBA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2E4E4D" w:rsidRPr="002E4E4D" w:rsidRDefault="002E4E4D" w:rsidP="002E4E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</w:pPr>
            <w:r w:rsidRPr="002E4E4D">
              <w:rPr>
                <w:rFonts w:ascii="新細明體" w:eastAsia="新細明體" w:hAnsi="Times New Roman" w:cs="新細明體"/>
                <w:color w:val="000000"/>
                <w:sz w:val="18"/>
                <w:szCs w:val="18"/>
                <w:lang w:eastAsia="zh-TW"/>
              </w:rPr>
              <w:t>100.0%</w:t>
            </w:r>
          </w:p>
        </w:tc>
      </w:tr>
    </w:tbl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sz w:val="18"/>
          <w:szCs w:val="18"/>
          <w:lang w:eastAsia="zh-TW"/>
        </w:rPr>
      </w:pP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  <w:t>Salary (Annual)</w:t>
      </w:r>
    </w:p>
    <w:p w:rsidR="002E4E4D" w:rsidRPr="002E4E4D" w:rsidRDefault="002E4E4D" w:rsidP="002E4E4D">
      <w:pPr>
        <w:widowControl w:val="0"/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sz w:val="28"/>
          <w:szCs w:val="28"/>
          <w:lang w:eastAsia="zh-TW"/>
        </w:rPr>
      </w:pPr>
      <w:r w:rsidRPr="002E4E4D">
        <w:rPr>
          <w:rFonts w:ascii="新細明體" w:eastAsia="新細明體" w:hAnsi="Times New Roman" w:cs="新細明體"/>
          <w:b/>
          <w:bCs/>
          <w:noProof/>
          <w:color w:val="000000"/>
          <w:sz w:val="28"/>
          <w:szCs w:val="28"/>
          <w:lang w:eastAsia="zh-TW"/>
        </w:rPr>
        <w:drawing>
          <wp:inline distT="0" distB="0" distL="0" distR="0" wp14:anchorId="4C2BE702" wp14:editId="4B4A0A99">
            <wp:extent cx="4762500" cy="47625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8E" w:rsidRDefault="0084028E">
      <w:bookmarkStart w:id="0" w:name="_GoBack"/>
      <w:bookmarkEnd w:id="0"/>
    </w:p>
    <w:sectPr w:rsidR="0084028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AF8"/>
    <w:rsid w:val="0029639D"/>
    <w:rsid w:val="002E4E4D"/>
    <w:rsid w:val="00326F90"/>
    <w:rsid w:val="008402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EA8C02-8D76-0041-B65E-73398B3D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ingFang TC" w:hAnsi="PingFang TC"/>
      <w:color w:val="334155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444FF8-9559-B642-9118-5E5A706C5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2026-10-15T08:27:00Z</dcterms:modified>
  <cp:category/>
</cp:coreProperties>
</file>