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Symbion Consulting Group Studios (Mayanja Davis)</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[FILL — temple and ancillary buildings, gross floor area, storeys]</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w:t>
            </w:r>
          </w:p>
        </w:tc>
        <w:tc>
          <w:tcPr>
            <w:tcW w:type="dxa" w:w="3515"/>
          </w:tcPr>
          <w:p>
            <w:pPr>
              <w:spacing w:after="40"/>
            </w:pPr>
            <w:r>
              <w:rPr>
                <w:sz w:val="17"/>
              </w:rPr>
            </w:r>
            <w:r>
              <w:rPr>
                <w:b w:val="0"/>
                <w:sz w:val="17"/>
              </w:rPr>
              <w:t>Bill of quantities produced from the model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to 06 per Section 1.3; 00 site-wide; ZZ all volumes</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GF, 01 upward, RF,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 TR, BQ</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Role code and asset discipline code</w:t>
      </w:r>
    </w:p>
    <w:p>
      <w:r>
        <w:rPr>
          <w:b w:val="0"/>
          <w:i w:val="0"/>
        </w:rPr>
        <w:t>The role field in a container name and the discipline field in an asset identifier are distinct. Container role codes may include Z for federated and multi-discipline containers. Asset discipline codes are limited to the eight discipline codes and are validated on every element.</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KUT-…-SH-A-0100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action, negotiation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 administration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M44 to M47</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M48 to M49</w:t>
            </w:r>
          </w:p>
        </w:tc>
      </w:tr>
    </w:tbl>
    <w:p>
      <w:pPr>
        <w:spacing w:after="40"/>
      </w:pPr>
    </w:p>
    <w:p>
      <w:r>
        <w:rPr>
          <w:b w:val="0"/>
          <w:i w:val="0"/>
        </w:rPr>
        <w:t>Months are counted from the appointment and run in sequence: 11 months for Phase 2 and 38 for Phase 3, 49 in total. Calendar dates are fixed against the appointment date once it is confirmed.</w:t>
      </w: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Specialty equipment only</w:t>
            </w:r>
          </w:p>
        </w:tc>
        <w:tc>
          <w:tcPr>
            <w:tcW w:type="dxa" w:w="2041"/>
          </w:tcPr>
          <w:p>
            <w:pPr>
              <w:spacing w:after="40"/>
            </w:pPr>
            <w:r>
              <w:rPr>
                <w:sz w:val="16"/>
              </w:rPr>
            </w:r>
            <w:r>
              <w:rPr>
                <w:b w:val="0"/>
                <w:sz w:val="16"/>
              </w:rPr>
              <w:t>Lighting fixtures and plumbing fixtures only</w:t>
            </w:r>
          </w:p>
        </w:tc>
        <w:tc>
          <w:tcPr>
            <w:tcW w:type="dxa" w:w="1247"/>
          </w:tcPr>
          <w:p>
            <w:pPr>
              <w:spacing w:after="40"/>
            </w:pPr>
            <w:r>
              <w:rPr>
                <w:sz w:val="16"/>
              </w:rPr>
            </w:r>
            <w:r>
              <w:rPr>
                <w:b w:val="0"/>
                <w:sz w:val="16"/>
              </w:rPr>
              <w:t>Casework only</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18a</w:t>
            </w:r>
          </w:p>
        </w:tc>
        <w:tc>
          <w:tcPr>
            <w:tcW w:type="dxa" w:w="3742"/>
          </w:tcPr>
          <w:p>
            <w:pPr>
              <w:spacing w:after="40"/>
            </w:pPr>
            <w:r>
              <w:rPr>
                <w:sz w:val="16"/>
              </w:rPr>
            </w:r>
            <w:r>
              <w:rPr>
                <w:b w:val="0"/>
                <w:sz w:val="16"/>
              </w:rPr>
              <w:t>FF&amp;E catalogue scope confirmed — which categories are procured and specified through the FF&amp;E database</w:t>
            </w:r>
          </w:p>
        </w:tc>
        <w:tc>
          <w:tcPr>
            <w:tcW w:type="dxa" w:w="1928"/>
          </w:tcPr>
          <w:p>
            <w:pPr>
              <w:spacing w:after="40"/>
            </w:pPr>
            <w:r>
              <w:rPr>
                <w:sz w:val="16"/>
              </w:rPr>
            </w:r>
            <w:r>
              <w:rPr>
                <w:b w:val="0"/>
                <w:sz w:val="16"/>
              </w:rPr>
              <w:t>Section 14.2</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CONFIRM AT THE KICKOFF</w:t>
            </w:r>
          </w:p>
          <w:p>
            <w:r>
              <w:rPr>
                <w:b w:val="0"/>
                <w:sz w:val="19"/>
              </w:rPr>
              <w:t>Item 18a affects what is required at handover. The project position is that six categories carry an FF&amp;E reference: furniture, furniture systems, casework, lighting fixtures, plumbing fixtures and specialty equipment. That is the set the FF&amp;E export covers, so it is the set the close-out check enforces. If the Appointing Party procures only loose furniture through the catalogue, the other four categories come out of scope and the requirement narrows accordingly. Settling this at the kickoff costs nothing; settling it at Deliverable D means either an unenforceable requirement or a retrospective data-capture exercise.</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 Generated by tools/build_bep.py; do not hand-edit - regenerate. parts-sha256:add37f3297e040b2a474be4a013e9ffba523758a9c58b24060d2d806b74c957e inputs-sha256:fdd7862efd053c8e5502df3ac8a8dbd0c27252935ac4be8e97a5fb0ca5c07c99</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