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before="0"/>
        <w:jc w:val="center"/>
      </w:pPr>
      <w:r>
        <w:rPr>
          <w:rFonts w:ascii="Arial" w:hAnsi="Arial"/>
          <w:b/>
          <w:i w:val="0"/>
          <w:color w:val="016EA7"/>
          <w:sz w:val="48"/>
        </w:rPr>
        <w:t>PLANSCAPE</w:t>
      </w:r>
    </w:p>
    <w:p>
      <w:pPr>
        <w:spacing w:after="40" w:before="0"/>
        <w:jc w:val="center"/>
      </w:pPr>
      <w:r>
        <w:rPr>
          <w:rFonts w:ascii="Arial" w:hAnsi="Arial"/>
          <w:b w:val="0"/>
          <w:i w:val="0"/>
          <w:color w:val="595959"/>
          <w:sz w:val="24"/>
        </w:rPr>
        <w:t>Consulting Engineers Ltd</w:t>
      </w:r>
    </w:p>
    <w:p>
      <w:pPr>
        <w:spacing w:after="480" w:before="0"/>
        <w:jc w:val="center"/>
      </w:pPr>
      <w:r>
        <w:rPr>
          <w:rFonts w:ascii="Arial" w:hAnsi="Arial"/>
          <w:b w:val="0"/>
          <w:i w:val="0"/>
          <w:color w:val="595959"/>
          <w:sz w:val="19"/>
        </w:rPr>
        <w:t>BIM Modeling  ·  MEP Coordination  ·  ISO 19650 Information Management</w:t>
      </w:r>
    </w:p>
    <w:p>
      <w:pPr>
        <w:jc w:val="center"/>
        <w:pBdr>
          <w:bottom w:val="single" w:sz="12" w:space="2" w:color="016EA7"/>
        </w:pBdr>
      </w:pPr>
    </w:p>
    <w:p>
      <w:pPr>
        <w:spacing w:after="0" w:before="200"/>
        <w:jc w:val="center"/>
      </w:pPr>
      <w:r>
        <w:rPr>
          <w:rFonts w:ascii="Arial" w:hAnsi="Arial"/>
          <w:b/>
          <w:i w:val="0"/>
          <w:color w:val="0F3A5F"/>
          <w:sz w:val="44"/>
        </w:rPr>
        <w:t>Proposal for BIM Adoption &amp;</w:t>
      </w:r>
    </w:p>
    <w:p>
      <w:pPr>
        <w:spacing w:after="120" w:before="0"/>
        <w:jc w:val="center"/>
      </w:pPr>
      <w:r>
        <w:rPr>
          <w:rFonts w:ascii="Arial" w:hAnsi="Arial"/>
          <w:b/>
          <w:i w:val="0"/>
          <w:color w:val="0F3A5F"/>
          <w:sz w:val="44"/>
        </w:rPr>
        <w:t>MEP Coordination Services</w:t>
      </w:r>
    </w:p>
    <w:p>
      <w:pPr>
        <w:spacing w:after="400" w:before="0"/>
        <w:jc w:val="center"/>
      </w:pPr>
      <w:r>
        <w:rPr>
          <w:rFonts w:ascii="Arial" w:hAnsi="Arial"/>
          <w:b w:val="0"/>
          <w:i/>
          <w:color w:val="595959"/>
          <w:sz w:val="22"/>
        </w:rPr>
        <w:t>Two routes to a full Building Information Modeling capability — and what each one costs</w:t>
      </w:r>
    </w:p>
    <w:p>
      <w:pPr>
        <w:jc w:val="center"/>
        <w:pBdr>
          <w:bottom w:val="single" w:sz="6" w:space="2" w:color="CCCCCC"/>
        </w:pBdr>
      </w:pPr>
    </w:p>
    <w:p>
      <w:pPr>
        <w:spacing w:after="40"/>
        <w:jc w:val="center"/>
      </w:pPr>
      <w:r>
        <w:rPr>
          <w:rFonts w:ascii="Arial" w:hAnsi="Arial"/>
          <w:b/>
          <w:i w:val="0"/>
          <w:color w:val="016EA7"/>
          <w:sz w:val="20"/>
        </w:rPr>
        <w:t xml:space="preserve">Prepared for:  </w:t>
      </w:r>
      <w:r>
        <w:rPr>
          <w:rFonts w:ascii="Arial" w:hAnsi="Arial"/>
          <w:b w:val="0"/>
          <w:i w:val="0"/>
          <w:color w:val="222222"/>
          <w:sz w:val="20"/>
        </w:rPr>
        <w:t>[Client Company Name] — Board of Directors</w:t>
      </w:r>
    </w:p>
    <w:p>
      <w:pPr>
        <w:spacing w:after="40"/>
        <w:jc w:val="center"/>
      </w:pPr>
      <w:r>
        <w:rPr>
          <w:rFonts w:ascii="Arial" w:hAnsi="Arial"/>
          <w:b/>
          <w:i w:val="0"/>
          <w:color w:val="016EA7"/>
          <w:sz w:val="20"/>
        </w:rPr>
        <w:t xml:space="preserve">Prepared by:  </w:t>
      </w:r>
      <w:r>
        <w:rPr>
          <w:rFonts w:ascii="Arial" w:hAnsi="Arial"/>
          <w:b w:val="0"/>
          <w:i w:val="0"/>
          <w:color w:val="222222"/>
          <w:sz w:val="20"/>
        </w:rPr>
        <w:t>Davis Mayanja — BIM Manager / Information Manager, Planscape Consulting Engineers Ltd</w:t>
      </w:r>
    </w:p>
    <w:p>
      <w:pPr>
        <w:spacing w:after="40"/>
        <w:jc w:val="center"/>
      </w:pPr>
      <w:r>
        <w:rPr>
          <w:rFonts w:ascii="Arial" w:hAnsi="Arial"/>
          <w:b/>
          <w:i w:val="0"/>
          <w:color w:val="016EA7"/>
          <w:sz w:val="20"/>
        </w:rPr>
        <w:t xml:space="preserve">Date:  </w:t>
      </w:r>
      <w:r>
        <w:rPr>
          <w:rFonts w:ascii="Arial" w:hAnsi="Arial"/>
          <w:b w:val="0"/>
          <w:i w:val="0"/>
          <w:color w:val="222222"/>
          <w:sz w:val="20"/>
        </w:rPr>
        <w:t>13 July 2026</w:t>
      </w:r>
    </w:p>
    <w:p>
      <w:pPr>
        <w:spacing w:after="40"/>
        <w:jc w:val="center"/>
      </w:pPr>
      <w:r>
        <w:rPr>
          <w:rFonts w:ascii="Arial" w:hAnsi="Arial"/>
          <w:b/>
          <w:i w:val="0"/>
          <w:color w:val="016EA7"/>
          <w:sz w:val="20"/>
        </w:rPr>
        <w:t xml:space="preserve">Reference:  </w:t>
      </w:r>
      <w:r>
        <w:rPr>
          <w:rFonts w:ascii="Arial" w:hAnsi="Arial"/>
          <w:b w:val="0"/>
          <w:i w:val="0"/>
          <w:color w:val="222222"/>
          <w:sz w:val="20"/>
        </w:rPr>
        <w:t>PLNS-PROP-BIM-001</w:t>
      </w:r>
    </w:p>
    <w:p>
      <w:pPr>
        <w:spacing w:after="40"/>
        <w:jc w:val="center"/>
      </w:pPr>
      <w:r>
        <w:rPr>
          <w:rFonts w:ascii="Arial" w:hAnsi="Arial"/>
          <w:b/>
          <w:i w:val="0"/>
          <w:color w:val="016EA7"/>
          <w:sz w:val="20"/>
        </w:rPr>
        <w:t xml:space="preserve">Status:  </w:t>
      </w:r>
      <w:r>
        <w:rPr>
          <w:rFonts w:ascii="Arial" w:hAnsi="Arial"/>
          <w:b w:val="0"/>
          <w:i w:val="0"/>
          <w:color w:val="222222"/>
          <w:sz w:val="20"/>
        </w:rPr>
        <w:t>Confidential — issued under NDA</w:t>
      </w:r>
    </w:p>
    <w:p>
      <w:pPr>
        <w:spacing w:after="40"/>
        <w:jc w:val="center"/>
      </w:pPr>
      <w:r>
        <w:rPr>
          <w:rFonts w:ascii="Arial" w:hAnsi="Arial"/>
          <w:b/>
          <w:i w:val="0"/>
          <w:color w:val="016EA7"/>
          <w:sz w:val="20"/>
        </w:rPr>
        <w:t xml:space="preserve">Validity:  </w:t>
      </w:r>
      <w:r>
        <w:rPr>
          <w:rFonts w:ascii="Arial" w:hAnsi="Arial"/>
          <w:b w:val="0"/>
          <w:i w:val="0"/>
          <w:color w:val="222222"/>
          <w:sz w:val="20"/>
        </w:rPr>
        <w:t>Figures valid for 60 days from date of issue</w:t>
      </w:r>
    </w:p>
    <w:p>
      <w:r>
        <w:br w:type="page"/>
      </w:r>
    </w:p>
    <w:p>
      <w:pPr>
        <w:spacing w:before="320" w:after="80"/>
        <w:pBdr>
          <w:bottom w:val="single" w:sz="8" w:space="2" w:color="016EA7"/>
        </w:pBdr>
      </w:pPr>
      <w:r>
        <w:rPr>
          <w:rFonts w:ascii="Arial" w:hAnsi="Arial"/>
          <w:b/>
          <w:i w:val="0"/>
          <w:color w:val="016EA7"/>
          <w:sz w:val="30"/>
        </w:rPr>
        <w:t>Contents</w:t>
      </w:r>
    </w:p>
    <w:p>
      <w:pPr>
        <w:spacing w:after="60" w:before="0"/>
      </w:pPr>
      <w:r>
        <w:rPr>
          <w:rFonts w:ascii="Arial" w:hAnsi="Arial"/>
          <w:b w:val="0"/>
          <w:i w:val="0"/>
          <w:color w:val="222222"/>
          <w:sz w:val="21"/>
        </w:rPr>
        <w:t>1.  Executive summary</w:t>
      </w:r>
    </w:p>
    <w:p>
      <w:pPr>
        <w:spacing w:after="60" w:before="0"/>
      </w:pPr>
      <w:r>
        <w:rPr>
          <w:rFonts w:ascii="Arial" w:hAnsi="Arial"/>
          <w:b w:val="0"/>
          <w:i w:val="0"/>
          <w:color w:val="222222"/>
          <w:sz w:val="21"/>
        </w:rPr>
        <w:t>2.  What is BIM — in plain terms</w:t>
      </w:r>
    </w:p>
    <w:p>
      <w:pPr>
        <w:spacing w:after="60" w:before="0"/>
      </w:pPr>
      <w:r>
        <w:rPr>
          <w:rFonts w:ascii="Arial" w:hAnsi="Arial"/>
          <w:b w:val="0"/>
          <w:i w:val="0"/>
          <w:color w:val="222222"/>
          <w:sz w:val="21"/>
        </w:rPr>
        <w:t>3.  Why BIM matters to your business</w:t>
      </w:r>
    </w:p>
    <w:p>
      <w:pPr>
        <w:spacing w:after="60" w:before="0"/>
      </w:pPr>
      <w:r>
        <w:rPr>
          <w:rFonts w:ascii="Arial" w:hAnsi="Arial"/>
          <w:b w:val="0"/>
          <w:i w:val="0"/>
          <w:color w:val="222222"/>
          <w:sz w:val="21"/>
        </w:rPr>
        <w:t>4.  Two routes to a BIM capability</w:t>
      </w:r>
    </w:p>
    <w:p>
      <w:pPr>
        <w:spacing w:after="60" w:before="0"/>
      </w:pPr>
      <w:r>
        <w:rPr>
          <w:rFonts w:ascii="Arial" w:hAnsi="Arial"/>
          <w:b w:val="0"/>
          <w:i w:val="0"/>
          <w:color w:val="222222"/>
          <w:sz w:val="21"/>
        </w:rPr>
        <w:t>5.  What makes Planscape different — the StingTools engine</w:t>
      </w:r>
    </w:p>
    <w:p>
      <w:pPr>
        <w:spacing w:after="60" w:before="0"/>
      </w:pPr>
      <w:r>
        <w:rPr>
          <w:rFonts w:ascii="Arial" w:hAnsi="Arial"/>
          <w:b w:val="0"/>
          <w:i w:val="0"/>
          <w:color w:val="222222"/>
          <w:sz w:val="21"/>
        </w:rPr>
        <w:t>6.  Financial proposal</w:t>
      </w:r>
    </w:p>
    <w:p>
      <w:pPr>
        <w:spacing w:after="60" w:before="0"/>
      </w:pPr>
      <w:r>
        <w:rPr>
          <w:rFonts w:ascii="Arial" w:hAnsi="Arial"/>
          <w:b w:val="0"/>
          <w:i w:val="0"/>
          <w:color w:val="222222"/>
          <w:sz w:val="21"/>
        </w:rPr>
        <w:t>7.  Make vs. buy — the breakeven</w:t>
      </w:r>
    </w:p>
    <w:p>
      <w:pPr>
        <w:spacing w:after="60" w:before="0"/>
      </w:pPr>
      <w:r>
        <w:rPr>
          <w:rFonts w:ascii="Arial" w:hAnsi="Arial"/>
          <w:b w:val="0"/>
          <w:i w:val="0"/>
          <w:color w:val="222222"/>
          <w:sz w:val="21"/>
        </w:rPr>
        <w:t>8.  Our recommendation &amp; the pilot</w:t>
      </w:r>
    </w:p>
    <w:p>
      <w:pPr>
        <w:spacing w:after="60" w:before="0"/>
      </w:pPr>
      <w:r>
        <w:rPr>
          <w:rFonts w:ascii="Arial" w:hAnsi="Arial"/>
          <w:b w:val="0"/>
          <w:i w:val="0"/>
          <w:color w:val="222222"/>
          <w:sz w:val="21"/>
        </w:rPr>
        <w:t>9.  How we work — terms</w:t>
      </w:r>
    </w:p>
    <w:p>
      <w:pPr>
        <w:spacing w:after="60" w:before="0"/>
      </w:pPr>
      <w:r>
        <w:rPr>
          <w:rFonts w:ascii="Arial" w:hAnsi="Arial"/>
          <w:b w:val="0"/>
          <w:i w:val="0"/>
          <w:color w:val="222222"/>
          <w:sz w:val="21"/>
        </w:rPr>
        <w:t>10. Next steps &amp; acceptance</w:t>
      </w:r>
    </w:p>
    <w:p>
      <w:pPr>
        <w:spacing w:after="60" w:before="0"/>
      </w:pPr>
      <w:r>
        <w:rPr>
          <w:rFonts w:ascii="Arial" w:hAnsi="Arial"/>
          <w:b w:val="0"/>
          <w:i w:val="0"/>
          <w:color w:val="222222"/>
          <w:sz w:val="21"/>
        </w:rPr>
        <w:t>Appendix A — Glossary of BIM terms</w:t>
      </w:r>
    </w:p>
    <w:p>
      <w:r>
        <w:br w:type="page"/>
      </w:r>
    </w:p>
    <w:p>
      <w:pPr>
        <w:spacing w:before="320" w:after="80"/>
        <w:pBdr>
          <w:bottom w:val="single" w:sz="8" w:space="2" w:color="016EA7"/>
        </w:pBdr>
      </w:pPr>
      <w:r>
        <w:rPr>
          <w:rFonts w:ascii="Arial" w:hAnsi="Arial"/>
          <w:b/>
          <w:i w:val="0"/>
          <w:color w:val="016EA7"/>
          <w:sz w:val="30"/>
        </w:rPr>
        <w:t>1.   Executive summary</w:t>
      </w:r>
    </w:p>
    <w:p>
      <w:pPr>
        <w:spacing w:after="120" w:before="0"/>
      </w:pPr>
      <w:r>
        <w:rPr>
          <w:rFonts w:ascii="Arial" w:hAnsi="Arial"/>
          <w:b w:val="0"/>
          <w:i w:val="0"/>
          <w:color w:val="222222"/>
          <w:sz w:val="21"/>
        </w:rPr>
        <w:t>Your firm wins and delivers MEP engineering. Increasingly, the clients, consultants and tenders you compete for are asking for the design to be delivered as a BIM model — a coordinated, data-rich 3D model — not just 2D drawings. This proposal sets out, in plain language, what BIM is, why it now affects your ability to win work, and the two practical ways you can obtain a BIM capability.</w:t>
      </w:r>
    </w:p>
    <w:p>
      <w:pPr>
        <w:spacing w:before="180" w:after="60"/>
      </w:pPr>
      <w:r>
        <w:rPr>
          <w:rFonts w:ascii="Arial" w:hAnsi="Arial"/>
          <w:b/>
          <w:i w:val="0"/>
          <w:color w:val="0F3A5F"/>
          <w:sz w:val="23"/>
        </w:rPr>
        <w:t>The two routes</w:t>
      </w:r>
    </w:p>
    <w:p>
      <w:pPr>
        <w:pStyle w:val="ListBullet"/>
        <w:spacing w:after="60"/>
      </w:pPr>
      <w:r>
        <w:rPr>
          <w:rFonts w:ascii="Arial" w:hAnsi="Arial"/>
          <w:b/>
          <w:i w:val="0"/>
          <w:color w:val="222222"/>
          <w:sz w:val="21"/>
        </w:rPr>
        <w:t xml:space="preserve">Route A — Build your own BIM department: </w:t>
      </w:r>
      <w:r>
        <w:rPr>
          <w:rFonts w:ascii="Arial" w:hAnsi="Arial"/>
          <w:b w:val="0"/>
          <w:i w:val="0"/>
          <w:color w:val="222222"/>
          <w:sz w:val="21"/>
        </w:rPr>
        <w:t>hire modelers and a coordinator, buy the software and workstations, set up the standards, and train the team. You own the capability outright, but you carry a fixed annual cost whether the work is there or not, and it takes 3–6 months to reach reliable output.</w:t>
      </w:r>
    </w:p>
    <w:p>
      <w:pPr>
        <w:pStyle w:val="ListBullet"/>
        <w:spacing w:after="60"/>
      </w:pPr>
      <w:r>
        <w:rPr>
          <w:rFonts w:ascii="Arial" w:hAnsi="Arial"/>
          <w:b/>
          <w:i w:val="0"/>
          <w:color w:val="222222"/>
          <w:sz w:val="21"/>
        </w:rPr>
        <w:t xml:space="preserve">Route B — Outsource BIM to Planscape: </w:t>
      </w:r>
      <w:r>
        <w:rPr>
          <w:rFonts w:ascii="Arial" w:hAnsi="Arial"/>
          <w:b w:val="0"/>
          <w:i w:val="0"/>
          <w:color w:val="222222"/>
          <w:sz w:val="21"/>
        </w:rPr>
        <w:t>you keep winning the engineering; we act as your BIM engine room on a per-project basis. You gain a full BIM arm immediately, with zero fixed cost and nothing to manage — you pay only for the models you need.</w:t>
      </w:r>
    </w:p>
    <w:p>
      <w:pPr>
        <w:spacing w:before="180" w:after="60"/>
      </w:pPr>
      <w:r>
        <w:rPr>
          <w:rFonts w:ascii="Arial" w:hAnsi="Arial"/>
          <w:b/>
          <w:i w:val="0"/>
          <w:color w:val="0F3A5F"/>
          <w:sz w:val="23"/>
        </w:rPr>
        <w:t>Our recommendation</w:t>
      </w:r>
    </w:p>
    <w:p>
      <w:pPr>
        <w:spacing w:after="120" w:before="0"/>
      </w:pPr>
      <w:r>
        <w:rPr>
          <w:rFonts w:ascii="Arial" w:hAnsi="Arial"/>
          <w:b w:val="0"/>
          <w:i w:val="0"/>
          <w:color w:val="222222"/>
          <w:sz w:val="21"/>
        </w:rPr>
        <w:t>Start with Route B and scale into Route A only if and when your BIM volume is proven and steady. This gives you a live BIM capability now — so you stop turning BIM work away — at no fixed risk, while you learn what your true annual volume is. If that volume later justifies an in-house team, Planscape will help you build it: set up your standards, and train your staff. Either way, you move forward this quarter, not next year.</w:t>
      </w:r>
    </w:p>
    <w:p>
      <w:pPr>
        <w:spacing w:after="120" w:before="0"/>
      </w:pPr>
      <w:r>
        <w:rPr>
          <w:rFonts w:ascii="Arial" w:hAnsi="Arial"/>
          <w:b w:val="0"/>
          <w:i/>
          <w:color w:val="595959"/>
          <w:sz w:val="21"/>
        </w:rPr>
        <w:t>Section 6 gives the numbers for both routes; Section 7 shows exactly where building in-house becomes cheaper than outsourcing (roughly 5,000–6,000 m² of steady modeling per year), and why starting outsourced is the lower-risk path to get there.</w:t>
      </w:r>
    </w:p>
    <w:p>
      <w:pPr>
        <w:spacing w:before="320" w:after="80"/>
        <w:pBdr>
          <w:bottom w:val="single" w:sz="8" w:space="2" w:color="016EA7"/>
        </w:pBdr>
      </w:pPr>
      <w:r>
        <w:rPr>
          <w:rFonts w:ascii="Arial" w:hAnsi="Arial"/>
          <w:b/>
          <w:i w:val="0"/>
          <w:color w:val="016EA7"/>
          <w:sz w:val="30"/>
        </w:rPr>
        <w:t>2.   What is BIM — in plain terms</w:t>
      </w:r>
    </w:p>
    <w:p>
      <w:pPr>
        <w:spacing w:after="120" w:before="0"/>
      </w:pPr>
      <w:r>
        <w:rPr>
          <w:rFonts w:ascii="Arial" w:hAnsi="Arial"/>
          <w:b w:val="0"/>
          <w:i w:val="0"/>
          <w:color w:val="222222"/>
          <w:sz w:val="21"/>
        </w:rPr>
        <w:t>BIM stands for Building Information Modeling. Set aside the jargon — here is what it actually is:</w:t>
      </w:r>
    </w:p>
    <w:p>
      <w:pPr>
        <w:spacing w:before="180" w:after="60"/>
      </w:pPr>
      <w:r>
        <w:rPr>
          <w:rFonts w:ascii="Arial" w:hAnsi="Arial"/>
          <w:b/>
          <w:i w:val="0"/>
          <w:color w:val="0F3A5F"/>
          <w:sz w:val="23"/>
        </w:rPr>
        <w:t>A drawing is a picture. A BIM model is a picture that is also a database.</w:t>
      </w:r>
    </w:p>
    <w:p>
      <w:pPr>
        <w:spacing w:after="120" w:before="0"/>
      </w:pPr>
      <w:r>
        <w:rPr>
          <w:rFonts w:ascii="Arial" w:hAnsi="Arial"/>
          <w:b w:val="0"/>
          <w:i w:val="0"/>
          <w:color w:val="222222"/>
          <w:sz w:val="21"/>
        </w:rPr>
        <w:t>In traditional CAD, a line on a drawing is just a line. In BIM, when we place a duct, a cable tray or a pipe, the software knows it is a duct — its size, its system, its material, its cost, the level it sits on, and how it connects to everything else. Every element carries information. The 3D model and the drawings, schedules and quantities all come from the same single source, so they can never disagree with each other.</w:t>
      </w:r>
    </w:p>
    <w:p>
      <w:pPr>
        <w:spacing w:before="180" w:after="60"/>
      </w:pPr>
      <w:r>
        <w:rPr>
          <w:rFonts w:ascii="Arial" w:hAnsi="Arial"/>
          <w:b/>
          <w:i w:val="0"/>
          <w:color w:val="0F3A5F"/>
          <w:sz w:val="23"/>
        </w:rPr>
        <w:t>Why that changes the job</w:t>
      </w:r>
    </w:p>
    <w:p>
      <w:pPr>
        <w:pStyle w:val="ListBullet"/>
        <w:spacing w:after="60"/>
      </w:pPr>
      <w:r>
        <w:rPr>
          <w:rFonts w:ascii="Arial" w:hAnsi="Arial"/>
          <w:b/>
          <w:i w:val="0"/>
          <w:color w:val="222222"/>
          <w:sz w:val="21"/>
        </w:rPr>
        <w:t xml:space="preserve">You see the clashes before you build. </w:t>
      </w:r>
      <w:r>
        <w:rPr>
          <w:rFonts w:ascii="Arial" w:hAnsi="Arial"/>
          <w:b w:val="0"/>
          <w:i w:val="0"/>
          <w:color w:val="222222"/>
          <w:sz w:val="21"/>
        </w:rPr>
        <w:t>Because every discipline sits in one coordinated (“federated”) 3D model, the software finds where a duct runs through a beam, or a pipe crosses a cable tray, in the office — not on site where it costs money and time to fix.</w:t>
      </w:r>
    </w:p>
    <w:p>
      <w:pPr>
        <w:pStyle w:val="ListBullet"/>
        <w:spacing w:after="60"/>
      </w:pPr>
      <w:r>
        <w:rPr>
          <w:rFonts w:ascii="Arial" w:hAnsi="Arial"/>
          <w:b/>
          <w:i w:val="0"/>
          <w:color w:val="222222"/>
          <w:sz w:val="21"/>
        </w:rPr>
        <w:t xml:space="preserve">Quantities come out for free. </w:t>
      </w:r>
      <w:r>
        <w:rPr>
          <w:rFonts w:ascii="Arial" w:hAnsi="Arial"/>
          <w:b w:val="0"/>
          <w:i w:val="0"/>
          <w:color w:val="222222"/>
          <w:sz w:val="21"/>
        </w:rPr>
        <w:t>Because the model knows what every element is, it produces the bill of quantities automatically — no manual take-off.</w:t>
      </w:r>
    </w:p>
    <w:p>
      <w:pPr>
        <w:pStyle w:val="ListBullet"/>
        <w:spacing w:after="60"/>
      </w:pPr>
      <w:r>
        <w:rPr>
          <w:rFonts w:ascii="Arial" w:hAnsi="Arial"/>
          <w:b/>
          <w:i w:val="0"/>
          <w:color w:val="222222"/>
          <w:sz w:val="21"/>
        </w:rPr>
        <w:t xml:space="preserve">One change updates everything. </w:t>
      </w:r>
      <w:r>
        <w:rPr>
          <w:rFonts w:ascii="Arial" w:hAnsi="Arial"/>
          <w:b w:val="0"/>
          <w:i w:val="0"/>
          <w:color w:val="222222"/>
          <w:sz w:val="21"/>
        </w:rPr>
        <w:t>Move a plant room, and the plans, sections, schedules and quantities all update together.</w:t>
      </w:r>
    </w:p>
    <w:p>
      <w:pPr>
        <w:pStyle w:val="ListBullet"/>
        <w:spacing w:after="60"/>
      </w:pPr>
      <w:r>
        <w:rPr>
          <w:rFonts w:ascii="Arial" w:hAnsi="Arial"/>
          <w:b/>
          <w:i w:val="0"/>
          <w:color w:val="222222"/>
          <w:sz w:val="21"/>
        </w:rPr>
        <w:t xml:space="preserve">It is auditable. </w:t>
      </w:r>
      <w:r>
        <w:rPr>
          <w:rFonts w:ascii="Arial" w:hAnsi="Arial"/>
          <w:b w:val="0"/>
          <w:i w:val="0"/>
          <w:color w:val="222222"/>
          <w:sz w:val="21"/>
        </w:rPr>
        <w:t>Under the international standard ISO 19650, every element is named and tagged to a strict convention, so the client can see exactly what has been delivered and to what level of detail.</w:t>
      </w:r>
    </w:p>
    <w:p>
      <w:pPr>
        <w:spacing w:after="120" w:before="0"/>
      </w:pPr>
      <w:r>
        <w:rPr>
          <w:rFonts w:ascii="Arial" w:hAnsi="Arial"/>
          <w:b w:val="0"/>
          <w:i/>
          <w:color w:val="222222"/>
          <w:sz w:val="21"/>
        </w:rPr>
        <w:t>In short: BIM turns your MEP design into a coordinated, checkable, data-rich deliverable — which is exactly what modern clients and main contractors are now demanding.</w:t>
      </w:r>
    </w:p>
    <w:p>
      <w:pPr>
        <w:spacing w:before="320" w:after="80"/>
        <w:pBdr>
          <w:bottom w:val="single" w:sz="8" w:space="2" w:color="016EA7"/>
        </w:pBdr>
      </w:pPr>
      <w:r>
        <w:rPr>
          <w:rFonts w:ascii="Arial" w:hAnsi="Arial"/>
          <w:b/>
          <w:i w:val="0"/>
          <w:color w:val="016EA7"/>
          <w:sz w:val="30"/>
        </w:rPr>
        <w:t>3.   Why BIM matters to your business</w:t>
      </w:r>
    </w:p>
    <w:p>
      <w:pPr>
        <w:spacing w:before="180" w:after="60"/>
      </w:pPr>
      <w:r>
        <w:rPr>
          <w:rFonts w:ascii="Arial" w:hAnsi="Arial"/>
          <w:b/>
          <w:i w:val="0"/>
          <w:color w:val="0F3A5F"/>
          <w:sz w:val="23"/>
        </w:rPr>
        <w:t>The upside — what you gain</w:t>
      </w:r>
    </w:p>
    <w:p>
      <w:pPr>
        <w:pStyle w:val="ListBullet"/>
        <w:spacing w:after="60"/>
      </w:pPr>
      <w:r>
        <w:rPr>
          <w:rFonts w:ascii="Arial" w:hAnsi="Arial"/>
          <w:b/>
          <w:i w:val="0"/>
          <w:color w:val="222222"/>
          <w:sz w:val="21"/>
        </w:rPr>
        <w:t xml:space="preserve">Win the work you currently can’t bid. </w:t>
      </w:r>
      <w:r>
        <w:rPr>
          <w:rFonts w:ascii="Arial" w:hAnsi="Arial"/>
          <w:b w:val="0"/>
          <w:i w:val="0"/>
          <w:color w:val="222222"/>
          <w:sz w:val="21"/>
        </w:rPr>
        <w:t>A growing share of serious tenders — institutional, healthcare, commercial, donor-funded — now require BIM deliverables and ISO 19650 compliance. Without a BIM capability, you are simply not eligible.</w:t>
      </w:r>
    </w:p>
    <w:p>
      <w:pPr>
        <w:pStyle w:val="ListBullet"/>
        <w:spacing w:after="60"/>
      </w:pPr>
      <w:r>
        <w:rPr>
          <w:rFonts w:ascii="Arial" w:hAnsi="Arial"/>
          <w:b/>
          <w:i w:val="0"/>
          <w:color w:val="222222"/>
          <w:sz w:val="21"/>
        </w:rPr>
        <w:t xml:space="preserve">Fewer costly surprises on site. </w:t>
      </w:r>
      <w:r>
        <w:rPr>
          <w:rFonts w:ascii="Arial" w:hAnsi="Arial"/>
          <w:b w:val="0"/>
          <w:i w:val="0"/>
          <w:color w:val="222222"/>
          <w:sz w:val="21"/>
        </w:rPr>
        <w:t>Clashes and coordination errors are resolved in the model, cutting rework, variations and RFIs during construction.</w:t>
      </w:r>
    </w:p>
    <w:p>
      <w:pPr>
        <w:pStyle w:val="ListBullet"/>
        <w:spacing w:after="60"/>
      </w:pPr>
      <w:r>
        <w:rPr>
          <w:rFonts w:ascii="Arial" w:hAnsi="Arial"/>
          <w:b/>
          <w:i w:val="0"/>
          <w:color w:val="222222"/>
          <w:sz w:val="21"/>
        </w:rPr>
        <w:t xml:space="preserve">Faster, cheaper documentation. </w:t>
      </w:r>
      <w:r>
        <w:rPr>
          <w:rFonts w:ascii="Arial" w:hAnsi="Arial"/>
          <w:b w:val="0"/>
          <w:i w:val="0"/>
          <w:color w:val="222222"/>
          <w:sz w:val="21"/>
        </w:rPr>
        <w:t>Schedules, panel schedules, single-line diagrams and quantities are produced from the model instead of drawn by hand.</w:t>
      </w:r>
    </w:p>
    <w:p>
      <w:pPr>
        <w:pStyle w:val="ListBullet"/>
        <w:spacing w:after="60"/>
      </w:pPr>
      <w:r>
        <w:rPr>
          <w:rFonts w:ascii="Arial" w:hAnsi="Arial"/>
          <w:b/>
          <w:i w:val="0"/>
          <w:color w:val="222222"/>
          <w:sz w:val="21"/>
        </w:rPr>
        <w:t xml:space="preserve">A more competitive tender. </w:t>
      </w:r>
      <w:r>
        <w:rPr>
          <w:rFonts w:ascii="Arial" w:hAnsi="Arial"/>
          <w:b w:val="0"/>
          <w:i w:val="0"/>
          <w:color w:val="222222"/>
          <w:sz w:val="21"/>
        </w:rPr>
        <w:t>“BIM-enabled, ISO 19650-compliant, clash-coordinated” is a real differentiator against firms still delivering flat drawings.</w:t>
      </w:r>
    </w:p>
    <w:p>
      <w:pPr>
        <w:spacing w:before="180" w:after="60"/>
      </w:pPr>
      <w:r>
        <w:rPr>
          <w:rFonts w:ascii="Arial" w:hAnsi="Arial"/>
          <w:b/>
          <w:i w:val="0"/>
          <w:color w:val="0F3A5F"/>
          <w:sz w:val="23"/>
        </w:rPr>
        <w:t>The cost of doing nothing</w:t>
      </w:r>
    </w:p>
    <w:p>
      <w:pPr>
        <w:pStyle w:val="ListBullet"/>
        <w:spacing w:after="60"/>
      </w:pPr>
      <w:r>
        <w:rPr>
          <w:rFonts w:ascii="Arial" w:hAnsi="Arial"/>
          <w:b/>
          <w:i w:val="0"/>
          <w:color w:val="222222"/>
          <w:sz w:val="21"/>
        </w:rPr>
        <w:t xml:space="preserve">Turning work down. </w:t>
      </w:r>
      <w:r>
        <w:rPr>
          <w:rFonts w:ascii="Arial" w:hAnsi="Arial"/>
          <w:b w:val="0"/>
          <w:i w:val="0"/>
          <w:color w:val="222222"/>
          <w:sz w:val="21"/>
        </w:rPr>
        <w:t>Every BIM-required tender you cannot answer is revenue handed to a competitor.</w:t>
      </w:r>
    </w:p>
    <w:p>
      <w:pPr>
        <w:pStyle w:val="ListBullet"/>
        <w:spacing w:after="60"/>
      </w:pPr>
      <w:r>
        <w:rPr>
          <w:rFonts w:ascii="Arial" w:hAnsi="Arial"/>
          <w:b/>
          <w:i w:val="0"/>
          <w:color w:val="222222"/>
          <w:sz w:val="21"/>
        </w:rPr>
        <w:t xml:space="preserve">Losing ground. </w:t>
      </w:r>
      <w:r>
        <w:rPr>
          <w:rFonts w:ascii="Arial" w:hAnsi="Arial"/>
          <w:b w:val="0"/>
          <w:i w:val="0"/>
          <w:color w:val="222222"/>
          <w:sz w:val="21"/>
        </w:rPr>
        <w:t>The firms adopting BIM now will be the default choice for BIM projects in 2–3 years.</w:t>
      </w:r>
    </w:p>
    <w:p>
      <w:pPr>
        <w:pStyle w:val="ListBullet"/>
        <w:spacing w:after="60"/>
      </w:pPr>
      <w:r>
        <w:rPr>
          <w:rFonts w:ascii="Arial" w:hAnsi="Arial"/>
          <w:b/>
          <w:i w:val="0"/>
          <w:color w:val="222222"/>
          <w:sz w:val="21"/>
        </w:rPr>
        <w:t xml:space="preserve">Paying for errors twice. </w:t>
      </w:r>
      <w:r>
        <w:rPr>
          <w:rFonts w:ascii="Arial" w:hAnsi="Arial"/>
          <w:b w:val="0"/>
          <w:i w:val="0"/>
          <w:color w:val="222222"/>
          <w:sz w:val="21"/>
        </w:rPr>
        <w:t>Coordination clashes not caught in the office are paid for on site, at site rates.</w:t>
      </w:r>
    </w:p>
    <w:p>
      <w:pPr>
        <w:spacing w:before="320" w:after="80"/>
        <w:pBdr>
          <w:bottom w:val="single" w:sz="8" w:space="2" w:color="016EA7"/>
        </w:pBdr>
      </w:pPr>
      <w:r>
        <w:rPr>
          <w:rFonts w:ascii="Arial" w:hAnsi="Arial"/>
          <w:b/>
          <w:i w:val="0"/>
          <w:color w:val="016EA7"/>
          <w:sz w:val="30"/>
        </w:rPr>
        <w:t>4.   Two routes to a BIM capability</w:t>
      </w:r>
    </w:p>
    <w:p>
      <w:pPr>
        <w:spacing w:before="180" w:after="60"/>
      </w:pPr>
      <w:r>
        <w:rPr>
          <w:rFonts w:ascii="Arial" w:hAnsi="Arial"/>
          <w:b/>
          <w:i w:val="0"/>
          <w:color w:val="0F3A5F"/>
          <w:sz w:val="23"/>
        </w:rPr>
        <w:t>Route A — Build a BIM department in-house</w:t>
      </w:r>
    </w:p>
    <w:p>
      <w:pPr>
        <w:spacing w:after="120" w:before="0"/>
      </w:pPr>
      <w:r>
        <w:rPr>
          <w:rFonts w:ascii="Arial" w:hAnsi="Arial"/>
          <w:b w:val="0"/>
          <w:i w:val="0"/>
          <w:color w:val="222222"/>
          <w:sz w:val="21"/>
        </w:rPr>
        <w:t>You recruit a BIM coordinator and modelers, buy Autodesk software and capable workstations, establish your ISO 19650 standards and template library, and train the team to competence.</w:t>
      </w:r>
    </w:p>
    <w:p>
      <w:pPr>
        <w:spacing w:after="60" w:before="0"/>
      </w:pPr>
      <w:r>
        <w:rPr>
          <w:rFonts w:ascii="Arial" w:hAnsi="Arial"/>
          <w:b/>
          <w:i w:val="0"/>
          <w:color w:val="222222"/>
          <w:sz w:val="21"/>
        </w:rPr>
        <w:t>What it requires:</w:t>
      </w:r>
    </w:p>
    <w:p>
      <w:pPr>
        <w:pStyle w:val="ListBullet"/>
        <w:spacing w:after="60"/>
      </w:pPr>
      <w:r>
        <w:rPr>
          <w:rFonts w:ascii="Arial" w:hAnsi="Arial"/>
          <w:b/>
          <w:i w:val="0"/>
          <w:color w:val="222222"/>
          <w:sz w:val="21"/>
        </w:rPr>
        <w:t xml:space="preserve">People: </w:t>
      </w:r>
      <w:r>
        <w:rPr>
          <w:rFonts w:ascii="Arial" w:hAnsi="Arial"/>
          <w:b w:val="0"/>
          <w:i w:val="0"/>
          <w:color w:val="222222"/>
          <w:sz w:val="21"/>
        </w:rPr>
        <w:t>at minimum a BIM Coordinator plus two modelers to form a viable, cover-for-each-other team.</w:t>
      </w:r>
    </w:p>
    <w:p>
      <w:pPr>
        <w:pStyle w:val="ListBullet"/>
        <w:spacing w:after="60"/>
      </w:pPr>
      <w:r>
        <w:rPr>
          <w:rFonts w:ascii="Arial" w:hAnsi="Arial"/>
          <w:b/>
          <w:i w:val="0"/>
          <w:color w:val="222222"/>
          <w:sz w:val="21"/>
        </w:rPr>
        <w:t xml:space="preserve">Software: </w:t>
      </w:r>
      <w:r>
        <w:rPr>
          <w:rFonts w:ascii="Arial" w:hAnsi="Arial"/>
          <w:b w:val="0"/>
          <w:i w:val="0"/>
          <w:color w:val="222222"/>
          <w:sz w:val="21"/>
        </w:rPr>
        <w:t>Autodesk AEC Collection (Revit + Navisworks) per seat, renewed annually.</w:t>
      </w:r>
    </w:p>
    <w:p>
      <w:pPr>
        <w:pStyle w:val="ListBullet"/>
        <w:spacing w:after="60"/>
      </w:pPr>
      <w:r>
        <w:rPr>
          <w:rFonts w:ascii="Arial" w:hAnsi="Arial"/>
          <w:b/>
          <w:i w:val="0"/>
          <w:color w:val="222222"/>
          <w:sz w:val="21"/>
        </w:rPr>
        <w:t xml:space="preserve">Hardware: </w:t>
      </w:r>
      <w:r>
        <w:rPr>
          <w:rFonts w:ascii="Arial" w:hAnsi="Arial"/>
          <w:b w:val="0"/>
          <w:i w:val="0"/>
          <w:color w:val="222222"/>
          <w:sz w:val="21"/>
        </w:rPr>
        <w:t>workstations specified for BIM (Revit and clash detection are demanding).</w:t>
      </w:r>
    </w:p>
    <w:p>
      <w:pPr>
        <w:pStyle w:val="ListBullet"/>
        <w:spacing w:after="60"/>
      </w:pPr>
      <w:r>
        <w:rPr>
          <w:rFonts w:ascii="Arial" w:hAnsi="Arial"/>
          <w:b/>
          <w:i w:val="0"/>
          <w:color w:val="222222"/>
          <w:sz w:val="21"/>
        </w:rPr>
        <w:t xml:space="preserve">Standards &amp; content: </w:t>
      </w:r>
      <w:r>
        <w:rPr>
          <w:rFonts w:ascii="Arial" w:hAnsi="Arial"/>
          <w:b w:val="0"/>
          <w:i w:val="0"/>
          <w:color w:val="222222"/>
          <w:sz w:val="21"/>
        </w:rPr>
        <w:t>ISO 19650 naming, view templates, tag families, a BIM Execution Plan — the invisible groundwork that decides whether the models are actually usable.</w:t>
      </w:r>
    </w:p>
    <w:p>
      <w:pPr>
        <w:pStyle w:val="ListBullet"/>
        <w:spacing w:after="60"/>
      </w:pPr>
      <w:r>
        <w:rPr>
          <w:rFonts w:ascii="Arial" w:hAnsi="Arial"/>
          <w:b/>
          <w:i w:val="0"/>
          <w:color w:val="222222"/>
          <w:sz w:val="21"/>
        </w:rPr>
        <w:t xml:space="preserve">Time: </w:t>
      </w:r>
      <w:r>
        <w:rPr>
          <w:rFonts w:ascii="Arial" w:hAnsi="Arial"/>
          <w:b w:val="0"/>
          <w:i w:val="0"/>
          <w:color w:val="222222"/>
          <w:sz w:val="21"/>
        </w:rPr>
        <w:t>typically 3–6 months before output is reliable, and ongoing management thereafter.</w:t>
      </w:r>
    </w:p>
    <w:p>
      <w:pPr>
        <w:spacing w:after="120" w:before="0"/>
      </w:pPr>
      <w:r>
        <w:rPr>
          <w:rFonts w:ascii="Arial" w:hAnsi="Arial"/>
          <w:b w:val="0"/>
          <w:i/>
          <w:color w:val="595959"/>
          <w:sz w:val="21"/>
        </w:rPr>
        <w:t>Strengths: you own the capability and the staff sit inside your workflow. Weaknesses: it is a fixed annual cost regardless of workload, it carries recruitment and utilization risk, and it takes months — and correct standards — to reach productivity. This is where most first attempts at in-house BIM stall.</w:t>
      </w:r>
    </w:p>
    <w:p>
      <w:pPr>
        <w:spacing w:before="180" w:after="60"/>
      </w:pPr>
      <w:r>
        <w:rPr>
          <w:rFonts w:ascii="Arial" w:hAnsi="Arial"/>
          <w:b/>
          <w:i w:val="0"/>
          <w:color w:val="0F3A5F"/>
          <w:sz w:val="23"/>
        </w:rPr>
        <w:t>Route B — Outsource BIM to Planscape (per project)</w:t>
      </w:r>
    </w:p>
    <w:p>
      <w:pPr>
        <w:spacing w:after="120" w:before="0"/>
      </w:pPr>
      <w:r>
        <w:rPr>
          <w:rFonts w:ascii="Arial" w:hAnsi="Arial"/>
          <w:b w:val="0"/>
          <w:i w:val="0"/>
          <w:color w:val="222222"/>
          <w:sz w:val="21"/>
        </w:rPr>
        <w:t>You win the MEP design; you hand us the design intent; we act as your BIM engine room and hand back a coordinated, clash-free, ISO 19650-tagged model — on a per-project basis. You gain a full BIM capacity without building or carrying a team.</w:t>
      </w:r>
    </w:p>
    <w:p>
      <w:pPr>
        <w:spacing w:after="60" w:before="0"/>
      </w:pPr>
      <w:r>
        <w:rPr>
          <w:rFonts w:ascii="Arial" w:hAnsi="Arial"/>
          <w:b/>
          <w:i w:val="0"/>
          <w:color w:val="222222"/>
          <w:sz w:val="21"/>
        </w:rPr>
        <w:t>What you receive on every job:</w:t>
      </w:r>
    </w:p>
    <w:tbl>
      <w:tblPr>
        <w:tblStyle w:val="TableGrid"/>
        <w:tblW w:type="auto" w:w="0"/>
        <w:jc w:val="center"/>
        <w:tblLook w:firstColumn="1" w:firstRow="1" w:lastColumn="0" w:lastRow="0" w:noHBand="0" w:noVBand="1" w:val="04A0"/>
      </w:tblPr>
      <w:tblGrid>
        <w:gridCol w:w="4824"/>
        <w:gridCol w:w="4824"/>
      </w:tblGrid>
      <w:tr>
        <w:tc>
          <w:tcPr>
            <w:tcW w:type="dxa" w:w="2304"/>
            <w:shd w:val="clear" w:fill="016EA7"/>
          </w:tcPr>
          <w:p>
            <w:pPr>
              <w:spacing w:after="40"/>
            </w:pPr>
            <w:r>
              <w:rPr>
                <w:rFonts w:ascii="Arial" w:hAnsi="Arial"/>
                <w:b/>
                <w:color w:val="FFFFFF"/>
                <w:sz w:val="19"/>
              </w:rPr>
              <w:t>Deliverable</w:t>
            </w:r>
          </w:p>
        </w:tc>
        <w:tc>
          <w:tcPr>
            <w:tcW w:type="dxa" w:w="6768"/>
            <w:shd w:val="clear" w:fill="016EA7"/>
          </w:tcPr>
          <w:p>
            <w:pPr>
              <w:spacing w:after="40"/>
            </w:pPr>
            <w:r>
              <w:rPr>
                <w:rFonts w:ascii="Arial" w:hAnsi="Arial"/>
                <w:b/>
                <w:color w:val="FFFFFF"/>
                <w:sz w:val="19"/>
              </w:rPr>
              <w:t>What you get</w:t>
            </w:r>
          </w:p>
        </w:tc>
      </w:tr>
      <w:tr>
        <w:tc>
          <w:tcPr>
            <w:tcW w:type="dxa" w:w="2304"/>
          </w:tcPr>
          <w:p>
            <w:pPr>
              <w:spacing w:after="40"/>
            </w:pPr>
            <w:r>
              <w:rPr>
                <w:rFonts w:ascii="Arial" w:hAnsi="Arial"/>
                <w:color w:val="222222"/>
                <w:sz w:val="19"/>
              </w:rPr>
              <w:t>Federated model</w:t>
            </w:r>
          </w:p>
        </w:tc>
        <w:tc>
          <w:tcPr>
            <w:tcW w:type="dxa" w:w="6768"/>
          </w:tcPr>
          <w:p>
            <w:pPr>
              <w:spacing w:after="40"/>
            </w:pPr>
            <w:r>
              <w:rPr>
                <w:rFonts w:ascii="Arial" w:hAnsi="Arial"/>
                <w:color w:val="222222"/>
                <w:sz w:val="19"/>
              </w:rPr>
              <w:t>Coordinated Arch / Struct / MEP Revit model, built to the LOD you specify</w:t>
            </w:r>
          </w:p>
        </w:tc>
      </w:tr>
      <w:tr>
        <w:tc>
          <w:tcPr>
            <w:tcW w:type="dxa" w:w="2304"/>
          </w:tcPr>
          <w:p>
            <w:pPr>
              <w:spacing w:after="40"/>
            </w:pPr>
            <w:r>
              <w:rPr>
                <w:rFonts w:ascii="Arial" w:hAnsi="Arial"/>
                <w:color w:val="222222"/>
                <w:sz w:val="19"/>
              </w:rPr>
              <w:t>Clash &amp; coordination report</w:t>
            </w:r>
          </w:p>
        </w:tc>
        <w:tc>
          <w:tcPr>
            <w:tcW w:type="dxa" w:w="6768"/>
          </w:tcPr>
          <w:p>
            <w:pPr>
              <w:spacing w:after="40"/>
            </w:pPr>
            <w:r>
              <w:rPr>
                <w:rFonts w:ascii="Arial" w:hAnsi="Arial"/>
                <w:color w:val="222222"/>
                <w:sz w:val="19"/>
              </w:rPr>
              <w:t>Clashes grouped by discipline pair, exported as BCF + Excel for your team and contractors</w:t>
            </w:r>
          </w:p>
        </w:tc>
      </w:tr>
      <w:tr>
        <w:tc>
          <w:tcPr>
            <w:tcW w:type="dxa" w:w="2304"/>
          </w:tcPr>
          <w:p>
            <w:pPr>
              <w:spacing w:after="40"/>
            </w:pPr>
            <w:r>
              <w:rPr>
                <w:rFonts w:ascii="Arial" w:hAnsi="Arial"/>
                <w:color w:val="222222"/>
                <w:sz w:val="19"/>
              </w:rPr>
              <w:t>Issue tracking</w:t>
            </w:r>
          </w:p>
        </w:tc>
        <w:tc>
          <w:tcPr>
            <w:tcW w:type="dxa" w:w="6768"/>
          </w:tcPr>
          <w:p>
            <w:pPr>
              <w:spacing w:after="40"/>
            </w:pPr>
            <w:r>
              <w:rPr>
                <w:rFonts w:ascii="Arial" w:hAnsi="Arial"/>
                <w:color w:val="222222"/>
                <w:sz w:val="19"/>
              </w:rPr>
              <w:t>Tracked coordination issues with status — resolved in the office, not on site</w:t>
            </w:r>
          </w:p>
        </w:tc>
      </w:tr>
      <w:tr>
        <w:tc>
          <w:tcPr>
            <w:tcW w:type="dxa" w:w="2304"/>
          </w:tcPr>
          <w:p>
            <w:pPr>
              <w:spacing w:after="40"/>
            </w:pPr>
            <w:r>
              <w:rPr>
                <w:rFonts w:ascii="Arial" w:hAnsi="Arial"/>
                <w:color w:val="222222"/>
                <w:sz w:val="19"/>
              </w:rPr>
              <w:t>ISO 19650 tagged model</w:t>
            </w:r>
          </w:p>
        </w:tc>
        <w:tc>
          <w:tcPr>
            <w:tcW w:type="dxa" w:w="6768"/>
          </w:tcPr>
          <w:p>
            <w:pPr>
              <w:spacing w:after="40"/>
            </w:pPr>
            <w:r>
              <w:rPr>
                <w:rFonts w:ascii="Arial" w:hAnsi="Arial"/>
                <w:color w:val="222222"/>
                <w:sz w:val="19"/>
              </w:rPr>
              <w:t>Every element named to the 8-segment ISO 19650 convention — auditable, deliverable-ready</w:t>
            </w:r>
          </w:p>
        </w:tc>
      </w:tr>
      <w:tr>
        <w:tc>
          <w:tcPr>
            <w:tcW w:type="dxa" w:w="2304"/>
          </w:tcPr>
          <w:p>
            <w:pPr>
              <w:spacing w:after="40"/>
            </w:pPr>
            <w:r>
              <w:rPr>
                <w:rFonts w:ascii="Arial" w:hAnsi="Arial"/>
                <w:color w:val="222222"/>
                <w:sz w:val="19"/>
              </w:rPr>
              <w:t>Bill of quantities</w:t>
            </w:r>
          </w:p>
        </w:tc>
        <w:tc>
          <w:tcPr>
            <w:tcW w:type="dxa" w:w="6768"/>
          </w:tcPr>
          <w:p>
            <w:pPr>
              <w:spacing w:after="40"/>
            </w:pPr>
            <w:r>
              <w:rPr>
                <w:rFonts w:ascii="Arial" w:hAnsi="Arial"/>
                <w:color w:val="222222"/>
                <w:sz w:val="19"/>
              </w:rPr>
              <w:t>NRM2 / SMM7 BOQ generated from the model, with cost and carbon columns</w:t>
            </w:r>
          </w:p>
        </w:tc>
      </w:tr>
      <w:tr>
        <w:tc>
          <w:tcPr>
            <w:tcW w:type="dxa" w:w="2304"/>
          </w:tcPr>
          <w:p>
            <w:pPr>
              <w:spacing w:after="40"/>
            </w:pPr>
            <w:r>
              <w:rPr>
                <w:rFonts w:ascii="Arial" w:hAnsi="Arial"/>
                <w:color w:val="222222"/>
                <w:sz w:val="19"/>
              </w:rPr>
              <w:t>Drawings &amp; schedules</w:t>
            </w:r>
          </w:p>
        </w:tc>
        <w:tc>
          <w:tcPr>
            <w:tcW w:type="dxa" w:w="6768"/>
          </w:tcPr>
          <w:p>
            <w:pPr>
              <w:spacing w:after="40"/>
            </w:pPr>
            <w:r>
              <w:rPr>
                <w:rFonts w:ascii="Arial" w:hAnsi="Arial"/>
                <w:color w:val="222222"/>
                <w:sz w:val="19"/>
              </w:rPr>
              <w:t>Coordinated sheets, panel schedules and MEP schedules from the live model</w:t>
            </w:r>
          </w:p>
        </w:tc>
      </w:tr>
    </w:tbl>
    <w:p>
      <w:pPr>
        <w:spacing w:after="40"/>
      </w:pPr>
    </w:p>
    <w:p>
      <w:pPr>
        <w:spacing w:after="120" w:before="0"/>
      </w:pPr>
      <w:r>
        <w:rPr>
          <w:rFonts w:ascii="Arial" w:hAnsi="Arial"/>
          <w:b w:val="0"/>
          <w:i/>
          <w:color w:val="595959"/>
          <w:sz w:val="21"/>
        </w:rPr>
        <w:t>Strengths: zero fixed cost, immediate capacity, nothing to manage, and engineering-led output. Weakness: the capability lives with us, not inside your walls — which is why our recommendation (Section 8) includes a path to bring it in-house later if your volume justifies it.</w:t>
      </w:r>
    </w:p>
    <w:p>
      <w:pPr>
        <w:spacing w:before="320" w:after="80"/>
        <w:pBdr>
          <w:bottom w:val="single" w:sz="8" w:space="2" w:color="016EA7"/>
        </w:pBdr>
      </w:pPr>
      <w:r>
        <w:rPr>
          <w:rFonts w:ascii="Arial" w:hAnsi="Arial"/>
          <w:b/>
          <w:i w:val="0"/>
          <w:color w:val="016EA7"/>
          <w:sz w:val="30"/>
        </w:rPr>
        <w:t>5.   What makes Planscape different — the StingTools engine</w:t>
      </w:r>
    </w:p>
    <w:p>
      <w:pPr>
        <w:spacing w:after="120" w:before="0"/>
      </w:pPr>
      <w:r>
        <w:rPr>
          <w:rFonts w:ascii="Arial" w:hAnsi="Arial"/>
          <w:b w:val="0"/>
          <w:i w:val="0"/>
          <w:color w:val="222222"/>
          <w:sz w:val="21"/>
        </w:rPr>
        <w:t>Most BIM bureaus are drafting shops. We are engineers who have built our own software. StingTools is our proprietary Revit automation suite — the reason we deliver faster, at lower cost, and to engineering grade rather than just geometry. It is also why outsourcing to us gives you capability an in-house team would struggle to match: the automation is ours.</w:t>
      </w:r>
    </w:p>
    <w:p>
      <w:pPr>
        <w:spacing w:before="180" w:after="60"/>
      </w:pPr>
      <w:r>
        <w:rPr>
          <w:rFonts w:ascii="Arial" w:hAnsi="Arial"/>
          <w:b/>
          <w:i w:val="0"/>
          <w:color w:val="0F3A5F"/>
          <w:sz w:val="23"/>
        </w:rPr>
        <w:t>What StingTools does, in concrete terms</w:t>
      </w:r>
    </w:p>
    <w:p>
      <w:pPr>
        <w:pStyle w:val="ListBullet"/>
        <w:spacing w:after="60"/>
      </w:pPr>
      <w:r>
        <w:rPr>
          <w:rFonts w:ascii="Arial" w:hAnsi="Arial"/>
          <w:b/>
          <w:i w:val="0"/>
          <w:color w:val="222222"/>
          <w:sz w:val="21"/>
        </w:rPr>
        <w:t xml:space="preserve">Automatic ISO 19650 tagging. </w:t>
      </w:r>
      <w:r>
        <w:rPr>
          <w:rFonts w:ascii="Arial" w:hAnsi="Arial"/>
          <w:b w:val="0"/>
          <w:i w:val="0"/>
          <w:color w:val="222222"/>
          <w:sz w:val="21"/>
        </w:rPr>
        <w:t>Every element is named and tagged to the 8-segment convention (Discipline-Location-Zone-Level-System-Function-Product-Sequence) automatically — the auditable backbone clients require, without the manual labour.</w:t>
      </w:r>
    </w:p>
    <w:p>
      <w:pPr>
        <w:pStyle w:val="ListBullet"/>
        <w:spacing w:after="60"/>
      </w:pPr>
      <w:r>
        <w:rPr>
          <w:rFonts w:ascii="Arial" w:hAnsi="Arial"/>
          <w:b/>
          <w:i w:val="0"/>
          <w:color w:val="222222"/>
          <w:sz w:val="21"/>
        </w:rPr>
        <w:t xml:space="preserve">Clash detection &amp; coordination. </w:t>
      </w:r>
      <w:r>
        <w:rPr>
          <w:rFonts w:ascii="Arial" w:hAnsi="Arial"/>
          <w:b w:val="0"/>
          <w:i w:val="0"/>
          <w:color w:val="222222"/>
          <w:sz w:val="21"/>
        </w:rPr>
        <w:t>An in-house clash engine finds duct / pipe / tray / structure conflicts and exports them as BCF 2.1 and Excel, grouped by discipline pair, ready to issue.</w:t>
      </w:r>
    </w:p>
    <w:p>
      <w:pPr>
        <w:pStyle w:val="ListBullet"/>
        <w:spacing w:after="60"/>
      </w:pPr>
      <w:r>
        <w:rPr>
          <w:rFonts w:ascii="Arial" w:hAnsi="Arial"/>
          <w:b/>
          <w:i w:val="0"/>
          <w:color w:val="222222"/>
          <w:sz w:val="21"/>
        </w:rPr>
        <w:t xml:space="preserve">Quantities straight from the model. </w:t>
      </w:r>
      <w:r>
        <w:rPr>
          <w:rFonts w:ascii="Arial" w:hAnsi="Arial"/>
          <w:b w:val="0"/>
          <w:i w:val="0"/>
          <w:color w:val="222222"/>
          <w:sz w:val="21"/>
        </w:rPr>
        <w:t>NRM2 / SMM7 bills of quantities generated live from the model, with cost and carbon columns.</w:t>
      </w:r>
    </w:p>
    <w:p>
      <w:pPr>
        <w:pStyle w:val="ListBullet"/>
        <w:spacing w:after="60"/>
      </w:pPr>
      <w:r>
        <w:rPr>
          <w:rFonts w:ascii="Arial" w:hAnsi="Arial"/>
          <w:b/>
          <w:i w:val="0"/>
          <w:color w:val="222222"/>
          <w:sz w:val="21"/>
        </w:rPr>
        <w:t xml:space="preserve">Electrical engineering, not just drawing. </w:t>
      </w:r>
      <w:r>
        <w:rPr>
          <w:rFonts w:ascii="Arial" w:hAnsi="Arial"/>
          <w:b w:val="0"/>
          <w:i w:val="0"/>
          <w:color w:val="222222"/>
          <w:sz w:val="21"/>
        </w:rPr>
        <w:t>BS 7671 cable sizing, voltage-drop, fault-current and arc-flash calculations, single-line diagram generation and panel schedules — produced, not hand-drawn.</w:t>
      </w:r>
    </w:p>
    <w:p>
      <w:pPr>
        <w:pStyle w:val="ListBullet"/>
        <w:spacing w:after="60"/>
      </w:pPr>
      <w:r>
        <w:rPr>
          <w:rFonts w:ascii="Arial" w:hAnsi="Arial"/>
          <w:b/>
          <w:i w:val="0"/>
          <w:color w:val="222222"/>
          <w:sz w:val="21"/>
        </w:rPr>
        <w:t xml:space="preserve">Public health &amp; HVAC. </w:t>
      </w:r>
      <w:r>
        <w:rPr>
          <w:rFonts w:ascii="Arial" w:hAnsi="Arial"/>
          <w:b w:val="0"/>
          <w:i w:val="0"/>
          <w:color w:val="222222"/>
          <w:sz w:val="21"/>
        </w:rPr>
        <w:t>BS EN 806 / 12056 water-supply and drainage sizing; CIBSE heating/cooling loads and duct sizing.</w:t>
      </w:r>
    </w:p>
    <w:p>
      <w:pPr>
        <w:pStyle w:val="ListBullet"/>
        <w:spacing w:after="60"/>
      </w:pPr>
      <w:r>
        <w:rPr>
          <w:rFonts w:ascii="Arial" w:hAnsi="Arial"/>
          <w:b/>
          <w:i w:val="0"/>
          <w:color w:val="222222"/>
          <w:sz w:val="21"/>
        </w:rPr>
        <w:t xml:space="preserve">Built for this market. </w:t>
      </w:r>
      <w:r>
        <w:rPr>
          <w:rFonts w:ascii="Arial" w:hAnsi="Arial"/>
          <w:b w:val="0"/>
          <w:i w:val="0"/>
          <w:color w:val="222222"/>
          <w:sz w:val="21"/>
        </w:rPr>
        <w:t>Uganda National Building Code defaults — local wind, seismic, soil-bearing and rainfall values — are built in, alongside the BS, BS EN and CIBSE standards.</w:t>
      </w:r>
    </w:p>
    <w:p>
      <w:pPr>
        <w:pStyle w:val="ListBullet"/>
        <w:spacing w:after="60"/>
      </w:pPr>
      <w:r>
        <w:rPr>
          <w:rFonts w:ascii="Arial" w:hAnsi="Arial"/>
          <w:b/>
          <w:i w:val="0"/>
          <w:color w:val="222222"/>
          <w:sz w:val="21"/>
        </w:rPr>
        <w:t xml:space="preserve">A live compliance dashboard. </w:t>
      </w:r>
      <w:r>
        <w:rPr>
          <w:rFonts w:ascii="Arial" w:hAnsi="Arial"/>
          <w:b w:val="0"/>
          <w:i w:val="0"/>
          <w:color w:val="222222"/>
          <w:sz w:val="21"/>
        </w:rPr>
        <w:t>Percent-complete tracking per discipline, so you and your client can see the model’s status at a glance.</w:t>
      </w:r>
    </w:p>
    <w:p>
      <w:pPr>
        <w:spacing w:after="120" w:before="0"/>
      </w:pPr>
      <w:r>
        <w:rPr>
          <w:rFonts w:ascii="Arial" w:hAnsi="Arial"/>
          <w:b w:val="0"/>
          <w:i/>
          <w:color w:val="222222"/>
          <w:sz w:val="21"/>
        </w:rPr>
        <w:t>The practical effect: the grunt work is automated, so we deliver in less time and you are not billed for it — and the output is checked against real engineering standards, not just visually modeled.</w:t>
      </w:r>
    </w:p>
    <w:p>
      <w:pPr>
        <w:spacing w:before="320" w:after="80"/>
        <w:pBdr>
          <w:bottom w:val="single" w:sz="8" w:space="2" w:color="016EA7"/>
        </w:pBdr>
      </w:pPr>
      <w:r>
        <w:rPr>
          <w:rFonts w:ascii="Arial" w:hAnsi="Arial"/>
          <w:b/>
          <w:i w:val="0"/>
          <w:color w:val="016EA7"/>
          <w:sz w:val="30"/>
        </w:rPr>
        <w:t>6.   Financial proposal</w:t>
      </w:r>
    </w:p>
    <w:p>
      <w:pPr>
        <w:spacing w:after="160" w:before="0"/>
      </w:pPr>
      <w:r>
        <w:rPr>
          <w:rFonts w:ascii="Arial" w:hAnsi="Arial"/>
          <w:b w:val="0"/>
          <w:i/>
          <w:color w:val="595959"/>
          <w:sz w:val="21"/>
        </w:rPr>
        <w:t>All figures are in US Dollars (USD); UGX equivalents can be provided on request. Software and hardware figures reflect current international list pricing and are firm; salary and overhead figures are indicative Kampala loaded-cost ranges and should be validated against your own bands. Planscape service fees are firm on a defined scope.</w:t>
      </w:r>
    </w:p>
    <w:p>
      <w:pPr>
        <w:spacing w:before="180" w:after="60"/>
      </w:pPr>
      <w:r>
        <w:rPr>
          <w:rFonts w:ascii="Arial" w:hAnsi="Arial"/>
          <w:b/>
          <w:i w:val="0"/>
          <w:color w:val="0F3A5F"/>
          <w:sz w:val="23"/>
        </w:rPr>
        <w:t>6.1  Route A — cost of building in-house</w:t>
      </w:r>
    </w:p>
    <w:p>
      <w:pPr>
        <w:spacing w:after="60" w:before="0"/>
      </w:pPr>
      <w:r>
        <w:rPr>
          <w:rFonts w:ascii="Arial" w:hAnsi="Arial"/>
          <w:b/>
          <w:i w:val="0"/>
          <w:color w:val="222222"/>
          <w:sz w:val="21"/>
        </w:rPr>
        <w:t>One-off establishment (Year 1):</w:t>
      </w:r>
    </w:p>
    <w:tbl>
      <w:tblPr>
        <w:tblStyle w:val="TableGrid"/>
        <w:tblW w:type="auto" w:w="0"/>
        <w:jc w:val="center"/>
        <w:tblLook w:firstColumn="1" w:firstRow="1" w:lastColumn="0" w:lastRow="0" w:noHBand="0" w:noVBand="1" w:val="04A0"/>
      </w:tblPr>
      <w:tblGrid>
        <w:gridCol w:w="4824"/>
        <w:gridCol w:w="4824"/>
      </w:tblGrid>
      <w:tr>
        <w:tc>
          <w:tcPr>
            <w:tcW w:type="dxa" w:w="6624"/>
            <w:shd w:val="clear" w:fill="016EA7"/>
          </w:tcPr>
          <w:p>
            <w:pPr>
              <w:spacing w:after="40"/>
            </w:pPr>
            <w:r>
              <w:rPr>
                <w:rFonts w:ascii="Arial" w:hAnsi="Arial"/>
                <w:b/>
                <w:color w:val="FFFFFF"/>
                <w:sz w:val="19"/>
              </w:rPr>
              <w:t>Establishment item</w:t>
            </w:r>
          </w:p>
        </w:tc>
        <w:tc>
          <w:tcPr>
            <w:tcW w:type="dxa" w:w="2448"/>
            <w:shd w:val="clear" w:fill="016EA7"/>
          </w:tcPr>
          <w:p>
            <w:pPr>
              <w:spacing w:after="40"/>
            </w:pPr>
            <w:r>
              <w:rPr>
                <w:rFonts w:ascii="Arial" w:hAnsi="Arial"/>
                <w:b/>
                <w:color w:val="FFFFFF"/>
                <w:sz w:val="19"/>
              </w:rPr>
              <w:t>Indicative USD</w:t>
            </w:r>
          </w:p>
        </w:tc>
      </w:tr>
      <w:tr>
        <w:tc>
          <w:tcPr>
            <w:tcW w:type="dxa" w:w="6624"/>
          </w:tcPr>
          <w:p>
            <w:pPr>
              <w:spacing w:after="40"/>
            </w:pPr>
            <w:r>
              <w:rPr>
                <w:rFonts w:ascii="Arial" w:hAnsi="Arial"/>
                <w:color w:val="222222"/>
                <w:sz w:val="19"/>
              </w:rPr>
              <w:t>3 × BIM workstations (specified for Revit / Navisworks)</w:t>
            </w:r>
          </w:p>
        </w:tc>
        <w:tc>
          <w:tcPr>
            <w:tcW w:type="dxa" w:w="2448"/>
          </w:tcPr>
          <w:p>
            <w:pPr>
              <w:spacing w:after="40"/>
            </w:pPr>
            <w:r>
              <w:rPr>
                <w:rFonts w:ascii="Arial" w:hAnsi="Arial"/>
                <w:color w:val="222222"/>
                <w:sz w:val="19"/>
              </w:rPr>
              <w:t>6,000 – 10,500</w:t>
            </w:r>
          </w:p>
        </w:tc>
      </w:tr>
      <w:tr>
        <w:tc>
          <w:tcPr>
            <w:tcW w:type="dxa" w:w="6624"/>
          </w:tcPr>
          <w:p>
            <w:pPr>
              <w:spacing w:after="40"/>
            </w:pPr>
            <w:r>
              <w:rPr>
                <w:rFonts w:ascii="Arial" w:hAnsi="Arial"/>
                <w:color w:val="222222"/>
                <w:sz w:val="19"/>
              </w:rPr>
              <w:t>3 × Autodesk AEC Collection licences (first year)</w:t>
            </w:r>
          </w:p>
        </w:tc>
        <w:tc>
          <w:tcPr>
            <w:tcW w:type="dxa" w:w="2448"/>
          </w:tcPr>
          <w:p>
            <w:pPr>
              <w:spacing w:after="40"/>
            </w:pPr>
            <w:r>
              <w:rPr>
                <w:rFonts w:ascii="Arial" w:hAnsi="Arial"/>
                <w:color w:val="222222"/>
                <w:sz w:val="19"/>
              </w:rPr>
              <w:t>9,900 – 11,400</w:t>
            </w:r>
          </w:p>
        </w:tc>
      </w:tr>
      <w:tr>
        <w:tc>
          <w:tcPr>
            <w:tcW w:type="dxa" w:w="6624"/>
          </w:tcPr>
          <w:p>
            <w:pPr>
              <w:spacing w:after="40"/>
            </w:pPr>
            <w:r>
              <w:rPr>
                <w:rFonts w:ascii="Arial" w:hAnsi="Arial"/>
                <w:color w:val="222222"/>
                <w:sz w:val="19"/>
              </w:rPr>
              <w:t>ISO 19650 standards, view templates &amp; tag-family library setup</w:t>
            </w:r>
          </w:p>
        </w:tc>
        <w:tc>
          <w:tcPr>
            <w:tcW w:type="dxa" w:w="2448"/>
          </w:tcPr>
          <w:p>
            <w:pPr>
              <w:spacing w:after="40"/>
            </w:pPr>
            <w:r>
              <w:rPr>
                <w:rFonts w:ascii="Arial" w:hAnsi="Arial"/>
                <w:color w:val="222222"/>
                <w:sz w:val="19"/>
              </w:rPr>
              <w:t>5,000 – 15,000</w:t>
            </w:r>
          </w:p>
        </w:tc>
      </w:tr>
      <w:tr>
        <w:tc>
          <w:tcPr>
            <w:tcW w:type="dxa" w:w="6624"/>
          </w:tcPr>
          <w:p>
            <w:pPr>
              <w:spacing w:after="40"/>
            </w:pPr>
            <w:r>
              <w:rPr>
                <w:rFonts w:ascii="Arial" w:hAnsi="Arial"/>
                <w:color w:val="222222"/>
                <w:sz w:val="19"/>
              </w:rPr>
              <w:t>Recruitment + initial training to competence</w:t>
            </w:r>
          </w:p>
        </w:tc>
        <w:tc>
          <w:tcPr>
            <w:tcW w:type="dxa" w:w="2448"/>
          </w:tcPr>
          <w:p>
            <w:pPr>
              <w:spacing w:after="40"/>
            </w:pPr>
            <w:r>
              <w:rPr>
                <w:rFonts w:ascii="Arial" w:hAnsi="Arial"/>
                <w:color w:val="222222"/>
                <w:sz w:val="19"/>
              </w:rPr>
              <w:t>3,000 – 8,000</w:t>
            </w:r>
          </w:p>
        </w:tc>
      </w:tr>
      <w:tr>
        <w:tc>
          <w:tcPr>
            <w:tcW w:type="dxa" w:w="6624"/>
            <w:shd w:val="clear" w:fill="E8F1F8"/>
          </w:tcPr>
          <w:p>
            <w:pPr>
              <w:spacing w:after="40"/>
            </w:pPr>
            <w:r>
              <w:rPr>
                <w:rFonts w:ascii="Arial" w:hAnsi="Arial"/>
                <w:b/>
                <w:color w:val="222222"/>
                <w:sz w:val="19"/>
              </w:rPr>
              <w:t>Establishment total (one-off / Year 1)</w:t>
            </w:r>
          </w:p>
        </w:tc>
        <w:tc>
          <w:tcPr>
            <w:tcW w:type="dxa" w:w="2448"/>
            <w:shd w:val="clear" w:fill="E8F1F8"/>
          </w:tcPr>
          <w:p>
            <w:pPr>
              <w:spacing w:after="40"/>
            </w:pPr>
            <w:r>
              <w:rPr>
                <w:rFonts w:ascii="Arial" w:hAnsi="Arial"/>
                <w:b/>
                <w:color w:val="222222"/>
                <w:sz w:val="19"/>
              </w:rPr>
              <w:t>≈ 23,900 – 44,900</w:t>
            </w:r>
          </w:p>
        </w:tc>
      </w:tr>
    </w:tbl>
    <w:p>
      <w:pPr>
        <w:spacing w:after="40"/>
      </w:pPr>
    </w:p>
    <w:p>
      <w:pPr>
        <w:spacing w:after="60" w:before="0"/>
      </w:pPr>
      <w:r>
        <w:rPr>
          <w:rFonts w:ascii="Arial" w:hAnsi="Arial"/>
          <w:b/>
          <w:i w:val="0"/>
          <w:color w:val="222222"/>
          <w:sz w:val="21"/>
        </w:rPr>
        <w:t>Annual running cost (ongoing, every year):</w:t>
      </w:r>
    </w:p>
    <w:tbl>
      <w:tblPr>
        <w:tblStyle w:val="TableGrid"/>
        <w:tblW w:type="auto" w:w="0"/>
        <w:jc w:val="center"/>
        <w:tblLook w:firstColumn="1" w:firstRow="1" w:lastColumn="0" w:lastRow="0" w:noHBand="0" w:noVBand="1" w:val="04A0"/>
      </w:tblPr>
      <w:tblGrid>
        <w:gridCol w:w="4824"/>
        <w:gridCol w:w="4824"/>
      </w:tblGrid>
      <w:tr>
        <w:tc>
          <w:tcPr>
            <w:tcW w:type="dxa" w:w="6624"/>
            <w:shd w:val="clear" w:fill="016EA7"/>
          </w:tcPr>
          <w:p>
            <w:pPr>
              <w:spacing w:after="40"/>
            </w:pPr>
            <w:r>
              <w:rPr>
                <w:rFonts w:ascii="Arial" w:hAnsi="Arial"/>
                <w:b/>
                <w:color w:val="FFFFFF"/>
                <w:sz w:val="19"/>
              </w:rPr>
              <w:t>Annual item</w:t>
            </w:r>
          </w:p>
        </w:tc>
        <w:tc>
          <w:tcPr>
            <w:tcW w:type="dxa" w:w="2448"/>
            <w:shd w:val="clear" w:fill="016EA7"/>
          </w:tcPr>
          <w:p>
            <w:pPr>
              <w:spacing w:after="40"/>
            </w:pPr>
            <w:r>
              <w:rPr>
                <w:rFonts w:ascii="Arial" w:hAnsi="Arial"/>
                <w:b/>
                <w:color w:val="FFFFFF"/>
                <w:sz w:val="19"/>
              </w:rPr>
              <w:t>Indicative USD / year</w:t>
            </w:r>
          </w:p>
        </w:tc>
      </w:tr>
      <w:tr>
        <w:tc>
          <w:tcPr>
            <w:tcW w:type="dxa" w:w="6624"/>
          </w:tcPr>
          <w:p>
            <w:pPr>
              <w:spacing w:after="40"/>
            </w:pPr>
            <w:r>
              <w:rPr>
                <w:rFonts w:ascii="Arial" w:hAnsi="Arial"/>
                <w:color w:val="222222"/>
                <w:sz w:val="19"/>
              </w:rPr>
              <w:t>BIM Coordinator / Manager × 1 (loaded salary)</w:t>
            </w:r>
          </w:p>
        </w:tc>
        <w:tc>
          <w:tcPr>
            <w:tcW w:type="dxa" w:w="2448"/>
          </w:tcPr>
          <w:p>
            <w:pPr>
              <w:spacing w:after="40"/>
            </w:pPr>
            <w:r>
              <w:rPr>
                <w:rFonts w:ascii="Arial" w:hAnsi="Arial"/>
                <w:color w:val="222222"/>
                <w:sz w:val="19"/>
              </w:rPr>
              <w:t>12,000 – 24,000</w:t>
            </w:r>
          </w:p>
        </w:tc>
      </w:tr>
      <w:tr>
        <w:tc>
          <w:tcPr>
            <w:tcW w:type="dxa" w:w="6624"/>
          </w:tcPr>
          <w:p>
            <w:pPr>
              <w:spacing w:after="40"/>
            </w:pPr>
            <w:r>
              <w:rPr>
                <w:rFonts w:ascii="Arial" w:hAnsi="Arial"/>
                <w:color w:val="222222"/>
                <w:sz w:val="19"/>
              </w:rPr>
              <w:t>BIM Modeller × 2 (loaded salary)</w:t>
            </w:r>
          </w:p>
        </w:tc>
        <w:tc>
          <w:tcPr>
            <w:tcW w:type="dxa" w:w="2448"/>
          </w:tcPr>
          <w:p>
            <w:pPr>
              <w:spacing w:after="40"/>
            </w:pPr>
            <w:r>
              <w:rPr>
                <w:rFonts w:ascii="Arial" w:hAnsi="Arial"/>
                <w:color w:val="222222"/>
                <w:sz w:val="19"/>
              </w:rPr>
              <w:t>9,600 – 19,200</w:t>
            </w:r>
          </w:p>
        </w:tc>
      </w:tr>
      <w:tr>
        <w:tc>
          <w:tcPr>
            <w:tcW w:type="dxa" w:w="6624"/>
          </w:tcPr>
          <w:p>
            <w:pPr>
              <w:spacing w:after="40"/>
            </w:pPr>
            <w:r>
              <w:rPr>
                <w:rFonts w:ascii="Arial" w:hAnsi="Arial"/>
                <w:color w:val="222222"/>
                <w:sz w:val="19"/>
              </w:rPr>
              <w:t>Software renewals (3 × AEC Collection)</w:t>
            </w:r>
          </w:p>
        </w:tc>
        <w:tc>
          <w:tcPr>
            <w:tcW w:type="dxa" w:w="2448"/>
          </w:tcPr>
          <w:p>
            <w:pPr>
              <w:spacing w:after="40"/>
            </w:pPr>
            <w:r>
              <w:rPr>
                <w:rFonts w:ascii="Arial" w:hAnsi="Arial"/>
                <w:color w:val="222222"/>
                <w:sz w:val="19"/>
              </w:rPr>
              <w:t>9,900 – 11,400</w:t>
            </w:r>
          </w:p>
        </w:tc>
      </w:tr>
      <w:tr>
        <w:tc>
          <w:tcPr>
            <w:tcW w:type="dxa" w:w="6624"/>
          </w:tcPr>
          <w:p>
            <w:pPr>
              <w:spacing w:after="40"/>
            </w:pPr>
            <w:r>
              <w:rPr>
                <w:rFonts w:ascii="Arial" w:hAnsi="Arial"/>
                <w:color w:val="222222"/>
                <w:sz w:val="19"/>
              </w:rPr>
              <w:t>Overhead — space, power, CPD, admin</w:t>
            </w:r>
          </w:p>
        </w:tc>
        <w:tc>
          <w:tcPr>
            <w:tcW w:type="dxa" w:w="2448"/>
          </w:tcPr>
          <w:p>
            <w:pPr>
              <w:spacing w:after="40"/>
            </w:pPr>
            <w:r>
              <w:rPr>
                <w:rFonts w:ascii="Arial" w:hAnsi="Arial"/>
                <w:color w:val="222222"/>
                <w:sz w:val="19"/>
              </w:rPr>
              <w:t>3,000 – 6,000</w:t>
            </w:r>
          </w:p>
        </w:tc>
      </w:tr>
      <w:tr>
        <w:tc>
          <w:tcPr>
            <w:tcW w:type="dxa" w:w="6624"/>
            <w:shd w:val="clear" w:fill="E8F1F8"/>
          </w:tcPr>
          <w:p>
            <w:pPr>
              <w:spacing w:after="40"/>
            </w:pPr>
            <w:r>
              <w:rPr>
                <w:rFonts w:ascii="Arial" w:hAnsi="Arial"/>
                <w:b/>
                <w:color w:val="222222"/>
                <w:sz w:val="19"/>
              </w:rPr>
              <w:t>Annual running total</w:t>
            </w:r>
          </w:p>
        </w:tc>
        <w:tc>
          <w:tcPr>
            <w:tcW w:type="dxa" w:w="2448"/>
            <w:shd w:val="clear" w:fill="E8F1F8"/>
          </w:tcPr>
          <w:p>
            <w:pPr>
              <w:spacing w:after="40"/>
            </w:pPr>
            <w:r>
              <w:rPr>
                <w:rFonts w:ascii="Arial" w:hAnsi="Arial"/>
                <w:b/>
                <w:color w:val="222222"/>
                <w:sz w:val="19"/>
              </w:rPr>
              <w:t>≈ 34,500 – 60,600 / yr</w:t>
            </w:r>
          </w:p>
        </w:tc>
      </w:tr>
    </w:tbl>
    <w:p>
      <w:pPr>
        <w:spacing w:after="40"/>
      </w:pPr>
    </w:p>
    <w:p>
      <w:pPr>
        <w:spacing w:after="120" w:before="0"/>
      </w:pPr>
      <w:r>
        <w:rPr>
          <w:rFonts w:ascii="Arial" w:hAnsi="Arial"/>
          <w:b w:val="0"/>
          <w:i/>
          <w:color w:val="595959"/>
          <w:sz w:val="21"/>
        </w:rPr>
        <w:t>Not shown in the table but real: 3–6 months before the team is fully productive, ongoing management time, and the risk of paying full salaries in months when BIM work is thin.</w:t>
      </w:r>
    </w:p>
    <w:p>
      <w:pPr>
        <w:spacing w:before="180" w:after="60"/>
      </w:pPr>
      <w:r>
        <w:rPr>
          <w:rFonts w:ascii="Arial" w:hAnsi="Arial"/>
          <w:b/>
          <w:i w:val="0"/>
          <w:color w:val="0F3A5F"/>
          <w:sz w:val="23"/>
        </w:rPr>
        <w:t>6.2  Route B — Planscape per-project fees</w:t>
      </w:r>
    </w:p>
    <w:p>
      <w:pPr>
        <w:spacing w:after="120" w:before="0"/>
      </w:pPr>
      <w:r>
        <w:rPr>
          <w:rFonts w:ascii="Arial" w:hAnsi="Arial"/>
          <w:b w:val="0"/>
          <w:i w:val="0"/>
          <w:color w:val="222222"/>
          <w:sz w:val="21"/>
        </w:rPr>
        <w:t>For a full federated MEP model with clash coordination, ISO 19650 tagging and a BOQ, at LOD 300, priced per square metre of gross floor area (GFA):</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fill="016EA7"/>
          </w:tcPr>
          <w:p>
            <w:pPr>
              <w:spacing w:after="40"/>
            </w:pPr>
            <w:r>
              <w:rPr>
                <w:rFonts w:ascii="Arial" w:hAnsi="Arial"/>
                <w:b/>
                <w:color w:val="FFFFFF"/>
                <w:sz w:val="19"/>
              </w:rPr>
              <w:t>Project complexity</w:t>
            </w:r>
          </w:p>
        </w:tc>
        <w:tc>
          <w:tcPr>
            <w:tcW w:type="dxa" w:w="4752"/>
            <w:shd w:val="clear" w:fill="016EA7"/>
          </w:tcPr>
          <w:p>
            <w:pPr>
              <w:spacing w:after="40"/>
            </w:pPr>
            <w:r>
              <w:rPr>
                <w:rFonts w:ascii="Arial" w:hAnsi="Arial"/>
                <w:b/>
                <w:color w:val="FFFFFF"/>
                <w:sz w:val="19"/>
              </w:rPr>
              <w:t>Typical example</w:t>
            </w:r>
          </w:p>
        </w:tc>
        <w:tc>
          <w:tcPr>
            <w:tcW w:type="dxa" w:w="2160"/>
            <w:shd w:val="clear" w:fill="016EA7"/>
          </w:tcPr>
          <w:p>
            <w:pPr>
              <w:spacing w:after="40"/>
            </w:pPr>
            <w:r>
              <w:rPr>
                <w:rFonts w:ascii="Arial" w:hAnsi="Arial"/>
                <w:b/>
                <w:color w:val="FFFFFF"/>
                <w:sz w:val="19"/>
              </w:rPr>
              <w:t>USD / m²</w:t>
            </w:r>
          </w:p>
        </w:tc>
      </w:tr>
      <w:tr>
        <w:tc>
          <w:tcPr>
            <w:tcW w:type="dxa" w:w="2160"/>
          </w:tcPr>
          <w:p>
            <w:pPr>
              <w:spacing w:after="40"/>
            </w:pPr>
            <w:r>
              <w:rPr>
                <w:rFonts w:ascii="Arial" w:hAnsi="Arial"/>
                <w:color w:val="222222"/>
                <w:sz w:val="19"/>
              </w:rPr>
              <w:t>Simple</w:t>
            </w:r>
          </w:p>
        </w:tc>
        <w:tc>
          <w:tcPr>
            <w:tcW w:type="dxa" w:w="4752"/>
          </w:tcPr>
          <w:p>
            <w:pPr>
              <w:spacing w:after="40"/>
            </w:pPr>
            <w:r>
              <w:rPr>
                <w:rFonts w:ascii="Arial" w:hAnsi="Arial"/>
                <w:color w:val="222222"/>
                <w:sz w:val="19"/>
              </w:rPr>
              <w:t>Offices, repetitive floors, light services</w:t>
            </w:r>
          </w:p>
        </w:tc>
        <w:tc>
          <w:tcPr>
            <w:tcW w:type="dxa" w:w="2160"/>
          </w:tcPr>
          <w:p>
            <w:pPr>
              <w:spacing w:after="40"/>
            </w:pPr>
            <w:r>
              <w:rPr>
                <w:rFonts w:ascii="Arial" w:hAnsi="Arial"/>
                <w:color w:val="222222"/>
                <w:sz w:val="19"/>
              </w:rPr>
              <w:t>3 – 6</w:t>
            </w:r>
          </w:p>
        </w:tc>
      </w:tr>
      <w:tr>
        <w:tc>
          <w:tcPr>
            <w:tcW w:type="dxa" w:w="2160"/>
          </w:tcPr>
          <w:p>
            <w:pPr>
              <w:spacing w:after="40"/>
            </w:pPr>
            <w:r>
              <w:rPr>
                <w:rFonts w:ascii="Arial" w:hAnsi="Arial"/>
                <w:color w:val="222222"/>
                <w:sz w:val="19"/>
              </w:rPr>
              <w:t>Standard</w:t>
            </w:r>
          </w:p>
        </w:tc>
        <w:tc>
          <w:tcPr>
            <w:tcW w:type="dxa" w:w="4752"/>
          </w:tcPr>
          <w:p>
            <w:pPr>
              <w:spacing w:after="40"/>
            </w:pPr>
            <w:r>
              <w:rPr>
                <w:rFonts w:ascii="Arial" w:hAnsi="Arial"/>
                <w:color w:val="222222"/>
                <w:sz w:val="19"/>
              </w:rPr>
              <w:t>Mixed commercial, full 3-discipline coordination</w:t>
            </w:r>
          </w:p>
        </w:tc>
        <w:tc>
          <w:tcPr>
            <w:tcW w:type="dxa" w:w="2160"/>
          </w:tcPr>
          <w:p>
            <w:pPr>
              <w:spacing w:after="40"/>
            </w:pPr>
            <w:r>
              <w:rPr>
                <w:rFonts w:ascii="Arial" w:hAnsi="Arial"/>
                <w:color w:val="222222"/>
                <w:sz w:val="19"/>
              </w:rPr>
              <w:t>6 – 12</w:t>
            </w:r>
          </w:p>
        </w:tc>
      </w:tr>
      <w:tr>
        <w:tc>
          <w:tcPr>
            <w:tcW w:type="dxa" w:w="2160"/>
          </w:tcPr>
          <w:p>
            <w:pPr>
              <w:spacing w:after="40"/>
            </w:pPr>
            <w:r>
              <w:rPr>
                <w:rFonts w:ascii="Arial" w:hAnsi="Arial"/>
                <w:color w:val="222222"/>
                <w:sz w:val="19"/>
              </w:rPr>
              <w:t>Complex</w:t>
            </w:r>
          </w:p>
        </w:tc>
        <w:tc>
          <w:tcPr>
            <w:tcW w:type="dxa" w:w="4752"/>
          </w:tcPr>
          <w:p>
            <w:pPr>
              <w:spacing w:after="40"/>
            </w:pPr>
            <w:r>
              <w:rPr>
                <w:rFonts w:ascii="Arial" w:hAnsi="Arial"/>
                <w:color w:val="222222"/>
                <w:sz w:val="19"/>
              </w:rPr>
              <w:t>Hospital / lab / industrial, dense services, LOD 350–400</w:t>
            </w:r>
          </w:p>
        </w:tc>
        <w:tc>
          <w:tcPr>
            <w:tcW w:type="dxa" w:w="2160"/>
          </w:tcPr>
          <w:p>
            <w:pPr>
              <w:spacing w:after="40"/>
            </w:pPr>
            <w:r>
              <w:rPr>
                <w:rFonts w:ascii="Arial" w:hAnsi="Arial"/>
                <w:color w:val="222222"/>
                <w:sz w:val="19"/>
              </w:rPr>
              <w:t>12 – 25</w:t>
            </w:r>
          </w:p>
        </w:tc>
      </w:tr>
    </w:tbl>
    <w:p>
      <w:pPr>
        <w:spacing w:after="40"/>
      </w:pPr>
    </w:p>
    <w:p>
      <w:pPr>
        <w:spacing w:after="120" w:before="0"/>
      </w:pPr>
      <w:r>
        <w:rPr>
          <w:rFonts w:ascii="Arial" w:hAnsi="Arial"/>
          <w:b w:val="0"/>
          <w:i w:val="0"/>
          <w:color w:val="222222"/>
          <w:sz w:val="21"/>
        </w:rPr>
        <w:t>Worked example — a 3,000 m² standard commercial building at $8/m² → a fixed fee of about $24,000, delivered as a coordinated, tagged model with clash report and BOQ. Two independent cross-checks land in the same place: at ~4% of a ~$600k MEP construction value that is ~$24k; and an offshore bureau would quote ~$12/m² (~$36k) — so we are cheaper and local.</w:t>
      </w:r>
    </w:p>
    <w:p>
      <w:pPr>
        <w:pStyle w:val="ListBullet"/>
        <w:spacing w:after="60"/>
      </w:pPr>
      <w:r>
        <w:rPr>
          <w:rFonts w:ascii="Arial" w:hAnsi="Arial"/>
          <w:b/>
          <w:i w:val="0"/>
          <w:color w:val="222222"/>
          <w:sz w:val="21"/>
        </w:rPr>
        <w:t xml:space="preserve">Fixed cost to you: </w:t>
      </w:r>
      <w:r>
        <w:rPr>
          <w:rFonts w:ascii="Arial" w:hAnsi="Arial"/>
          <w:b w:val="0"/>
          <w:i w:val="0"/>
          <w:color w:val="222222"/>
          <w:sz w:val="21"/>
        </w:rPr>
        <w:t>$0. You pay per model, only when you have the work.</w:t>
      </w:r>
    </w:p>
    <w:p>
      <w:pPr>
        <w:pStyle w:val="ListBullet"/>
        <w:spacing w:after="60"/>
      </w:pPr>
      <w:r>
        <w:rPr>
          <w:rFonts w:ascii="Arial" w:hAnsi="Arial"/>
          <w:b/>
          <w:i w:val="0"/>
          <w:color w:val="222222"/>
          <w:sz w:val="21"/>
        </w:rPr>
        <w:t xml:space="preserve">Retainer alternative: </w:t>
      </w:r>
      <w:r>
        <w:rPr>
          <w:rFonts w:ascii="Arial" w:hAnsi="Arial"/>
          <w:b w:val="0"/>
          <w:i w:val="0"/>
          <w:color w:val="222222"/>
          <w:sz w:val="21"/>
        </w:rPr>
        <w:t>a fixed monthly fee for an agreed capacity (a set number of modeller-days per month) — attractive once your BIM volume is steady across several live jobs.</w:t>
      </w:r>
    </w:p>
    <w:p>
      <w:pPr>
        <w:spacing w:before="320" w:after="80"/>
        <w:pBdr>
          <w:bottom w:val="single" w:sz="8" w:space="2" w:color="016EA7"/>
        </w:pBdr>
      </w:pPr>
      <w:r>
        <w:rPr>
          <w:rFonts w:ascii="Arial" w:hAnsi="Arial"/>
          <w:b/>
          <w:i w:val="0"/>
          <w:color w:val="016EA7"/>
          <w:sz w:val="30"/>
        </w:rPr>
        <w:t>7.   Make vs. buy — the breakeven</w:t>
      </w:r>
    </w:p>
    <w:p>
      <w:pPr>
        <w:spacing w:after="120" w:before="0"/>
      </w:pPr>
      <w:r>
        <w:rPr>
          <w:rFonts w:ascii="Arial" w:hAnsi="Arial"/>
          <w:b w:val="0"/>
          <w:i w:val="0"/>
          <w:color w:val="222222"/>
          <w:sz w:val="21"/>
        </w:rPr>
        <w:t>The honest question a board should ask is: at what volume does building in-house actually beat outsourcing? Taking an indicative in-house running cost of ~$45,000/year, and comparing against outsourcing at $8/m²:</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312"/>
            <w:shd w:val="clear" w:fill="016EA7"/>
          </w:tcPr>
          <w:p>
            <w:pPr>
              <w:spacing w:after="40"/>
            </w:pPr>
            <w:r>
              <w:rPr>
                <w:rFonts w:ascii="Arial" w:hAnsi="Arial"/>
                <w:b/>
                <w:color w:val="FFFFFF"/>
                <w:sz w:val="19"/>
              </w:rPr>
              <w:t>Steady BIM work per year</w:t>
            </w:r>
          </w:p>
        </w:tc>
        <w:tc>
          <w:tcPr>
            <w:tcW w:type="dxa" w:w="2448"/>
            <w:shd w:val="clear" w:fill="016EA7"/>
          </w:tcPr>
          <w:p>
            <w:pPr>
              <w:spacing w:after="40"/>
            </w:pPr>
            <w:r>
              <w:rPr>
                <w:rFonts w:ascii="Arial" w:hAnsi="Arial"/>
                <w:b/>
                <w:color w:val="FFFFFF"/>
                <w:sz w:val="19"/>
              </w:rPr>
              <w:t>In-house effective cost</w:t>
            </w:r>
          </w:p>
        </w:tc>
        <w:tc>
          <w:tcPr>
            <w:tcW w:type="dxa" w:w="2160"/>
            <w:shd w:val="clear" w:fill="016EA7"/>
          </w:tcPr>
          <w:p>
            <w:pPr>
              <w:spacing w:after="40"/>
            </w:pPr>
            <w:r>
              <w:rPr>
                <w:rFonts w:ascii="Arial" w:hAnsi="Arial"/>
                <w:b/>
                <w:color w:val="FFFFFF"/>
                <w:sz w:val="19"/>
              </w:rPr>
              <w:t>Outsourced @ $8/m²</w:t>
            </w:r>
          </w:p>
        </w:tc>
        <w:tc>
          <w:tcPr>
            <w:tcW w:type="dxa" w:w="2016"/>
            <w:shd w:val="clear" w:fill="016EA7"/>
          </w:tcPr>
          <w:p>
            <w:pPr>
              <w:spacing w:after="40"/>
            </w:pPr>
            <w:r>
              <w:rPr>
                <w:rFonts w:ascii="Arial" w:hAnsi="Arial"/>
                <w:b/>
                <w:color w:val="FFFFFF"/>
                <w:sz w:val="19"/>
              </w:rPr>
              <w:t>Cheaper option</w:t>
            </w:r>
          </w:p>
        </w:tc>
      </w:tr>
      <w:tr>
        <w:tc>
          <w:tcPr>
            <w:tcW w:type="dxa" w:w="3312"/>
          </w:tcPr>
          <w:p>
            <w:pPr>
              <w:spacing w:after="40"/>
            </w:pPr>
            <w:r>
              <w:rPr>
                <w:rFonts w:ascii="Arial" w:hAnsi="Arial"/>
                <w:color w:val="222222"/>
                <w:sz w:val="19"/>
              </w:rPr>
              <w:t>3,000 m²</w:t>
            </w:r>
          </w:p>
        </w:tc>
        <w:tc>
          <w:tcPr>
            <w:tcW w:type="dxa" w:w="2448"/>
          </w:tcPr>
          <w:p>
            <w:pPr>
              <w:spacing w:after="40"/>
            </w:pPr>
            <w:r>
              <w:rPr>
                <w:rFonts w:ascii="Arial" w:hAnsi="Arial"/>
                <w:color w:val="222222"/>
                <w:sz w:val="19"/>
              </w:rPr>
              <w:t>$15.0 / m²</w:t>
            </w:r>
          </w:p>
        </w:tc>
        <w:tc>
          <w:tcPr>
            <w:tcW w:type="dxa" w:w="2160"/>
          </w:tcPr>
          <w:p>
            <w:pPr>
              <w:spacing w:after="40"/>
            </w:pPr>
            <w:r>
              <w:rPr>
                <w:rFonts w:ascii="Arial" w:hAnsi="Arial"/>
                <w:color w:val="222222"/>
                <w:sz w:val="19"/>
              </w:rPr>
              <w:t>$24,000</w:t>
            </w:r>
          </w:p>
        </w:tc>
        <w:tc>
          <w:tcPr>
            <w:tcW w:type="dxa" w:w="2016"/>
          </w:tcPr>
          <w:p>
            <w:pPr>
              <w:spacing w:after="40"/>
            </w:pPr>
            <w:r>
              <w:rPr>
                <w:rFonts w:ascii="Arial" w:hAnsi="Arial"/>
                <w:color w:val="222222"/>
                <w:sz w:val="19"/>
              </w:rPr>
              <w:t>Outsource</w:t>
            </w:r>
          </w:p>
        </w:tc>
      </w:tr>
      <w:tr>
        <w:tc>
          <w:tcPr>
            <w:tcW w:type="dxa" w:w="3312"/>
          </w:tcPr>
          <w:p>
            <w:pPr>
              <w:spacing w:after="40"/>
            </w:pPr>
            <w:r>
              <w:rPr>
                <w:rFonts w:ascii="Arial" w:hAnsi="Arial"/>
                <w:color w:val="222222"/>
                <w:sz w:val="19"/>
              </w:rPr>
              <w:t>~5,600 m² (crossover)</w:t>
            </w:r>
          </w:p>
        </w:tc>
        <w:tc>
          <w:tcPr>
            <w:tcW w:type="dxa" w:w="2448"/>
          </w:tcPr>
          <w:p>
            <w:pPr>
              <w:spacing w:after="40"/>
            </w:pPr>
            <w:r>
              <w:rPr>
                <w:rFonts w:ascii="Arial" w:hAnsi="Arial"/>
                <w:color w:val="222222"/>
                <w:sz w:val="19"/>
              </w:rPr>
              <w:t>~$8.0 / m²</w:t>
            </w:r>
          </w:p>
        </w:tc>
        <w:tc>
          <w:tcPr>
            <w:tcW w:type="dxa" w:w="2160"/>
          </w:tcPr>
          <w:p>
            <w:pPr>
              <w:spacing w:after="40"/>
            </w:pPr>
            <w:r>
              <w:rPr>
                <w:rFonts w:ascii="Arial" w:hAnsi="Arial"/>
                <w:color w:val="222222"/>
                <w:sz w:val="19"/>
              </w:rPr>
              <w:t>~$44,800</w:t>
            </w:r>
          </w:p>
        </w:tc>
        <w:tc>
          <w:tcPr>
            <w:tcW w:type="dxa" w:w="2016"/>
          </w:tcPr>
          <w:p>
            <w:pPr>
              <w:spacing w:after="40"/>
            </w:pPr>
            <w:r>
              <w:rPr>
                <w:rFonts w:ascii="Arial" w:hAnsi="Arial"/>
                <w:color w:val="222222"/>
                <w:sz w:val="19"/>
              </w:rPr>
              <w:t>About equal</w:t>
            </w:r>
          </w:p>
        </w:tc>
      </w:tr>
      <w:tr>
        <w:tc>
          <w:tcPr>
            <w:tcW w:type="dxa" w:w="3312"/>
          </w:tcPr>
          <w:p>
            <w:pPr>
              <w:spacing w:after="40"/>
            </w:pPr>
            <w:r>
              <w:rPr>
                <w:rFonts w:ascii="Arial" w:hAnsi="Arial"/>
                <w:color w:val="222222"/>
                <w:sz w:val="19"/>
              </w:rPr>
              <w:t>8,000 m²</w:t>
            </w:r>
          </w:p>
        </w:tc>
        <w:tc>
          <w:tcPr>
            <w:tcW w:type="dxa" w:w="2448"/>
          </w:tcPr>
          <w:p>
            <w:pPr>
              <w:spacing w:after="40"/>
            </w:pPr>
            <w:r>
              <w:rPr>
                <w:rFonts w:ascii="Arial" w:hAnsi="Arial"/>
                <w:color w:val="222222"/>
                <w:sz w:val="19"/>
              </w:rPr>
              <w:t>$5.6 / m²</w:t>
            </w:r>
          </w:p>
        </w:tc>
        <w:tc>
          <w:tcPr>
            <w:tcW w:type="dxa" w:w="2160"/>
          </w:tcPr>
          <w:p>
            <w:pPr>
              <w:spacing w:after="40"/>
            </w:pPr>
            <w:r>
              <w:rPr>
                <w:rFonts w:ascii="Arial" w:hAnsi="Arial"/>
                <w:color w:val="222222"/>
                <w:sz w:val="19"/>
              </w:rPr>
              <w:t>$64,000</w:t>
            </w:r>
          </w:p>
        </w:tc>
        <w:tc>
          <w:tcPr>
            <w:tcW w:type="dxa" w:w="2016"/>
          </w:tcPr>
          <w:p>
            <w:pPr>
              <w:spacing w:after="40"/>
            </w:pPr>
            <w:r>
              <w:rPr>
                <w:rFonts w:ascii="Arial" w:hAnsi="Arial"/>
                <w:color w:val="222222"/>
                <w:sz w:val="19"/>
              </w:rPr>
              <w:t>In-house</w:t>
            </w:r>
          </w:p>
        </w:tc>
      </w:tr>
      <w:tr>
        <w:tc>
          <w:tcPr>
            <w:tcW w:type="dxa" w:w="3312"/>
          </w:tcPr>
          <w:p>
            <w:pPr>
              <w:spacing w:after="40"/>
            </w:pPr>
            <w:r>
              <w:rPr>
                <w:rFonts w:ascii="Arial" w:hAnsi="Arial"/>
                <w:color w:val="222222"/>
                <w:sz w:val="19"/>
              </w:rPr>
              <w:t>12,000 m² (near team capacity)</w:t>
            </w:r>
          </w:p>
        </w:tc>
        <w:tc>
          <w:tcPr>
            <w:tcW w:type="dxa" w:w="2448"/>
          </w:tcPr>
          <w:p>
            <w:pPr>
              <w:spacing w:after="40"/>
            </w:pPr>
            <w:r>
              <w:rPr>
                <w:rFonts w:ascii="Arial" w:hAnsi="Arial"/>
                <w:color w:val="222222"/>
                <w:sz w:val="19"/>
              </w:rPr>
              <w:t>$3.8 / m²</w:t>
            </w:r>
          </w:p>
        </w:tc>
        <w:tc>
          <w:tcPr>
            <w:tcW w:type="dxa" w:w="2160"/>
          </w:tcPr>
          <w:p>
            <w:pPr>
              <w:spacing w:after="40"/>
            </w:pPr>
            <w:r>
              <w:rPr>
                <w:rFonts w:ascii="Arial" w:hAnsi="Arial"/>
                <w:color w:val="222222"/>
                <w:sz w:val="19"/>
              </w:rPr>
              <w:t>$96,000</w:t>
            </w:r>
          </w:p>
        </w:tc>
        <w:tc>
          <w:tcPr>
            <w:tcW w:type="dxa" w:w="2016"/>
          </w:tcPr>
          <w:p>
            <w:pPr>
              <w:spacing w:after="40"/>
            </w:pPr>
            <w:r>
              <w:rPr>
                <w:rFonts w:ascii="Arial" w:hAnsi="Arial"/>
                <w:color w:val="222222"/>
                <w:sz w:val="19"/>
              </w:rPr>
              <w:t>In-house</w:t>
            </w:r>
          </w:p>
        </w:tc>
      </w:tr>
    </w:tbl>
    <w:p>
      <w:pPr>
        <w:spacing w:after="40"/>
      </w:pPr>
    </w:p>
    <w:p>
      <w:pPr>
        <w:spacing w:after="60" w:before="0"/>
      </w:pPr>
      <w:r>
        <w:rPr>
          <w:rFonts w:ascii="Arial" w:hAnsi="Arial"/>
          <w:b/>
          <w:i w:val="0"/>
          <w:color w:val="222222"/>
          <w:sz w:val="21"/>
        </w:rPr>
        <w:t>What the table really says:</w:t>
      </w:r>
    </w:p>
    <w:p>
      <w:pPr>
        <w:pStyle w:val="ListBullet"/>
        <w:spacing w:after="60"/>
      </w:pPr>
      <w:r>
        <w:rPr>
          <w:rFonts w:ascii="Arial" w:hAnsi="Arial"/>
          <w:b/>
          <w:i w:val="0"/>
          <w:color w:val="222222"/>
          <w:sz w:val="21"/>
        </w:rPr>
        <w:t xml:space="preserve">In-house is cheapest only at high, steady utilization </w:t>
      </w:r>
      <w:r>
        <w:rPr>
          <w:rFonts w:ascii="Arial" w:hAnsi="Arial"/>
          <w:b w:val="0"/>
          <w:i w:val="0"/>
          <w:color w:val="222222"/>
          <w:sz w:val="21"/>
        </w:rPr>
        <w:t>— above roughly 5,000–6,000 m²/year, and only if the team stays near full capacity (a 3-person team realistically delivers ~6,000–12,000 m²/year).</w:t>
      </w:r>
    </w:p>
    <w:p>
      <w:pPr>
        <w:pStyle w:val="ListBullet"/>
        <w:spacing w:after="60"/>
      </w:pPr>
      <w:r>
        <w:rPr>
          <w:rFonts w:ascii="Arial" w:hAnsi="Arial"/>
          <w:b/>
          <w:i w:val="0"/>
          <w:color w:val="222222"/>
          <w:sz w:val="21"/>
        </w:rPr>
        <w:t xml:space="preserve">Below the crossover, outsourcing wins </w:t>
      </w:r>
      <w:r>
        <w:rPr>
          <w:rFonts w:ascii="Arial" w:hAnsi="Arial"/>
          <w:b w:val="0"/>
          <w:i w:val="0"/>
          <w:color w:val="222222"/>
          <w:sz w:val="21"/>
        </w:rPr>
        <w:t>— and it never pays for idle staff, because the cost scales down to zero in quiet months.</w:t>
      </w:r>
    </w:p>
    <w:p>
      <w:pPr>
        <w:pStyle w:val="ListBullet"/>
        <w:spacing w:after="60"/>
      </w:pPr>
      <w:r>
        <w:rPr>
          <w:rFonts w:ascii="Arial" w:hAnsi="Arial"/>
          <w:b/>
          <w:i w:val="0"/>
          <w:color w:val="222222"/>
          <w:sz w:val="21"/>
        </w:rPr>
        <w:t xml:space="preserve">The table ignores three real in-house costs </w:t>
      </w:r>
      <w:r>
        <w:rPr>
          <w:rFonts w:ascii="Arial" w:hAnsi="Arial"/>
          <w:b w:val="0"/>
          <w:i w:val="0"/>
          <w:color w:val="222222"/>
          <w:sz w:val="21"/>
        </w:rPr>
        <w:t>— Year-1 setup ($24k–45k), the 3–6 month ramp, and utilization risk. Include them and the crossover sits higher still.</w:t>
      </w:r>
    </w:p>
    <w:p>
      <w:pPr>
        <w:spacing w:after="120" w:before="0"/>
      </w:pPr>
      <w:r>
        <w:rPr>
          <w:rFonts w:ascii="Arial" w:hAnsi="Arial"/>
          <w:b w:val="0"/>
          <w:i/>
          <w:color w:val="222222"/>
          <w:sz w:val="21"/>
        </w:rPr>
        <w:t>Conclusion: an in-house team is the right long-term answer only once you have proven, steady BIM volume above the crossover. Until then, outsourcing captures the work at lower total cost and zero fixed risk.</w:t>
      </w:r>
    </w:p>
    <w:p>
      <w:pPr>
        <w:spacing w:before="320" w:after="80"/>
        <w:pBdr>
          <w:bottom w:val="single" w:sz="8" w:space="2" w:color="016EA7"/>
        </w:pBdr>
      </w:pPr>
      <w:r>
        <w:rPr>
          <w:rFonts w:ascii="Arial" w:hAnsi="Arial"/>
          <w:b/>
          <w:i w:val="0"/>
          <w:color w:val="016EA7"/>
          <w:sz w:val="30"/>
        </w:rPr>
        <w:t>8.   Our recommendation &amp; the pilot</w:t>
      </w:r>
    </w:p>
    <w:p>
      <w:pPr>
        <w:spacing w:before="180" w:after="60"/>
      </w:pPr>
      <w:r>
        <w:rPr>
          <w:rFonts w:ascii="Arial" w:hAnsi="Arial"/>
          <w:b/>
          <w:i w:val="0"/>
          <w:color w:val="0F3A5F"/>
          <w:sz w:val="23"/>
        </w:rPr>
        <w:t>Recommended path — start outsourced, build in-house later if justified</w:t>
      </w:r>
    </w:p>
    <w:p>
      <w:pPr>
        <w:pStyle w:val="ListBullet"/>
        <w:spacing w:after="60"/>
      </w:pPr>
      <w:r>
        <w:rPr>
          <w:rFonts w:ascii="Arial" w:hAnsi="Arial"/>
          <w:b/>
          <w:i w:val="0"/>
          <w:color w:val="222222"/>
          <w:sz w:val="21"/>
        </w:rPr>
        <w:t xml:space="preserve">Now: </w:t>
      </w:r>
      <w:r>
        <w:rPr>
          <w:rFonts w:ascii="Arial" w:hAnsi="Arial"/>
          <w:b w:val="0"/>
          <w:i w:val="0"/>
          <w:color w:val="222222"/>
          <w:sz w:val="21"/>
        </w:rPr>
        <w:t>engage Planscape per-project so you have a live BIM capability this quarter and stop turning BIM tenders away — at zero fixed cost.</w:t>
      </w:r>
    </w:p>
    <w:p>
      <w:pPr>
        <w:pStyle w:val="ListBullet"/>
        <w:spacing w:after="60"/>
      </w:pPr>
      <w:r>
        <w:rPr>
          <w:rFonts w:ascii="Arial" w:hAnsi="Arial"/>
          <w:b/>
          <w:i w:val="0"/>
          <w:color w:val="222222"/>
          <w:sz w:val="21"/>
        </w:rPr>
        <w:t xml:space="preserve">Meanwhile: </w:t>
      </w:r>
      <w:r>
        <w:rPr>
          <w:rFonts w:ascii="Arial" w:hAnsi="Arial"/>
          <w:b w:val="0"/>
          <w:i w:val="0"/>
          <w:color w:val="222222"/>
          <w:sz w:val="21"/>
        </w:rPr>
        <w:t>we track your actual BIM volume across the jobs we deliver, giving you real data on whether in-house is justified.</w:t>
      </w:r>
    </w:p>
    <w:p>
      <w:pPr>
        <w:pStyle w:val="ListBullet"/>
        <w:spacing w:after="60"/>
      </w:pPr>
      <w:r>
        <w:rPr>
          <w:rFonts w:ascii="Arial" w:hAnsi="Arial"/>
          <w:b/>
          <w:i w:val="0"/>
          <w:color w:val="222222"/>
          <w:sz w:val="21"/>
        </w:rPr>
        <w:t xml:space="preserve">Later (optional): </w:t>
      </w:r>
      <w:r>
        <w:rPr>
          <w:rFonts w:ascii="Arial" w:hAnsi="Arial"/>
          <w:b w:val="0"/>
          <w:i w:val="0"/>
          <w:color w:val="222222"/>
          <w:sz w:val="21"/>
        </w:rPr>
        <w:t>if volume passes the crossover and holds, we help you stand up your own team — set up your ISO 19650 standards, and train your staff. You reach in-house capability de-risked.</w:t>
      </w:r>
    </w:p>
    <w:p>
      <w:pPr>
        <w:spacing w:before="180" w:after="60"/>
      </w:pPr>
      <w:r>
        <w:rPr>
          <w:rFonts w:ascii="Arial" w:hAnsi="Arial"/>
          <w:b/>
          <w:i w:val="0"/>
          <w:color w:val="0F3A5F"/>
          <w:sz w:val="23"/>
        </w:rPr>
        <w:t>The first step — a paid pilot</w:t>
      </w:r>
    </w:p>
    <w:p>
      <w:pPr>
        <w:spacing w:after="120" w:before="0"/>
      </w:pPr>
      <w:r>
        <w:rPr>
          <w:rFonts w:ascii="Arial" w:hAnsi="Arial"/>
          <w:b w:val="0"/>
          <w:i w:val="0"/>
          <w:color w:val="222222"/>
          <w:sz w:val="21"/>
        </w:rPr>
        <w:t>We propose one live project as a paid pilot, at a fixed fee scoped to that job. You judge us on a real deliverable before committing to anything larger.</w:t>
      </w:r>
    </w:p>
    <w:tbl>
      <w:tblPr>
        <w:tblStyle w:val="TableGrid"/>
        <w:tblW w:type="auto" w:w="0"/>
        <w:jc w:val="center"/>
        <w:tblLook w:firstColumn="1" w:firstRow="1" w:lastColumn="0" w:lastRow="0" w:noHBand="0" w:noVBand="1" w:val="04A0"/>
      </w:tblPr>
      <w:tblGrid>
        <w:gridCol w:w="4824"/>
        <w:gridCol w:w="4824"/>
      </w:tblGrid>
      <w:tr>
        <w:tc>
          <w:tcPr>
            <w:tcW w:type="dxa" w:w="2160"/>
            <w:shd w:val="clear" w:fill="016EA7"/>
          </w:tcPr>
          <w:p>
            <w:pPr>
              <w:spacing w:after="40"/>
            </w:pPr>
            <w:r>
              <w:rPr>
                <w:rFonts w:ascii="Arial" w:hAnsi="Arial"/>
                <w:b/>
                <w:color w:val="FFFFFF"/>
                <w:sz w:val="19"/>
              </w:rPr>
              <w:t>Pilot element</w:t>
            </w:r>
          </w:p>
        </w:tc>
        <w:tc>
          <w:tcPr>
            <w:tcW w:type="dxa" w:w="6912"/>
            <w:shd w:val="clear" w:fill="016EA7"/>
          </w:tcPr>
          <w:p>
            <w:pPr>
              <w:spacing w:after="40"/>
            </w:pPr>
            <w:r>
              <w:rPr>
                <w:rFonts w:ascii="Arial" w:hAnsi="Arial"/>
                <w:b/>
                <w:color w:val="FFFFFF"/>
                <w:sz w:val="19"/>
              </w:rPr>
              <w:t>Detail</w:t>
            </w:r>
          </w:p>
        </w:tc>
      </w:tr>
      <w:tr>
        <w:tc>
          <w:tcPr>
            <w:tcW w:type="dxa" w:w="2160"/>
          </w:tcPr>
          <w:p>
            <w:pPr>
              <w:spacing w:after="40"/>
            </w:pPr>
            <w:r>
              <w:rPr>
                <w:rFonts w:ascii="Arial" w:hAnsi="Arial"/>
                <w:color w:val="222222"/>
                <w:sz w:val="19"/>
              </w:rPr>
              <w:t>Scope</w:t>
            </w:r>
          </w:p>
        </w:tc>
        <w:tc>
          <w:tcPr>
            <w:tcW w:type="dxa" w:w="6912"/>
          </w:tcPr>
          <w:p>
            <w:pPr>
              <w:spacing w:after="40"/>
            </w:pPr>
            <w:r>
              <w:rPr>
                <w:rFonts w:ascii="Arial" w:hAnsi="Arial"/>
                <w:color w:val="222222"/>
                <w:sz w:val="19"/>
              </w:rPr>
              <w:t>One live MEP project you nominate — federated model, clash coordination, ISO 19650 tagging, BOQ</w:t>
            </w:r>
          </w:p>
        </w:tc>
      </w:tr>
      <w:tr>
        <w:tc>
          <w:tcPr>
            <w:tcW w:type="dxa" w:w="2160"/>
          </w:tcPr>
          <w:p>
            <w:pPr>
              <w:spacing w:after="40"/>
            </w:pPr>
            <w:r>
              <w:rPr>
                <w:rFonts w:ascii="Arial" w:hAnsi="Arial"/>
                <w:color w:val="222222"/>
                <w:sz w:val="19"/>
              </w:rPr>
              <w:t>Fee basis</w:t>
            </w:r>
          </w:p>
        </w:tc>
        <w:tc>
          <w:tcPr>
            <w:tcW w:type="dxa" w:w="6912"/>
          </w:tcPr>
          <w:p>
            <w:pPr>
              <w:spacing w:after="40"/>
            </w:pPr>
            <w:r>
              <w:rPr>
                <w:rFonts w:ascii="Arial" w:hAnsi="Arial"/>
                <w:color w:val="222222"/>
                <w:sz w:val="19"/>
              </w:rPr>
              <w:t>Fixed fee, quoted within 5 working days of receiving the drawings and floor area</w:t>
            </w:r>
          </w:p>
        </w:tc>
      </w:tr>
      <w:tr>
        <w:tc>
          <w:tcPr>
            <w:tcW w:type="dxa" w:w="2160"/>
          </w:tcPr>
          <w:p>
            <w:pPr>
              <w:spacing w:after="40"/>
            </w:pPr>
            <w:r>
              <w:rPr>
                <w:rFonts w:ascii="Arial" w:hAnsi="Arial"/>
                <w:color w:val="222222"/>
                <w:sz w:val="19"/>
              </w:rPr>
              <w:t>Indicative range</w:t>
            </w:r>
          </w:p>
        </w:tc>
        <w:tc>
          <w:tcPr>
            <w:tcW w:type="dxa" w:w="6912"/>
          </w:tcPr>
          <w:p>
            <w:pPr>
              <w:spacing w:after="40"/>
            </w:pPr>
            <w:r>
              <w:rPr>
                <w:rFonts w:ascii="Arial" w:hAnsi="Arial"/>
                <w:color w:val="222222"/>
                <w:sz w:val="19"/>
              </w:rPr>
              <w:t>A typical mid-size model lands around $18,000 – $30,000 (final fee fixed on scope)</w:t>
            </w:r>
          </w:p>
        </w:tc>
      </w:tr>
      <w:tr>
        <w:tc>
          <w:tcPr>
            <w:tcW w:type="dxa" w:w="2160"/>
          </w:tcPr>
          <w:p>
            <w:pPr>
              <w:spacing w:after="40"/>
            </w:pPr>
            <w:r>
              <w:rPr>
                <w:rFonts w:ascii="Arial" w:hAnsi="Arial"/>
                <w:color w:val="222222"/>
                <w:sz w:val="19"/>
              </w:rPr>
              <w:t>Timeline</w:t>
            </w:r>
          </w:p>
        </w:tc>
        <w:tc>
          <w:tcPr>
            <w:tcW w:type="dxa" w:w="6912"/>
          </w:tcPr>
          <w:p>
            <w:pPr>
              <w:spacing w:after="40"/>
            </w:pPr>
            <w:r>
              <w:rPr>
                <w:rFonts w:ascii="Arial" w:hAnsi="Arial"/>
                <w:color w:val="222222"/>
                <w:sz w:val="19"/>
              </w:rPr>
              <w:t>Agreed on scoping; a defined delivery date, not open-ended</w:t>
            </w:r>
          </w:p>
        </w:tc>
      </w:tr>
      <w:tr>
        <w:tc>
          <w:tcPr>
            <w:tcW w:type="dxa" w:w="2160"/>
          </w:tcPr>
          <w:p>
            <w:pPr>
              <w:spacing w:after="40"/>
            </w:pPr>
            <w:r>
              <w:rPr>
                <w:rFonts w:ascii="Arial" w:hAnsi="Arial"/>
                <w:color w:val="222222"/>
                <w:sz w:val="19"/>
              </w:rPr>
              <w:t>Success criteria</w:t>
            </w:r>
          </w:p>
        </w:tc>
        <w:tc>
          <w:tcPr>
            <w:tcW w:type="dxa" w:w="6912"/>
          </w:tcPr>
          <w:p>
            <w:pPr>
              <w:spacing w:after="40"/>
            </w:pPr>
            <w:r>
              <w:rPr>
                <w:rFonts w:ascii="Arial" w:hAnsi="Arial"/>
                <w:color w:val="222222"/>
                <w:sz w:val="19"/>
              </w:rPr>
              <w:t>Clash-free coordinated model + BCF report + tagged model + BOQ, delivered on date</w:t>
            </w:r>
          </w:p>
        </w:tc>
      </w:tr>
    </w:tbl>
    <w:p>
      <w:pPr>
        <w:spacing w:after="40"/>
      </w:pPr>
    </w:p>
    <w:p>
      <w:pPr>
        <w:spacing w:after="120" w:before="0"/>
      </w:pPr>
      <w:r>
        <w:rPr>
          <w:rFonts w:ascii="Arial" w:hAnsi="Arial"/>
          <w:b w:val="0"/>
          <w:i/>
          <w:color w:val="595959"/>
          <w:sz w:val="21"/>
        </w:rPr>
        <w:t>A fixed fee against a defined scope means the price cannot balloon — the only thing that moves it is a change of scope, agreed in writing before any extra work is done.</w:t>
      </w:r>
    </w:p>
    <w:p>
      <w:pPr>
        <w:spacing w:before="320" w:after="80"/>
        <w:pBdr>
          <w:bottom w:val="single" w:sz="8" w:space="2" w:color="016EA7"/>
        </w:pBdr>
      </w:pPr>
      <w:r>
        <w:rPr>
          <w:rFonts w:ascii="Arial" w:hAnsi="Arial"/>
          <w:b/>
          <w:i w:val="0"/>
          <w:color w:val="016EA7"/>
          <w:sz w:val="30"/>
        </w:rPr>
        <w:t>9.   How we work — terms</w:t>
      </w:r>
    </w:p>
    <w:p>
      <w:pPr>
        <w:pStyle w:val="ListBullet"/>
        <w:spacing w:after="60"/>
      </w:pPr>
      <w:r>
        <w:rPr>
          <w:rFonts w:ascii="Arial" w:hAnsi="Arial"/>
          <w:b/>
          <w:i w:val="0"/>
          <w:color w:val="222222"/>
          <w:sz w:val="21"/>
        </w:rPr>
        <w:t xml:space="preserve">Confidentiality &amp; IP. </w:t>
      </w:r>
      <w:r>
        <w:rPr>
          <w:rFonts w:ascii="Arial" w:hAnsi="Arial"/>
          <w:b w:val="0"/>
          <w:i w:val="0"/>
          <w:color w:val="222222"/>
          <w:sz w:val="21"/>
        </w:rPr>
        <w:t>We work under NDA. Your project files and intellectual property remain yours and stay controlled. StingTools and our internal methods remain ours.</w:t>
      </w:r>
    </w:p>
    <w:p>
      <w:pPr>
        <w:pStyle w:val="ListBullet"/>
        <w:spacing w:after="60"/>
      </w:pPr>
      <w:r>
        <w:rPr>
          <w:rFonts w:ascii="Arial" w:hAnsi="Arial"/>
          <w:b/>
          <w:i w:val="0"/>
          <w:color w:val="222222"/>
          <w:sz w:val="21"/>
        </w:rPr>
        <w:t xml:space="preserve">Engagement models. </w:t>
      </w:r>
      <w:r>
        <w:rPr>
          <w:rFonts w:ascii="Arial" w:hAnsi="Arial"/>
          <w:b w:val="0"/>
          <w:i w:val="0"/>
          <w:color w:val="222222"/>
          <w:sz w:val="21"/>
        </w:rPr>
        <w:t>Per-project fixed fee, per-m² rate, or monthly retainer — your choice per the volume.</w:t>
      </w:r>
    </w:p>
    <w:p>
      <w:pPr>
        <w:pStyle w:val="ListBullet"/>
        <w:spacing w:after="60"/>
      </w:pPr>
      <w:r>
        <w:rPr>
          <w:rFonts w:ascii="Arial" w:hAnsi="Arial"/>
          <w:b/>
          <w:i w:val="0"/>
          <w:color w:val="222222"/>
          <w:sz w:val="21"/>
        </w:rPr>
        <w:t xml:space="preserve">Standards. </w:t>
      </w:r>
      <w:r>
        <w:rPr>
          <w:rFonts w:ascii="Arial" w:hAnsi="Arial"/>
          <w:b w:val="0"/>
          <w:i w:val="0"/>
          <w:color w:val="222222"/>
          <w:sz w:val="21"/>
        </w:rPr>
        <w:t>Delivered to ISO 19650, and to BS 7671 / BS EN / CIBSE and the Uganda National Building Code as applicable to each discipline.</w:t>
      </w:r>
    </w:p>
    <w:p>
      <w:pPr>
        <w:pStyle w:val="ListBullet"/>
        <w:spacing w:after="60"/>
      </w:pPr>
      <w:r>
        <w:rPr>
          <w:rFonts w:ascii="Arial" w:hAnsi="Arial"/>
          <w:b/>
          <w:i w:val="0"/>
          <w:color w:val="222222"/>
          <w:sz w:val="21"/>
        </w:rPr>
        <w:t xml:space="preserve">Quality. </w:t>
      </w:r>
      <w:r>
        <w:rPr>
          <w:rFonts w:ascii="Arial" w:hAnsi="Arial"/>
          <w:b w:val="0"/>
          <w:i w:val="0"/>
          <w:color w:val="222222"/>
          <w:sz w:val="21"/>
        </w:rPr>
        <w:t>Every model passes an automated compliance check before issue; deliverables are engineer-reviewed.</w:t>
      </w:r>
    </w:p>
    <w:p>
      <w:pPr>
        <w:pStyle w:val="ListBullet"/>
        <w:spacing w:after="60"/>
      </w:pPr>
      <w:r>
        <w:rPr>
          <w:rFonts w:ascii="Arial" w:hAnsi="Arial"/>
          <w:b/>
          <w:i w:val="0"/>
          <w:color w:val="222222"/>
          <w:sz w:val="21"/>
        </w:rPr>
        <w:t xml:space="preserve">Payment. </w:t>
      </w:r>
      <w:r>
        <w:rPr>
          <w:rFonts w:ascii="Arial" w:hAnsi="Arial"/>
          <w:b w:val="0"/>
          <w:i w:val="0"/>
          <w:color w:val="222222"/>
          <w:sz w:val="21"/>
        </w:rPr>
        <w:t>Terms agreed per engagement; pilot typically part on award, balance on delivery.</w:t>
      </w:r>
    </w:p>
    <w:p>
      <w:pPr>
        <w:spacing w:before="320" w:after="80"/>
        <w:pBdr>
          <w:bottom w:val="single" w:sz="8" w:space="2" w:color="016EA7"/>
        </w:pBdr>
      </w:pPr>
      <w:r>
        <w:rPr>
          <w:rFonts w:ascii="Arial" w:hAnsi="Arial"/>
          <w:b/>
          <w:i w:val="0"/>
          <w:color w:val="016EA7"/>
          <w:sz w:val="30"/>
        </w:rPr>
        <w:t>10.   Next steps &amp; acceptance</w:t>
      </w:r>
    </w:p>
    <w:p>
      <w:pPr>
        <w:spacing w:after="120" w:before="0"/>
      </w:pPr>
      <w:r>
        <w:rPr>
          <w:rFonts w:ascii="Arial" w:hAnsi="Arial"/>
          <w:b w:val="0"/>
          <w:i w:val="0"/>
          <w:color w:val="222222"/>
          <w:sz w:val="21"/>
        </w:rPr>
        <w:t>1.  You nominate one live project for the pilot.</w:t>
      </w:r>
    </w:p>
    <w:p>
      <w:pPr>
        <w:spacing w:after="120" w:before="0"/>
      </w:pPr>
      <w:r>
        <w:rPr>
          <w:rFonts w:ascii="Arial" w:hAnsi="Arial"/>
          <w:b w:val="0"/>
          <w:i w:val="0"/>
          <w:color w:val="222222"/>
          <w:sz w:val="21"/>
        </w:rPr>
        <w:t>2.  You share the drawings and floor area; we return a fixed pilot fee and delivery date within 5 working days.</w:t>
      </w:r>
    </w:p>
    <w:p>
      <w:pPr>
        <w:spacing w:after="120" w:before="0"/>
      </w:pPr>
      <w:r>
        <w:rPr>
          <w:rFonts w:ascii="Arial" w:hAnsi="Arial"/>
          <w:b w:val="0"/>
          <w:i w:val="0"/>
          <w:color w:val="222222"/>
          <w:sz w:val="21"/>
        </w:rPr>
        <w:t>3.  On your go-ahead, we sign the NDA and begin.</w:t>
      </w:r>
    </w:p>
    <w:p>
      <w:pPr>
        <w:spacing w:after="320" w:before="0"/>
      </w:pPr>
      <w:r>
        <w:rPr>
          <w:rFonts w:ascii="Arial" w:hAnsi="Arial"/>
          <w:b w:val="0"/>
          <w:i w:val="0"/>
          <w:color w:val="222222"/>
          <w:sz w:val="21"/>
        </w:rPr>
        <w:t>We welcome any questions on this proposal — including a short session to walk your team through a live model and the sample outputs, so the board can see exactly what is being bought.</w:t>
      </w:r>
    </w:p>
    <w:tbl>
      <w:tblPr>
        <w:tblStyle w:val="TableGrid"/>
        <w:tblW w:type="auto" w:w="0"/>
        <w:jc w:val="center"/>
        <w:tblLook w:firstColumn="1" w:firstRow="1" w:lastColumn="0" w:lastRow="0" w:noHBand="0" w:noVBand="1" w:val="04A0"/>
      </w:tblPr>
      <w:tblGrid>
        <w:gridCol w:w="4824"/>
        <w:gridCol w:w="4824"/>
      </w:tblGrid>
      <w:tr>
        <w:tc>
          <w:tcPr>
            <w:tcW w:type="dxa" w:w="4536"/>
            <w:shd w:val="clear" w:fill="016EA7"/>
          </w:tcPr>
          <w:p>
            <w:pPr>
              <w:spacing w:after="40"/>
            </w:pPr>
            <w:r>
              <w:rPr>
                <w:rFonts w:ascii="Arial" w:hAnsi="Arial"/>
                <w:b/>
                <w:color w:val="FFFFFF"/>
                <w:sz w:val="19"/>
              </w:rPr>
              <w:t>Accepted for [Client Company Name]</w:t>
            </w:r>
          </w:p>
        </w:tc>
        <w:tc>
          <w:tcPr>
            <w:tcW w:type="dxa" w:w="4536"/>
            <w:shd w:val="clear" w:fill="016EA7"/>
          </w:tcPr>
          <w:p>
            <w:pPr>
              <w:spacing w:after="40"/>
            </w:pPr>
            <w:r>
              <w:rPr>
                <w:rFonts w:ascii="Arial" w:hAnsi="Arial"/>
                <w:b/>
                <w:color w:val="FFFFFF"/>
                <w:sz w:val="19"/>
              </w:rPr>
              <w:t>For Planscape Consulting Engineers Ltd</w:t>
            </w:r>
          </w:p>
        </w:tc>
      </w:tr>
      <w:tr>
        <w:tc>
          <w:tcPr>
            <w:tcW w:type="dxa" w:w="4536"/>
          </w:tcPr>
          <w:p>
            <w:pPr>
              <w:spacing w:after="40"/>
            </w:pPr>
            <w:r>
              <w:rPr>
                <w:rFonts w:ascii="Arial" w:hAnsi="Arial"/>
                <w:color w:val="222222"/>
                <w:sz w:val="19"/>
              </w:rPr>
              <w:t>Name:</w:t>
            </w:r>
          </w:p>
        </w:tc>
        <w:tc>
          <w:tcPr>
            <w:tcW w:type="dxa" w:w="4536"/>
          </w:tcPr>
          <w:p>
            <w:pPr>
              <w:spacing w:after="40"/>
            </w:pPr>
            <w:r>
              <w:rPr>
                <w:rFonts w:ascii="Arial" w:hAnsi="Arial"/>
                <w:color w:val="222222"/>
                <w:sz w:val="19"/>
              </w:rPr>
              <w:t>Name:  Davis Mayanja</w:t>
            </w:r>
          </w:p>
        </w:tc>
      </w:tr>
      <w:tr>
        <w:tc>
          <w:tcPr>
            <w:tcW w:type="dxa" w:w="4536"/>
          </w:tcPr>
          <w:p>
            <w:pPr>
              <w:spacing w:after="40"/>
            </w:pPr>
            <w:r>
              <w:rPr>
                <w:rFonts w:ascii="Arial" w:hAnsi="Arial"/>
                <w:color w:val="222222"/>
                <w:sz w:val="19"/>
              </w:rPr>
              <w:t>Title:</w:t>
            </w:r>
          </w:p>
        </w:tc>
        <w:tc>
          <w:tcPr>
            <w:tcW w:type="dxa" w:w="4536"/>
          </w:tcPr>
          <w:p>
            <w:pPr>
              <w:spacing w:after="40"/>
            </w:pPr>
            <w:r>
              <w:rPr>
                <w:rFonts w:ascii="Arial" w:hAnsi="Arial"/>
                <w:color w:val="222222"/>
                <w:sz w:val="19"/>
              </w:rPr>
              <w:t>Title:  BIM Manager / Information Manager</w:t>
            </w:r>
          </w:p>
        </w:tc>
      </w:tr>
      <w:tr>
        <w:tc>
          <w:tcPr>
            <w:tcW w:type="dxa" w:w="4536"/>
          </w:tcPr>
          <w:p>
            <w:pPr>
              <w:spacing w:after="40"/>
            </w:pPr>
            <w:r>
              <w:rPr>
                <w:rFonts w:ascii="Arial" w:hAnsi="Arial"/>
                <w:color w:val="222222"/>
                <w:sz w:val="19"/>
              </w:rPr>
              <w:t>Signature:</w:t>
            </w:r>
          </w:p>
        </w:tc>
        <w:tc>
          <w:tcPr>
            <w:tcW w:type="dxa" w:w="4536"/>
          </w:tcPr>
          <w:p>
            <w:pPr>
              <w:spacing w:after="40"/>
            </w:pPr>
            <w:r>
              <w:rPr>
                <w:rFonts w:ascii="Arial" w:hAnsi="Arial"/>
                <w:color w:val="222222"/>
                <w:sz w:val="19"/>
              </w:rPr>
              <w:t>Signature:</w:t>
            </w:r>
          </w:p>
        </w:tc>
      </w:tr>
      <w:tr>
        <w:tc>
          <w:tcPr>
            <w:tcW w:type="dxa" w:w="4536"/>
          </w:tcPr>
          <w:p>
            <w:pPr>
              <w:spacing w:after="40"/>
            </w:pPr>
            <w:r>
              <w:rPr>
                <w:rFonts w:ascii="Arial" w:hAnsi="Arial"/>
                <w:color w:val="222222"/>
                <w:sz w:val="19"/>
              </w:rPr>
              <w:t>Date:</w:t>
            </w:r>
          </w:p>
        </w:tc>
        <w:tc>
          <w:tcPr>
            <w:tcW w:type="dxa" w:w="4536"/>
          </w:tcPr>
          <w:p>
            <w:pPr>
              <w:spacing w:after="40"/>
            </w:pPr>
            <w:r>
              <w:rPr>
                <w:rFonts w:ascii="Arial" w:hAnsi="Arial"/>
                <w:color w:val="222222"/>
                <w:sz w:val="19"/>
              </w:rPr>
              <w:t>Date:</w:t>
            </w:r>
          </w:p>
        </w:tc>
      </w:tr>
    </w:tbl>
    <w:p>
      <w:pPr>
        <w:spacing w:after="40"/>
      </w:pPr>
    </w:p>
    <w:p>
      <w:r>
        <w:br w:type="page"/>
      </w:r>
    </w:p>
    <w:p>
      <w:pPr>
        <w:spacing w:before="320" w:after="80"/>
        <w:pBdr>
          <w:bottom w:val="single" w:sz="8" w:space="2" w:color="016EA7"/>
        </w:pBdr>
      </w:pPr>
      <w:r>
        <w:rPr>
          <w:rFonts w:ascii="Arial" w:hAnsi="Arial"/>
          <w:b/>
          <w:i w:val="0"/>
          <w:color w:val="016EA7"/>
          <w:sz w:val="30"/>
        </w:rPr>
        <w:t>Appendix A — Glossary of BIM terms</w:t>
      </w:r>
    </w:p>
    <w:p>
      <w:pPr>
        <w:spacing w:after="100"/>
      </w:pPr>
      <w:r>
        <w:rPr>
          <w:rFonts w:ascii="Arial" w:hAnsi="Arial"/>
          <w:b/>
          <w:i w:val="0"/>
          <w:color w:val="016EA7"/>
          <w:sz w:val="20"/>
        </w:rPr>
        <w:t xml:space="preserve">BIM (Building Information Modeling) — </w:t>
      </w:r>
      <w:r>
        <w:rPr>
          <w:rFonts w:ascii="Arial" w:hAnsi="Arial"/>
          <w:b w:val="0"/>
          <w:i w:val="0"/>
          <w:color w:val="222222"/>
          <w:sz w:val="20"/>
        </w:rPr>
        <w:t>A data-rich 3D model of a building where every element carries information (size, system, material, cost). Drawings, schedules and quantities all derive from it.</w:t>
      </w:r>
    </w:p>
    <w:p>
      <w:pPr>
        <w:spacing w:after="100"/>
      </w:pPr>
      <w:r>
        <w:rPr>
          <w:rFonts w:ascii="Arial" w:hAnsi="Arial"/>
          <w:b/>
          <w:i w:val="0"/>
          <w:color w:val="016EA7"/>
          <w:sz w:val="20"/>
        </w:rPr>
        <w:t xml:space="preserve">Federated model — </w:t>
      </w:r>
      <w:r>
        <w:rPr>
          <w:rFonts w:ascii="Arial" w:hAnsi="Arial"/>
          <w:b w:val="0"/>
          <w:i w:val="0"/>
          <w:color w:val="222222"/>
          <w:sz w:val="20"/>
        </w:rPr>
        <w:t>The separate discipline models (architecture, structure, MEP) combined into one coordinated model so conflicts between them can be found.</w:t>
      </w:r>
    </w:p>
    <w:p>
      <w:pPr>
        <w:spacing w:after="100"/>
      </w:pPr>
      <w:r>
        <w:rPr>
          <w:rFonts w:ascii="Arial" w:hAnsi="Arial"/>
          <w:b/>
          <w:i w:val="0"/>
          <w:color w:val="016EA7"/>
          <w:sz w:val="20"/>
        </w:rPr>
        <w:t xml:space="preserve">Clash detection — </w:t>
      </w:r>
      <w:r>
        <w:rPr>
          <w:rFonts w:ascii="Arial" w:hAnsi="Arial"/>
          <w:b w:val="0"/>
          <w:i w:val="0"/>
          <w:color w:val="222222"/>
          <w:sz w:val="20"/>
        </w:rPr>
        <w:t>Software checking where elements physically conflict — e.g. a duct passing through a beam — so it is fixed in the office, not on site.</w:t>
      </w:r>
    </w:p>
    <w:p>
      <w:pPr>
        <w:spacing w:after="100"/>
      </w:pPr>
      <w:r>
        <w:rPr>
          <w:rFonts w:ascii="Arial" w:hAnsi="Arial"/>
          <w:b/>
          <w:i w:val="0"/>
          <w:color w:val="016EA7"/>
          <w:sz w:val="20"/>
        </w:rPr>
        <w:t xml:space="preserve">LOD (Level of Detail / Development) — </w:t>
      </w:r>
      <w:r>
        <w:rPr>
          <w:rFonts w:ascii="Arial" w:hAnsi="Arial"/>
          <w:b w:val="0"/>
          <w:i w:val="0"/>
          <w:color w:val="222222"/>
          <w:sz w:val="20"/>
        </w:rPr>
        <w:t>How detailed and reliable a model is, from LOD 100 (concept) to LOD 500 (verified as-built). LOD 300 is typical for construction documentation; LOD 400 is fabrication-ready.</w:t>
      </w:r>
    </w:p>
    <w:p>
      <w:pPr>
        <w:spacing w:after="100"/>
      </w:pPr>
      <w:r>
        <w:rPr>
          <w:rFonts w:ascii="Arial" w:hAnsi="Arial"/>
          <w:b/>
          <w:i w:val="0"/>
          <w:color w:val="016EA7"/>
          <w:sz w:val="20"/>
        </w:rPr>
        <w:t xml:space="preserve">ISO 19650 — </w:t>
      </w:r>
      <w:r>
        <w:rPr>
          <w:rFonts w:ascii="Arial" w:hAnsi="Arial"/>
          <w:b w:val="0"/>
          <w:i w:val="0"/>
          <w:color w:val="222222"/>
          <w:sz w:val="20"/>
        </w:rPr>
        <w:t>The international standard for managing information on BIM projects — including how every element is named and tagged. Increasingly required in tenders.</w:t>
      </w:r>
    </w:p>
    <w:p>
      <w:pPr>
        <w:spacing w:after="100"/>
      </w:pPr>
      <w:r>
        <w:rPr>
          <w:rFonts w:ascii="Arial" w:hAnsi="Arial"/>
          <w:b/>
          <w:i w:val="0"/>
          <w:color w:val="016EA7"/>
          <w:sz w:val="20"/>
        </w:rPr>
        <w:t xml:space="preserve">CDE (Common Data Environment) — </w:t>
      </w:r>
      <w:r>
        <w:rPr>
          <w:rFonts w:ascii="Arial" w:hAnsi="Arial"/>
          <w:b w:val="0"/>
          <w:i w:val="0"/>
          <w:color w:val="222222"/>
          <w:sz w:val="20"/>
        </w:rPr>
        <w:t>The single agreed place where project information is stored and shared under ISO 19650.</w:t>
      </w:r>
    </w:p>
    <w:p>
      <w:pPr>
        <w:spacing w:after="100"/>
      </w:pPr>
      <w:r>
        <w:rPr>
          <w:rFonts w:ascii="Arial" w:hAnsi="Arial"/>
          <w:b/>
          <w:i w:val="0"/>
          <w:color w:val="016EA7"/>
          <w:sz w:val="20"/>
        </w:rPr>
        <w:t xml:space="preserve">BCF (BIM Collaboration Format) — </w:t>
      </w:r>
      <w:r>
        <w:rPr>
          <w:rFonts w:ascii="Arial" w:hAnsi="Arial"/>
          <w:b w:val="0"/>
          <w:i w:val="0"/>
          <w:color w:val="222222"/>
          <w:sz w:val="20"/>
        </w:rPr>
        <w:t>A standard file for sharing coordination issues and clashes between teams and software, so the contractor can act on them.</w:t>
      </w:r>
    </w:p>
    <w:p>
      <w:pPr>
        <w:spacing w:after="100"/>
      </w:pPr>
      <w:r>
        <w:rPr>
          <w:rFonts w:ascii="Arial" w:hAnsi="Arial"/>
          <w:b/>
          <w:i w:val="0"/>
          <w:color w:val="016EA7"/>
          <w:sz w:val="20"/>
        </w:rPr>
        <w:t xml:space="preserve">RFI (Request for Information) — </w:t>
      </w:r>
      <w:r>
        <w:rPr>
          <w:rFonts w:ascii="Arial" w:hAnsi="Arial"/>
          <w:b w:val="0"/>
          <w:i w:val="0"/>
          <w:color w:val="222222"/>
          <w:sz w:val="20"/>
        </w:rPr>
        <w:t>A formal query raised during construction when something is unclear or conflicts — BIM reduces these by resolving issues beforehand.</w:t>
      </w:r>
    </w:p>
    <w:p>
      <w:pPr>
        <w:spacing w:after="100"/>
      </w:pPr>
      <w:r>
        <w:rPr>
          <w:rFonts w:ascii="Arial" w:hAnsi="Arial"/>
          <w:b/>
          <w:i w:val="0"/>
          <w:color w:val="016EA7"/>
          <w:sz w:val="20"/>
        </w:rPr>
        <w:t xml:space="preserve">BOQ (Bill of Quantities) — </w:t>
      </w:r>
      <w:r>
        <w:rPr>
          <w:rFonts w:ascii="Arial" w:hAnsi="Arial"/>
          <w:b w:val="0"/>
          <w:i w:val="0"/>
          <w:color w:val="222222"/>
          <w:sz w:val="20"/>
        </w:rPr>
        <w:t>The itemised list of materials and works with quantities. In BIM it is generated from the model automatically.</w:t>
      </w:r>
    </w:p>
    <w:p>
      <w:pPr>
        <w:spacing w:after="100"/>
      </w:pPr>
      <w:r>
        <w:rPr>
          <w:rFonts w:ascii="Arial" w:hAnsi="Arial"/>
          <w:b/>
          <w:i w:val="0"/>
          <w:color w:val="016EA7"/>
          <w:sz w:val="20"/>
        </w:rPr>
        <w:t xml:space="preserve">NRM2 / SMM7 — </w:t>
      </w:r>
      <w:r>
        <w:rPr>
          <w:rFonts w:ascii="Arial" w:hAnsi="Arial"/>
          <w:b w:val="0"/>
          <w:i w:val="0"/>
          <w:color w:val="222222"/>
          <w:sz w:val="20"/>
        </w:rPr>
        <w:t>Standard rules for how quantities are measured and described in a BOQ.</w:t>
      </w:r>
    </w:p>
    <w:p>
      <w:pPr>
        <w:spacing w:after="100"/>
      </w:pPr>
      <w:r>
        <w:rPr>
          <w:rFonts w:ascii="Arial" w:hAnsi="Arial"/>
          <w:b/>
          <w:i w:val="0"/>
          <w:color w:val="016EA7"/>
          <w:sz w:val="20"/>
        </w:rPr>
        <w:t xml:space="preserve">Revit / Navisworks — </w:t>
      </w:r>
      <w:r>
        <w:rPr>
          <w:rFonts w:ascii="Arial" w:hAnsi="Arial"/>
          <w:b w:val="0"/>
          <w:i w:val="0"/>
          <w:color w:val="222222"/>
          <w:sz w:val="20"/>
        </w:rPr>
        <w:t>The Autodesk software used to build BIM models (Revit) and to coordinate and clash-check them (Navisworks).</w:t>
      </w:r>
    </w:p>
    <w:p>
      <w:pPr>
        <w:spacing w:after="100"/>
      </w:pPr>
      <w:r>
        <w:rPr>
          <w:rFonts w:ascii="Arial" w:hAnsi="Arial"/>
          <w:b/>
          <w:i w:val="0"/>
          <w:color w:val="016EA7"/>
          <w:sz w:val="20"/>
        </w:rPr>
        <w:t xml:space="preserve">StingTools — </w:t>
      </w:r>
      <w:r>
        <w:rPr>
          <w:rFonts w:ascii="Arial" w:hAnsi="Arial"/>
          <w:b w:val="0"/>
          <w:i w:val="0"/>
          <w:color w:val="222222"/>
          <w:sz w:val="20"/>
        </w:rPr>
        <w:t>Planscape’s proprietary Revit automation suite that performs the tagging, engineering calculations, quantities and clash workflows described in this proposal.</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95959"/>
        <w:sz w:val="16"/>
      </w:rPr>
      <w:t xml:space="preserve">Planscape Consulting Engineers Ltd   ·   Confidential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