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Transmittal Memo (B06)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Please acknowledge receipt of the documents listed below. Response deadlines — where given — are tracked in the associated CDE.</w:t>
      </w:r>
    </w:p>
    <w:p>
      <w:pPr>
        <w:spacing w:before="160" w:after="40"/>
      </w:pPr>
      <w:r>
        <w:rPr>
          <w:b/>
          <w:color w:val="1F4E79"/>
          <w:sz w:val="22"/>
        </w:rPr>
        <w:t>Transmittal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Transmittal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{{transmittal.id}}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{{transmittal.issue_date}}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Response due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{{transmittal.response_due}}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{{transmittal.method}}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{{transmittal.subject}}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Reason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{{transmittal.reason}}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Recipients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To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{{transmittal.recipients}}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Cc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{{transmittal.cc}}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Documents transmitted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Number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documents}}</w:t>
            </w:r>
          </w:p>
          <w:p>
            <w:r>
              <w:t>{{number}}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{{type}}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Covering note</w:t>
      </w:r>
    </w:p>
    <w:p>
      <w:r>
        <w:rPr>
          <w:b w:val="0"/>
          <w:i w:val="0"/>
          <w:sz w:val="20"/>
        </w:rPr>
        <w:t>{{transmittal.covering_note}}</w:t>
      </w:r>
    </w:p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