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Variation / Change Order (C12)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Formal variation order capturing cost, schedule and scope impact. Must be signed by all three parties before work commences.</w:t>
      </w:r>
    </w:p>
    <w:p>
      <w:pPr>
        <w:spacing w:before="160" w:after="40"/>
      </w:pPr>
      <w:r>
        <w:rPr>
          <w:b/>
          <w:color w:val="1F4E79"/>
          <w:sz w:val="22"/>
        </w:rPr>
        <w:t>Variation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Variation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Contract ref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{{doc.contractor_ref}}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Initiator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{{doc.discipline}}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Description of change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Impact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Cost impact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{{doc.cost_impact}}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{{doc.currency}}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Time impact (days)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{{doc.time_impact}}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New completion 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{{doc.new_completion}}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Risk category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{{doc.risk_category}}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Scope delta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UoM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Unit rate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Line total</w:t>
            </w:r>
          </w:p>
        </w:tc>
      </w:tr>
      <w:tr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scope_items}}</w:t>
            </w:r>
          </w:p>
          <w:p>
            <w:r>
              <w:t>{{item}}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{{description}}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{{qty}}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{{uom}}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{{rate}}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{{total}}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Supporting references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references}}</w:t>
            </w:r>
          </w:p>
          <w:p>
            <w:r>
              <w:t>{{ref_type}}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{{ref_id}}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{{ref_title}}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Contractor representative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Engineer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Employer representative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