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KUT — Revit smoke-test checklist</w:t>
      </w:r>
    </w:p>
    <w:p>
      <w:r>
        <w:rPr>
          <w:i/>
          <w:color w:val="808080"/>
          <w:sz w:val="16"/>
        </w:rPr>
        <w:t>Generated from docs/examples/KUT/smoke_test.json — do not edit this document; edit the JSON and re-run tools/build_smoke_test.py.</w:t>
      </w:r>
    </w:p>
    <w:p>
      <w:pPr>
        <w:pStyle w:val="Heading1"/>
      </w:pPr>
      <w:r>
        <w:t>Session</w:t>
      </w:r>
    </w:p>
    <w:tbl>
      <w:tblPr>
        <w:tblStyle w:val="TableGrid"/>
        <w:tblW w:type="auto" w:w="0"/>
        <w:tblLook w:firstColumn="1" w:firstRow="1" w:lastColumn="0" w:lastRow="0" w:noHBand="0" w:noVBand="1" w:val="04A0"/>
      </w:tblPr>
      <w:tblGrid>
        <w:gridCol w:w="5320"/>
        <w:gridCol w:w="5320"/>
      </w:tblGrid>
      <w:tr>
        <w:tc>
          <w:tcPr>
            <w:tcW w:type="dxa" w:w="5320"/>
          </w:tcPr>
          <w:p>
            <w:r>
              <w:rPr>
                <w:b/>
              </w:rPr>
              <w:t>Project / model</w:t>
            </w:r>
          </w:p>
        </w:tc>
        <w:tc>
          <w:tcPr>
            <w:tcW w:type="dxa" w:w="5320"/>
          </w:tcPr>
          <w:p>
            <w:r/>
          </w:p>
        </w:tc>
      </w:tr>
      <w:tr>
        <w:tc>
          <w:tcPr>
            <w:tcW w:type="dxa" w:w="5320"/>
          </w:tcPr>
          <w:p>
            <w:r>
              <w:rPr>
                <w:b/>
              </w:rPr>
              <w:t>Revit version + build</w:t>
            </w:r>
          </w:p>
        </w:tc>
        <w:tc>
          <w:tcPr>
            <w:tcW w:type="dxa" w:w="5320"/>
          </w:tcPr>
          <w:p>
            <w:r/>
          </w:p>
        </w:tc>
      </w:tr>
      <w:tr>
        <w:tc>
          <w:tcPr>
            <w:tcW w:type="dxa" w:w="5320"/>
          </w:tcPr>
          <w:p>
            <w:r>
              <w:rPr>
                <w:b/>
              </w:rPr>
              <w:t>Tester</w:t>
            </w:r>
          </w:p>
        </w:tc>
        <w:tc>
          <w:tcPr>
            <w:tcW w:type="dxa" w:w="5320"/>
          </w:tcPr>
          <w:p>
            <w:r/>
          </w:p>
        </w:tc>
      </w:tr>
      <w:tr>
        <w:tc>
          <w:tcPr>
            <w:tcW w:type="dxa" w:w="5320"/>
          </w:tcPr>
          <w:p>
            <w:r>
              <w:rPr>
                <w:b/>
              </w:rPr>
              <w:t>Date</w:t>
            </w:r>
          </w:p>
        </w:tc>
        <w:tc>
          <w:tcPr>
            <w:tcW w:type="dxa" w:w="5320"/>
          </w:tcPr>
          <w:p>
            <w:r/>
          </w:p>
        </w:tc>
      </w:tr>
      <w:tr>
        <w:tc>
          <w:tcPr>
            <w:tcW w:type="dxa" w:w="5320"/>
          </w:tcPr>
          <w:p>
            <w:r>
              <w:rPr>
                <w:b/>
              </w:rPr>
              <w:t>Plugin DLL path (from the live .addin)</w:t>
            </w:r>
          </w:p>
        </w:tc>
        <w:tc>
          <w:tcPr>
            <w:tcW w:type="dxa" w:w="5320"/>
          </w:tcPr>
          <w:p>
            <w:r/>
          </w:p>
        </w:tc>
      </w:tr>
    </w:tbl>
    <w:p>
      <w:pPr>
        <w:pStyle w:val="Heading1"/>
      </w:pPr>
      <w:r>
        <w:t>Before you start</w:t>
      </w:r>
    </w:p>
    <w:p>
      <w:r>
        <w:t>Ordered manual checklist for the BIM Manager's first Revit session on the Kampala Uganda Temple pack. Every command below builds clean and its wiring is machine-checked (`python tools/check_smoke_test.py`), but **none of it has been exercised against a real model** — walk this list on a sample KUT model before the engagement relies on it.</w:t>
      </w:r>
    </w:p>
    <w:p>
      <w:r>
        <w:t>Steps marked **pre-cleared offline** have had their contract asserted by the CI gate: the command tag resolves, the button is really on the declared panel/tab/section with that label, the fixture exists, and the parameters named in the expected outcome are registered and bound. A failure on one of those in Revit is a genuine surprise, not a stale checklist.</w:t>
      </w:r>
    </w:p>
    <w:p>
      <w:r>
        <w:t>What the gate cannot prove is everything about real geometry — whether the tags are *right*, whether an LOD verdict is *fair*, whether the mis-placed switch is actually caught. That judgement is what this session is for.</w:t>
      </w:r>
    </w:p>
    <w:p>
      <w:pPr>
        <w:pStyle w:val="Heading1"/>
      </w:pPr>
      <w:r>
        <w:t>Setup</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 Deploy the build and open a KUT model with rooms placed</w:t>
            </w:r>
          </w:p>
        </w:tc>
      </w:tr>
      <w:tr>
        <w:tc>
          <w:tcPr>
            <w:tcW w:type="dxa" w:w="5320"/>
          </w:tcPr>
          <w:p>
            <w:r>
              <w:rPr>
                <w:b/>
                <w:sz w:val="18"/>
              </w:rPr>
              <w:t>Run it via</w:t>
            </w:r>
          </w:p>
        </w:tc>
        <w:tc>
          <w:tcPr>
            <w:tcW w:type="dxa" w:w="5320"/>
          </w:tcPr>
          <w:p>
            <w:r>
              <w:rPr>
                <w:b w:val="0"/>
                <w:sz w:val="18"/>
              </w:rPr>
              <w:t>Revit-native action — no STING command</w:t>
            </w:r>
          </w:p>
        </w:tc>
      </w:tr>
      <w:tr>
        <w:tc>
          <w:tcPr>
            <w:tcW w:type="dxa" w:w="5320"/>
          </w:tcPr>
          <w:p>
            <w:r>
              <w:rPr>
                <w:b/>
                <w:sz w:val="18"/>
              </w:rPr>
              <w:t>Expected</w:t>
            </w:r>
          </w:p>
        </w:tc>
        <w:tc>
          <w:tcPr>
            <w:tcW w:type="dxa" w:w="5320"/>
          </w:tcPr>
          <w:p>
            <w:r>
              <w:rPr>
                <w:b w:val="0"/>
                <w:sz w:val="18"/>
              </w:rPr>
              <w:t>STING dock panel loads; no startup errors in StingTools.log</w:t>
            </w:r>
          </w:p>
        </w:tc>
      </w:tr>
      <w:tr>
        <w:tc>
          <w:tcPr>
            <w:tcW w:type="dxa" w:w="5320"/>
          </w:tcPr>
          <w:p>
            <w:r>
              <w:rPr>
                <w:b/>
                <w:sz w:val="18"/>
              </w:rPr>
              <w:t>Note</w:t>
            </w:r>
          </w:p>
        </w:tc>
        <w:tc>
          <w:tcPr>
            <w:tcW w:type="dxa" w:w="5320"/>
          </w:tcPr>
          <w:p>
            <w:r>
              <w:rPr>
                <w:b w:val="0"/>
                <w:sz w:val="18"/>
              </w:rPr>
              <w:t>DLL + data/ + StingTools.addin, Revit 2025. Confirm where Revit actually loads from — grep the live .addin's &lt;Assembly&gt; path; copying into a folder the manifest does not name fails silently.</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 Copy the whole KUT overlay pack into &lt;project&gt;/_BIM_COORD/</w:t>
            </w:r>
          </w:p>
        </w:tc>
      </w:tr>
      <w:tr>
        <w:tc>
          <w:tcPr>
            <w:tcW w:type="dxa" w:w="5320"/>
          </w:tcPr>
          <w:p>
            <w:r>
              <w:rPr>
                <w:b/>
                <w:sz w:val="18"/>
              </w:rPr>
              <w:t>Run it via</w:t>
            </w:r>
          </w:p>
        </w:tc>
        <w:tc>
          <w:tcPr>
            <w:tcW w:type="dxa" w:w="5320"/>
          </w:tcPr>
          <w:p>
            <w:r>
              <w:rPr>
                <w:b w:val="0"/>
                <w:sz w:val="18"/>
              </w:rPr>
              <w:t>Revit-native action — no STING command</w:t>
            </w:r>
          </w:p>
        </w:tc>
      </w:tr>
      <w:tr>
        <w:tc>
          <w:tcPr>
            <w:tcW w:type="dxa" w:w="5320"/>
          </w:tcPr>
          <w:p>
            <w:r>
              <w:rPr>
                <w:b/>
                <w:sz w:val="18"/>
              </w:rPr>
              <w:t>Expected</w:t>
            </w:r>
          </w:p>
        </w:tc>
        <w:tc>
          <w:tcPr>
            <w:tcW w:type="dxa" w:w="5320"/>
          </w:tcPr>
          <w:p>
            <w:r>
              <w:rPr>
                <w:b w:val="0"/>
                <w:sz w:val="18"/>
              </w:rPr>
              <w:t>All seven overlay files in place: manifest.json, project_config.json, tag_schemes.json, lod_matrix.json, owner_standards.json, fohlio_map.json, sting_classification.json (+ climate_data.json only if the corporate Kampala entry is being replaced) Then close and reopen the model and click Project Cfg (ConfigEditor): it must say 'Config file found (project overlay (_BIM_COORD))' and list Locations BLD1, BLD2, BLD3, BLD4, BLD5, BLD6, EXT. 'BLD1, BLD2, BLD3, EXT' means the built-in defaults are in force: a project_config.json beside the .rvt is shadowing the overlay (the dialog names it).</w:t>
            </w:r>
          </w:p>
        </w:tc>
      </w:tr>
      <w:tr>
        <w:tc>
          <w:tcPr>
            <w:tcW w:type="dxa" w:w="5320"/>
          </w:tcPr>
          <w:p>
            <w:r>
              <w:rPr>
                <w:b/>
                <w:sz w:val="18"/>
              </w:rPr>
              <w:t>Fixture</w:t>
            </w:r>
          </w:p>
        </w:tc>
        <w:tc>
          <w:tcPr>
            <w:tcW w:type="dxa" w:w="5320"/>
          </w:tcPr>
          <w:p>
            <w:r>
              <w:rPr>
                <w:b w:val="0"/>
                <w:sz w:val="18"/>
              </w:rPr>
              <w:t>project-templates/KUT/_BIM_COORD</w:t>
            </w:r>
          </w:p>
        </w:tc>
      </w:tr>
      <w:tr>
        <w:tc>
          <w:tcPr>
            <w:tcW w:type="dxa" w:w="5320"/>
          </w:tcPr>
          <w:p>
            <w:r>
              <w:rPr>
                <w:b/>
                <w:sz w:val="18"/>
              </w:rPr>
              <w:t>Note</w:t>
            </w:r>
          </w:p>
        </w:tc>
        <w:tc>
          <w:tcPr>
            <w:tcW w:type="dxa" w:w="5320"/>
          </w:tcPr>
          <w:p>
            <w:r>
              <w:rPr>
                <w:b w:val="0"/>
                <w:sz w:val="18"/>
              </w:rPr>
              <w:t>Copy the FOLDER, not a selection. This step used to name three files from docs/examples/KUT/, so owner_standards.json, lod_matrix.json and fohlio_map.json never arrived and steps 12, 13 and 17-19 silently exercised the corporate baseline. Then on Project Information set PRJ_ORG_PROJECT_CODE_TXT = KUT, the originator code, an address containing "Kampala", and PLM_PRJ_PLUMBING_CODE_TXT = IPC-US (blank falls back to BS EN 12056 with no error).</w:t>
            </w:r>
          </w:p>
        </w:tc>
      </w:tr>
      <w:tr>
        <w:tc>
          <w:tcPr>
            <w:tcW w:type="dxa" w:w="5320"/>
          </w:tcPr>
          <w:p>
            <w:r>
              <w:rPr>
                <w:b/>
                <w:sz w:val="18"/>
              </w:rPr>
              <w:t>Result</w:t>
            </w:r>
          </w:p>
        </w:tc>
        <w:tc>
          <w:tcPr>
            <w:tcW w:type="dxa" w:w="5320"/>
          </w:tcPr>
          <w:p>
            <w:r>
              <w:rPr>
                <w:b w:val="0"/>
                <w:sz w:val="18"/>
              </w:rPr>
              <w:t>[  ] PASS      [  ] FAIL      [  ] NOT RUN</w:t>
            </w:r>
          </w:p>
        </w:tc>
      </w:tr>
    </w:tbl>
    <w:p/>
    <w:p>
      <w:pPr>
        <w:pStyle w:val="Heading1"/>
      </w:pPr>
      <w:r>
        <w:t>Parameters + tag scheme (Part A)</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3. Load Params   [pre-cleared offline]</w:t>
            </w:r>
          </w:p>
        </w:tc>
      </w:tr>
      <w:tr>
        <w:tc>
          <w:tcPr>
            <w:tcW w:type="dxa" w:w="5320"/>
          </w:tcPr>
          <w:p>
            <w:r>
              <w:rPr>
                <w:b/>
                <w:sz w:val="18"/>
              </w:rPr>
              <w:t>Run it via</w:t>
            </w:r>
          </w:p>
        </w:tc>
        <w:tc>
          <w:tcPr>
            <w:tcW w:type="dxa" w:w="5320"/>
          </w:tcPr>
          <w:p>
            <w:r>
              <w:rPr>
                <w:b w:val="0"/>
                <w:sz w:val="18"/>
              </w:rPr>
              <w:t>Load Params (STING panel · CREATE TAGS · ⚙ SETUP)</w:t>
            </w:r>
          </w:p>
        </w:tc>
      </w:tr>
      <w:tr>
        <w:tc>
          <w:tcPr>
            <w:tcW w:type="dxa" w:w="5320"/>
          </w:tcPr>
          <w:p>
            <w:r>
              <w:rPr>
                <w:b/>
                <w:sz w:val="18"/>
              </w:rPr>
              <w:t>Expected</w:t>
            </w:r>
          </w:p>
        </w:tc>
        <w:tc>
          <w:tcPr>
            <w:tcW w:type="dxa" w:w="5320"/>
          </w:tcPr>
          <w:p>
            <w:r>
              <w:rPr>
                <w:b w:val="0"/>
                <w:sz w:val="18"/>
              </w:rPr>
              <w:t>Binds without error. In Manage → Shared Parameters confirm ASS_TAG_SCHEME_TXT, ASS_LOD_VERIFIED_TXT, CSI_SECTION_TXT, CSI_TITLE_TXT and FOHLIO_REF_TXT are bound to all categories, and that LTG_HOIST_WEIGHT_KG, LTG_HOIST_MOTOR_TXT and LTG_HOIST_DROP_MM are bound to Lighting Fixtures ONLY — not Generic Models</w:t>
            </w:r>
          </w:p>
        </w:tc>
      </w:tr>
      <w:tr>
        <w:tc>
          <w:tcPr>
            <w:tcW w:type="dxa" w:w="5320"/>
          </w:tcPr>
          <w:p>
            <w:r>
              <w:rPr>
                <w:b/>
                <w:sz w:val="18"/>
              </w:rPr>
              <w:t>Command tag</w:t>
            </w:r>
          </w:p>
        </w:tc>
        <w:tc>
          <w:tcPr>
            <w:tcW w:type="dxa" w:w="5320"/>
          </w:tcPr>
          <w:p>
            <w:r>
              <w:rPr>
                <w:b w:val="0"/>
                <w:sz w:val="18"/>
              </w:rPr>
              <w:t>LoadSharedParams</w:t>
            </w:r>
          </w:p>
        </w:tc>
      </w:tr>
      <w:tr>
        <w:tc>
          <w:tcPr>
            <w:tcW w:type="dxa" w:w="5320"/>
          </w:tcPr>
          <w:p>
            <w:r>
              <w:rPr>
                <w:b/>
                <w:sz w:val="18"/>
              </w:rPr>
              <w:t>Note</w:t>
            </w:r>
          </w:p>
        </w:tc>
        <w:tc>
          <w:tcPr>
            <w:tcW w:type="dxa" w:w="5320"/>
          </w:tcPr>
          <w:p>
            <w:r>
              <w:rPr>
                <w:b w:val="0"/>
                <w:sz w:val="18"/>
              </w:rPr>
              <w:t>The Lighting-Fixtures-only scope is the correct one: PARAMETER_REGISTRY.json declares binding "LightingFixtures" and RESOLVED_BINDINGS.csv (the domain-derived source of truth SharedParamGuids reads) lists Lighting Fixtures alone. The sibling LTG_FIX_* params are "universal" and DO also reach Generic Models — do not use them as the pattern. Step 27 is the live test of this binding.</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4. Scheme Inspect   [pre-cleared offline]</w:t>
            </w:r>
          </w:p>
        </w:tc>
      </w:tr>
      <w:tr>
        <w:tc>
          <w:tcPr>
            <w:tcW w:type="dxa" w:w="5320"/>
          </w:tcPr>
          <w:p>
            <w:r>
              <w:rPr>
                <w:b/>
                <w:sz w:val="18"/>
              </w:rPr>
              <w:t>Run it via</w:t>
            </w:r>
          </w:p>
        </w:tc>
        <w:tc>
          <w:tcPr>
            <w:tcW w:type="dxa" w:w="5320"/>
          </w:tcPr>
          <w:p>
            <w:r>
              <w:rPr>
                <w:b w:val="0"/>
                <w:sz w:val="18"/>
              </w:rPr>
              <w:t>Scheme Inspect (STING panel · CREATE TAGS · ⚙ SCHEME TAGS)</w:t>
            </w:r>
          </w:p>
        </w:tc>
      </w:tr>
      <w:tr>
        <w:tc>
          <w:tcPr>
            <w:tcW w:type="dxa" w:w="5320"/>
          </w:tcPr>
          <w:p>
            <w:r>
              <w:rPr>
                <w:b/>
                <w:sz w:val="18"/>
              </w:rPr>
              <w:t>Expected</w:t>
            </w:r>
          </w:p>
        </w:tc>
        <w:tc>
          <w:tcPr>
            <w:tcW w:type="dxa" w:w="5320"/>
          </w:tcPr>
          <w:p>
            <w:r>
              <w:rPr>
                <w:b w:val="0"/>
                <w:sz w:val="18"/>
              </w:rPr>
              <w:t>kut-temple-example shows ● enabled and valid</w:t>
            </w:r>
          </w:p>
        </w:tc>
      </w:tr>
      <w:tr>
        <w:tc>
          <w:tcPr>
            <w:tcW w:type="dxa" w:w="5320"/>
          </w:tcPr>
          <w:p>
            <w:r>
              <w:rPr>
                <w:b/>
                <w:sz w:val="18"/>
              </w:rPr>
              <w:t>Command tag</w:t>
            </w:r>
          </w:p>
        </w:tc>
        <w:tc>
          <w:tcPr>
            <w:tcW w:type="dxa" w:w="5320"/>
          </w:tcPr>
          <w:p>
            <w:r>
              <w:rPr>
                <w:b w:val="0"/>
                <w:sz w:val="18"/>
              </w:rPr>
              <w:t>TagScheme_Inspect</w:t>
            </w:r>
          </w:p>
        </w:tc>
      </w:tr>
      <w:tr>
        <w:tc>
          <w:tcPr>
            <w:tcW w:type="dxa" w:w="5320"/>
          </w:tcPr>
          <w:p>
            <w:r>
              <w:rPr>
                <w:b/>
                <w:sz w:val="18"/>
              </w:rPr>
              <w:t>Depends on</w:t>
            </w:r>
          </w:p>
        </w:tc>
        <w:tc>
          <w:tcPr>
            <w:tcW w:type="dxa" w:w="5320"/>
          </w:tcPr>
          <w:p>
            <w:r>
              <w:rPr>
                <w:b w:val="0"/>
                <w:sz w:val="18"/>
              </w:rPr>
              <w:t>step(s) 2, 3</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5. Batch Tag a sample area   [pre-cleared offline]</w:t>
            </w:r>
          </w:p>
        </w:tc>
      </w:tr>
      <w:tr>
        <w:tc>
          <w:tcPr>
            <w:tcW w:type="dxa" w:w="5320"/>
          </w:tcPr>
          <w:p>
            <w:r>
              <w:rPr>
                <w:b/>
                <w:sz w:val="18"/>
              </w:rPr>
              <w:t>Run it via</w:t>
            </w:r>
          </w:p>
        </w:tc>
        <w:tc>
          <w:tcPr>
            <w:tcW w:type="dxa" w:w="5320"/>
          </w:tcPr>
          <w:p>
            <w:r>
              <w:rPr>
                <w:b w:val="0"/>
                <w:sz w:val="18"/>
              </w:rPr>
              <w:t>Batch Tag (STING panel · TAGGING · DATA TAGGING (ISO 19650))</w:t>
            </w:r>
          </w:p>
        </w:tc>
      </w:tr>
      <w:tr>
        <w:tc>
          <w:tcPr>
            <w:tcW w:type="dxa" w:w="5320"/>
          </w:tcPr>
          <w:p>
            <w:r>
              <w:rPr>
                <w:b/>
                <w:sz w:val="18"/>
              </w:rPr>
              <w:t>Expected</w:t>
            </w:r>
          </w:p>
        </w:tc>
        <w:tc>
          <w:tcPr>
            <w:tcW w:type="dxa" w:w="5320"/>
          </w:tcPr>
          <w:p>
            <w:r>
              <w:rPr>
                <w:b w:val="0"/>
                <w:sz w:val="18"/>
              </w:rPr>
              <w:t>Elements get ASS_TAG_1_TXT; new tags get a scheme string in ASS_TAG_SCHEME_TXT automatically</w:t>
            </w:r>
          </w:p>
        </w:tc>
      </w:tr>
      <w:tr>
        <w:tc>
          <w:tcPr>
            <w:tcW w:type="dxa" w:w="5320"/>
          </w:tcPr>
          <w:p>
            <w:r>
              <w:rPr>
                <w:b/>
                <w:sz w:val="18"/>
              </w:rPr>
              <w:t>Command tag</w:t>
            </w:r>
          </w:p>
        </w:tc>
        <w:tc>
          <w:tcPr>
            <w:tcW w:type="dxa" w:w="5320"/>
          </w:tcPr>
          <w:p>
            <w:r>
              <w:rPr>
                <w:b w:val="0"/>
                <w:sz w:val="18"/>
              </w:rPr>
              <w:t>BatchTag</w:t>
            </w:r>
          </w:p>
        </w:tc>
      </w:tr>
      <w:tr>
        <w:tc>
          <w:tcPr>
            <w:tcW w:type="dxa" w:w="5320"/>
          </w:tcPr>
          <w:p>
            <w:r>
              <w:rPr>
                <w:b/>
                <w:sz w:val="18"/>
              </w:rPr>
              <w:t>Depends on</w:t>
            </w:r>
          </w:p>
        </w:tc>
        <w:tc>
          <w:tcPr>
            <w:tcW w:type="dxa" w:w="5320"/>
          </w:tcPr>
          <w:p>
            <w:r>
              <w:rPr>
                <w:b w:val="0"/>
                <w:sz w:val="18"/>
              </w:rPr>
              <w:t>step(s) 4</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6. Render Scheme   [pre-cleared offline]</w:t>
            </w:r>
          </w:p>
        </w:tc>
      </w:tr>
      <w:tr>
        <w:tc>
          <w:tcPr>
            <w:tcW w:type="dxa" w:w="5320"/>
          </w:tcPr>
          <w:p>
            <w:r>
              <w:rPr>
                <w:b/>
                <w:sz w:val="18"/>
              </w:rPr>
              <w:t>Run it via</w:t>
            </w:r>
          </w:p>
        </w:tc>
        <w:tc>
          <w:tcPr>
            <w:tcW w:type="dxa" w:w="5320"/>
          </w:tcPr>
          <w:p>
            <w:r>
              <w:rPr>
                <w:b w:val="0"/>
                <w:sz w:val="18"/>
              </w:rPr>
              <w:t>Render Scheme (STING panel · CREATE TAGS · ⚙ SCHEME TAGS)</w:t>
            </w:r>
          </w:p>
        </w:tc>
      </w:tr>
      <w:tr>
        <w:tc>
          <w:tcPr>
            <w:tcW w:type="dxa" w:w="5320"/>
          </w:tcPr>
          <w:p>
            <w:r>
              <w:rPr>
                <w:b/>
                <w:sz w:val="18"/>
              </w:rPr>
              <w:t>Expected</w:t>
            </w:r>
          </w:p>
        </w:tc>
        <w:tc>
          <w:tcPr>
            <w:tcW w:type="dxa" w:w="5320"/>
          </w:tcPr>
          <w:p>
            <w:r>
              <w:rPr>
                <w:b w:val="0"/>
                <w:sz w:val="18"/>
              </w:rPr>
              <w:t>Back-fills ASS_TAG_SCHEME_TXT on already-tagged elements; the render stamp updates</w:t>
            </w:r>
          </w:p>
        </w:tc>
      </w:tr>
      <w:tr>
        <w:tc>
          <w:tcPr>
            <w:tcW w:type="dxa" w:w="5320"/>
          </w:tcPr>
          <w:p>
            <w:r>
              <w:rPr>
                <w:b/>
                <w:sz w:val="18"/>
              </w:rPr>
              <w:t>Command tag</w:t>
            </w:r>
          </w:p>
        </w:tc>
        <w:tc>
          <w:tcPr>
            <w:tcW w:type="dxa" w:w="5320"/>
          </w:tcPr>
          <w:p>
            <w:r>
              <w:rPr>
                <w:b w:val="0"/>
                <w:sz w:val="18"/>
              </w:rPr>
              <w:t>TagScheme_Render</w:t>
            </w:r>
          </w:p>
        </w:tc>
      </w:tr>
      <w:tr>
        <w:tc>
          <w:tcPr>
            <w:tcW w:type="dxa" w:w="5320"/>
          </w:tcPr>
          <w:p>
            <w:r>
              <w:rPr>
                <w:b/>
                <w:sz w:val="18"/>
              </w:rPr>
              <w:t>Depends on</w:t>
            </w:r>
          </w:p>
        </w:tc>
        <w:tc>
          <w:tcPr>
            <w:tcW w:type="dxa" w:w="5320"/>
          </w:tcPr>
          <w:p>
            <w:r>
              <w:rPr>
                <w:b w:val="0"/>
                <w:sz w:val="18"/>
              </w:rPr>
              <w:t>step(s) 5</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7. Scheme Audit   [pre-cleared offline]</w:t>
            </w:r>
          </w:p>
        </w:tc>
      </w:tr>
      <w:tr>
        <w:tc>
          <w:tcPr>
            <w:tcW w:type="dxa" w:w="5320"/>
          </w:tcPr>
          <w:p>
            <w:r>
              <w:rPr>
                <w:b/>
                <w:sz w:val="18"/>
              </w:rPr>
              <w:t>Run it via</w:t>
            </w:r>
          </w:p>
        </w:tc>
        <w:tc>
          <w:tcPr>
            <w:tcW w:type="dxa" w:w="5320"/>
          </w:tcPr>
          <w:p>
            <w:r>
              <w:rPr>
                <w:b w:val="0"/>
                <w:sz w:val="18"/>
              </w:rPr>
              <w:t>Scheme Audit (STING panel · CREATE TAGS · ⚙ SCHEME TAGS)</w:t>
            </w:r>
          </w:p>
        </w:tc>
      </w:tr>
      <w:tr>
        <w:tc>
          <w:tcPr>
            <w:tcW w:type="dxa" w:w="5320"/>
          </w:tcPr>
          <w:p>
            <w:r>
              <w:rPr>
                <w:b/>
                <w:sz w:val="18"/>
              </w:rPr>
              <w:t>Expected</w:t>
            </w:r>
          </w:p>
        </w:tc>
        <w:tc>
          <w:tcPr>
            <w:tcW w:type="dxa" w:w="5320"/>
          </w:tcPr>
          <w:p>
            <w:r>
              <w:rPr>
                <w:b w:val="0"/>
                <w:sz w:val="18"/>
              </w:rPr>
              <w:t>0 mismatches after the render</w:t>
            </w:r>
          </w:p>
        </w:tc>
      </w:tr>
      <w:tr>
        <w:tc>
          <w:tcPr>
            <w:tcW w:type="dxa" w:w="5320"/>
          </w:tcPr>
          <w:p>
            <w:r>
              <w:rPr>
                <w:b/>
                <w:sz w:val="18"/>
              </w:rPr>
              <w:t>Command tag</w:t>
            </w:r>
          </w:p>
        </w:tc>
        <w:tc>
          <w:tcPr>
            <w:tcW w:type="dxa" w:w="5320"/>
          </w:tcPr>
          <w:p>
            <w:r>
              <w:rPr>
                <w:b w:val="0"/>
                <w:sz w:val="18"/>
              </w:rPr>
              <w:t>TagScheme_Audit</w:t>
            </w:r>
          </w:p>
        </w:tc>
      </w:tr>
      <w:tr>
        <w:tc>
          <w:tcPr>
            <w:tcW w:type="dxa" w:w="5320"/>
          </w:tcPr>
          <w:p>
            <w:r>
              <w:rPr>
                <w:b/>
                <w:sz w:val="18"/>
              </w:rPr>
              <w:t>Depends on</w:t>
            </w:r>
          </w:p>
        </w:tc>
        <w:tc>
          <w:tcPr>
            <w:tcW w:type="dxa" w:w="5320"/>
          </w:tcPr>
          <w:p>
            <w:r>
              <w:rPr>
                <w:b w:val="0"/>
                <w:sz w:val="18"/>
              </w:rPr>
              <w:t>step(s) 6</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8. Token Confidence audit   [pre-cleared offline]</w:t>
            </w:r>
          </w:p>
        </w:tc>
      </w:tr>
      <w:tr>
        <w:tc>
          <w:tcPr>
            <w:tcW w:type="dxa" w:w="5320"/>
          </w:tcPr>
          <w:p>
            <w:r>
              <w:rPr>
                <w:b/>
                <w:sz w:val="18"/>
              </w:rPr>
              <w:t>Run it via</w:t>
            </w:r>
          </w:p>
        </w:tc>
        <w:tc>
          <w:tcPr>
            <w:tcW w:type="dxa" w:w="5320"/>
          </w:tcPr>
          <w:p>
            <w:r>
              <w:rPr>
                <w:b w:val="0"/>
                <w:sz w:val="18"/>
              </w:rPr>
              <w:t>Token Conf (STING panel · CREATE TAGS · ⚙ QUALITY ASSURANCE)</w:t>
            </w:r>
          </w:p>
        </w:tc>
      </w:tr>
      <w:tr>
        <w:tc>
          <w:tcPr>
            <w:tcW w:type="dxa" w:w="5320"/>
          </w:tcPr>
          <w:p>
            <w:r>
              <w:rPr>
                <w:b/>
                <w:sz w:val="18"/>
              </w:rPr>
              <w:t>Expected</w:t>
            </w:r>
          </w:p>
        </w:tc>
        <w:tc>
          <w:tcPr>
            <w:tcW w:type="dxa" w:w="5320"/>
          </w:tcPr>
          <w:p>
            <w:r>
              <w:rPr>
                <w:b w:val="0"/>
                <w:sz w:val="18"/>
              </w:rPr>
              <w:t>High/Medium/Low bands plus a silent-BLD1 count; ASS_LOC_SOURCE_TXT and ASS_ZONE_SOURCE_TXT populated</w:t>
            </w:r>
          </w:p>
        </w:tc>
      </w:tr>
      <w:tr>
        <w:tc>
          <w:tcPr>
            <w:tcW w:type="dxa" w:w="5320"/>
          </w:tcPr>
          <w:p>
            <w:r>
              <w:rPr>
                <w:b/>
                <w:sz w:val="18"/>
              </w:rPr>
              <w:t>Command tag</w:t>
            </w:r>
          </w:p>
        </w:tc>
        <w:tc>
          <w:tcPr>
            <w:tcW w:type="dxa" w:w="5320"/>
          </w:tcPr>
          <w:p>
            <w:r>
              <w:rPr>
                <w:b w:val="0"/>
                <w:sz w:val="18"/>
              </w:rPr>
              <w:t>TokenConfidenceAudit</w:t>
            </w:r>
          </w:p>
        </w:tc>
      </w:tr>
      <w:tr>
        <w:tc>
          <w:tcPr>
            <w:tcW w:type="dxa" w:w="5320"/>
          </w:tcPr>
          <w:p>
            <w:r>
              <w:rPr>
                <w:b/>
                <w:sz w:val="18"/>
              </w:rPr>
              <w:t>Artefact</w:t>
            </w:r>
          </w:p>
        </w:tc>
        <w:tc>
          <w:tcPr>
            <w:tcW w:type="dxa" w:w="5320"/>
          </w:tcPr>
          <w:p>
            <w:r>
              <w:rPr>
                <w:b w:val="0"/>
                <w:sz w:val="18"/>
              </w:rPr>
              <w:t>STING_TokenConfidence_Audit.csv</w:t>
            </w:r>
          </w:p>
        </w:tc>
      </w:tr>
      <w:tr>
        <w:tc>
          <w:tcPr>
            <w:tcW w:type="dxa" w:w="5320"/>
          </w:tcPr>
          <w:p>
            <w:r>
              <w:rPr>
                <w:b/>
                <w:sz w:val="18"/>
              </w:rPr>
              <w:t>Depends on</w:t>
            </w:r>
          </w:p>
        </w:tc>
        <w:tc>
          <w:tcPr>
            <w:tcW w:type="dxa" w:w="5320"/>
          </w:tcPr>
          <w:p>
            <w:r>
              <w:rPr>
                <w:b w:val="0"/>
                <w:sz w:val="18"/>
              </w:rPr>
              <w:t>step(s) 5</w:t>
            </w:r>
          </w:p>
        </w:tc>
      </w:tr>
      <w:tr>
        <w:tc>
          <w:tcPr>
            <w:tcW w:type="dxa" w:w="5320"/>
          </w:tcPr>
          <w:p>
            <w:r>
              <w:rPr>
                <w:b/>
                <w:sz w:val="18"/>
              </w:rPr>
              <w:t>Note</w:t>
            </w:r>
          </w:p>
        </w:tc>
        <w:tc>
          <w:tcPr>
            <w:tcW w:type="dxa" w:w="5320"/>
          </w:tcPr>
          <w:p>
            <w:r>
              <w:rPr>
                <w:b w:val="0"/>
                <w:sz w:val="18"/>
              </w:rPr>
              <w:t>Confirm a site element inside a STING-LOC::BLD2 scope box reads LOC_SOURCE=ScopeBox (High). Draw STING-LOC scope boxes UNROTATED — STING stores axis-aligned plan extents, so a rotated box is treated as its larger envelope. Where boxes nest, the smallest containing box wins.</w:t>
            </w:r>
          </w:p>
        </w:tc>
      </w:tr>
      <w:tr>
        <w:tc>
          <w:tcPr>
            <w:tcW w:type="dxa" w:w="5320"/>
          </w:tcPr>
          <w:p>
            <w:r>
              <w:rPr>
                <w:b/>
                <w:sz w:val="18"/>
              </w:rPr>
              <w:t>Result</w:t>
            </w:r>
          </w:p>
        </w:tc>
        <w:tc>
          <w:tcPr>
            <w:tcW w:type="dxa" w:w="5320"/>
          </w:tcPr>
          <w:p>
            <w:r>
              <w:rPr>
                <w:b w:val="0"/>
                <w:sz w:val="18"/>
              </w:rPr>
              <w:t>[  ] PASS      [  ] FAIL      [  ] NOT RUN</w:t>
            </w:r>
          </w:p>
        </w:tc>
      </w:tr>
    </w:tbl>
    <w:p/>
    <w:p>
      <w:pPr>
        <w:pStyle w:val="Heading1"/>
      </w:pPr>
      <w:r>
        <w:t>LOD + Owner-standards gates (Part B)</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9. LOD Verify at Deliverable B   [pre-cleared offline]</w:t>
            </w:r>
          </w:p>
        </w:tc>
      </w:tr>
      <w:tr>
        <w:tc>
          <w:tcPr>
            <w:tcW w:type="dxa" w:w="5320"/>
          </w:tcPr>
          <w:p>
            <w:r>
              <w:rPr>
                <w:b/>
                <w:sz w:val="18"/>
              </w:rPr>
              <w:t>Run it via</w:t>
            </w:r>
          </w:p>
        </w:tc>
        <w:tc>
          <w:tcPr>
            <w:tcW w:type="dxa" w:w="5320"/>
          </w:tcPr>
          <w:p>
            <w:r>
              <w:rPr>
                <w:b w:val="0"/>
                <w:sz w:val="18"/>
              </w:rPr>
              <w:t>LOD Verify (STING panel · BIM · LOD VERIFICATION)</w:t>
            </w:r>
          </w:p>
        </w:tc>
      </w:tr>
      <w:tr>
        <w:tc>
          <w:tcPr>
            <w:tcW w:type="dxa" w:w="5320"/>
          </w:tcPr>
          <w:p>
            <w:r>
              <w:rPr>
                <w:b/>
                <w:sz w:val="18"/>
              </w:rPr>
              <w:t>Expected</w:t>
            </w:r>
          </w:p>
        </w:tc>
        <w:tc>
          <w:tcPr>
            <w:tcW w:type="dxa" w:w="5320"/>
          </w:tcPr>
          <w:p>
            <w:r>
              <w:rPr>
                <w:b w:val="0"/>
                <w:sz w:val="18"/>
              </w:rPr>
              <w:t>TaskDialog states LOD 300; CSV STING_LOD_deliverable-b_Audit.csv and a JSON gate report in _BIM_COORD/lod_reports/</w:t>
            </w:r>
          </w:p>
        </w:tc>
      </w:tr>
      <w:tr>
        <w:tc>
          <w:tcPr>
            <w:tcW w:type="dxa" w:w="5320"/>
          </w:tcPr>
          <w:p>
            <w:r>
              <w:rPr>
                <w:b/>
                <w:sz w:val="18"/>
              </w:rPr>
              <w:t>Command tag</w:t>
            </w:r>
          </w:p>
        </w:tc>
        <w:tc>
          <w:tcPr>
            <w:tcW w:type="dxa" w:w="5320"/>
          </w:tcPr>
          <w:p>
            <w:r>
              <w:rPr>
                <w:b w:val="0"/>
                <w:sz w:val="18"/>
              </w:rPr>
              <w:t>LOD_Verify</w:t>
            </w:r>
          </w:p>
        </w:tc>
      </w:tr>
      <w:tr>
        <w:tc>
          <w:tcPr>
            <w:tcW w:type="dxa" w:w="5320"/>
          </w:tcPr>
          <w:p>
            <w:r>
              <w:rPr>
                <w:b/>
                <w:sz w:val="18"/>
              </w:rPr>
              <w:t>Artefact</w:t>
            </w:r>
          </w:p>
        </w:tc>
        <w:tc>
          <w:tcPr>
            <w:tcW w:type="dxa" w:w="5320"/>
          </w:tcPr>
          <w:p>
            <w:r>
              <w:rPr>
                <w:b w:val="0"/>
                <w:sz w:val="18"/>
              </w:rPr>
              <w:t>STING_LOD_deliverable-b_Audit.csv</w:t>
            </w:r>
          </w:p>
        </w:tc>
      </w:tr>
      <w:tr>
        <w:tc>
          <w:tcPr>
            <w:tcW w:type="dxa" w:w="5320"/>
          </w:tcPr>
          <w:p>
            <w:r>
              <w:rPr>
                <w:b/>
                <w:sz w:val="18"/>
              </w:rPr>
              <w:t>Depends on</w:t>
            </w:r>
          </w:p>
        </w:tc>
        <w:tc>
          <w:tcPr>
            <w:tcW w:type="dxa" w:w="5320"/>
          </w:tcPr>
          <w:p>
            <w:r>
              <w:rPr>
                <w:b w:val="0"/>
                <w:sz w:val="18"/>
              </w:rPr>
              <w:t>step(s) 2, 5</w:t>
            </w:r>
          </w:p>
        </w:tc>
      </w:tr>
      <w:tr>
        <w:tc>
          <w:tcPr>
            <w:tcW w:type="dxa" w:w="5320"/>
          </w:tcPr>
          <w:p>
            <w:r>
              <w:rPr>
                <w:b/>
                <w:sz w:val="18"/>
              </w:rPr>
              <w:t>Note</w:t>
            </w:r>
          </w:p>
        </w:tc>
        <w:tc>
          <w:tcPr>
            <w:tcW w:type="dxa" w:w="5320"/>
          </w:tcPr>
          <w:p>
            <w:r>
              <w:rPr>
                <w:b w:val="0"/>
                <w:sz w:val="18"/>
              </w:rPr>
              <w:t>Check the SKIPPED line. If it reports elements skipped for having no category rule and no "*" fallback, those are outside the denominator — a coverage gap, not a pass. A run with nothing in scope now says "NO ELEMENTS IN SCOPE", never 100%.</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10. LOD Verify at Construction (LOD 400)   [pre-cleared offline]</w:t>
            </w:r>
          </w:p>
        </w:tc>
      </w:tr>
      <w:tr>
        <w:tc>
          <w:tcPr>
            <w:tcW w:type="dxa" w:w="5320"/>
          </w:tcPr>
          <w:p>
            <w:r>
              <w:rPr>
                <w:b/>
                <w:sz w:val="18"/>
              </w:rPr>
              <w:t>Run it via</w:t>
            </w:r>
          </w:p>
        </w:tc>
        <w:tc>
          <w:tcPr>
            <w:tcW w:type="dxa" w:w="5320"/>
          </w:tcPr>
          <w:p>
            <w:r>
              <w:rPr>
                <w:b w:val="0"/>
                <w:sz w:val="18"/>
              </w:rPr>
              <w:t>LOD Verify (STING panel · BIM · LOD VERIFICATION)</w:t>
            </w:r>
          </w:p>
        </w:tc>
      </w:tr>
      <w:tr>
        <w:tc>
          <w:tcPr>
            <w:tcW w:type="dxa" w:w="5320"/>
          </w:tcPr>
          <w:p>
            <w:r>
              <w:rPr>
                <w:b/>
                <w:sz w:val="18"/>
              </w:rPr>
              <w:t>Expected</w:t>
            </w:r>
          </w:p>
        </w:tc>
        <w:tc>
          <w:tcPr>
            <w:tcW w:type="dxa" w:w="5320"/>
          </w:tcPr>
          <w:p>
            <w:r>
              <w:rPr>
                <w:b w:val="0"/>
                <w:sz w:val="18"/>
              </w:rPr>
              <w:t>Pick "Construction stage (fabrication/installation)"; the report states LOD 400. Plumbing Fixtures require MNT_TYPE_TXT at this rung</w:t>
            </w:r>
          </w:p>
        </w:tc>
      </w:tr>
      <w:tr>
        <w:tc>
          <w:tcPr>
            <w:tcW w:type="dxa" w:w="5320"/>
          </w:tcPr>
          <w:p>
            <w:r>
              <w:rPr>
                <w:b/>
                <w:sz w:val="18"/>
              </w:rPr>
              <w:t>Command tag</w:t>
            </w:r>
          </w:p>
        </w:tc>
        <w:tc>
          <w:tcPr>
            <w:tcW w:type="dxa" w:w="5320"/>
          </w:tcPr>
          <w:p>
            <w:r>
              <w:rPr>
                <w:b w:val="0"/>
                <w:sz w:val="18"/>
              </w:rPr>
              <w:t>LOD_Verify</w:t>
            </w:r>
          </w:p>
        </w:tc>
      </w:tr>
      <w:tr>
        <w:tc>
          <w:tcPr>
            <w:tcW w:type="dxa" w:w="5320"/>
          </w:tcPr>
          <w:p>
            <w:r>
              <w:rPr>
                <w:b/>
                <w:sz w:val="18"/>
              </w:rPr>
              <w:t>Artefact</w:t>
            </w:r>
          </w:p>
        </w:tc>
        <w:tc>
          <w:tcPr>
            <w:tcW w:type="dxa" w:w="5320"/>
          </w:tcPr>
          <w:p>
            <w:r>
              <w:rPr>
                <w:b w:val="0"/>
                <w:sz w:val="18"/>
              </w:rPr>
              <w:t>STING_LOD_construction_Audit.csv</w:t>
            </w:r>
          </w:p>
        </w:tc>
      </w:tr>
      <w:tr>
        <w:tc>
          <w:tcPr>
            <w:tcW w:type="dxa" w:w="5320"/>
          </w:tcPr>
          <w:p>
            <w:r>
              <w:rPr>
                <w:b/>
                <w:sz w:val="18"/>
              </w:rPr>
              <w:t>Depends on</w:t>
            </w:r>
          </w:p>
        </w:tc>
        <w:tc>
          <w:tcPr>
            <w:tcW w:type="dxa" w:w="5320"/>
          </w:tcPr>
          <w:p>
            <w:r>
              <w:rPr>
                <w:b w:val="0"/>
                <w:sz w:val="18"/>
              </w:rPr>
              <w:t>step(s) 9</w:t>
            </w:r>
          </w:p>
        </w:tc>
      </w:tr>
      <w:tr>
        <w:tc>
          <w:tcPr>
            <w:tcW w:type="dxa" w:w="5320"/>
          </w:tcPr>
          <w:p>
            <w:r>
              <w:rPr>
                <w:b/>
                <w:sz w:val="18"/>
              </w:rPr>
              <w:t>Note</w:t>
            </w:r>
          </w:p>
        </w:tc>
        <w:tc>
          <w:tcPr>
            <w:tcW w:type="dxa" w:w="5320"/>
          </w:tcPr>
          <w:p>
            <w:r>
              <w:rPr>
                <w:b w:val="0"/>
                <w:sz w:val="18"/>
              </w:rPr>
              <w:t>The construction milestone at LOD 400 was inserted by #623 and no step has ever exercised it. The MNT_TYPE_TXT requirement is new to KUT: the project lod_matrix.json overlay used to restate the Plumbing Fixtures rule minus that line, which silently relaxed the gate; the overlay no longer pins any category.</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11. LOD Verify at Deliverable D (LOD 500)   [pre-cleared offline]</w:t>
            </w:r>
          </w:p>
        </w:tc>
      </w:tr>
      <w:tr>
        <w:tc>
          <w:tcPr>
            <w:tcW w:type="dxa" w:w="5320"/>
          </w:tcPr>
          <w:p>
            <w:r>
              <w:rPr>
                <w:b/>
                <w:sz w:val="18"/>
              </w:rPr>
              <w:t>Run it via</w:t>
            </w:r>
          </w:p>
        </w:tc>
        <w:tc>
          <w:tcPr>
            <w:tcW w:type="dxa" w:w="5320"/>
          </w:tcPr>
          <w:p>
            <w:r>
              <w:rPr>
                <w:b w:val="0"/>
                <w:sz w:val="18"/>
              </w:rPr>
              <w:t>LOD Verify (STING panel · BIM · LOD VERIFICATION)</w:t>
            </w:r>
          </w:p>
        </w:tc>
      </w:tr>
      <w:tr>
        <w:tc>
          <w:tcPr>
            <w:tcW w:type="dxa" w:w="5320"/>
          </w:tcPr>
          <w:p>
            <w:r>
              <w:rPr>
                <w:b/>
                <w:sz w:val="18"/>
              </w:rPr>
              <w:t>Expected</w:t>
            </w:r>
          </w:p>
        </w:tc>
        <w:tc>
          <w:tcPr>
            <w:tcW w:type="dxa" w:w="5320"/>
          </w:tcPr>
          <w:p>
            <w:r>
              <w:rPr>
                <w:b w:val="0"/>
                <w:sz w:val="18"/>
              </w:rPr>
              <w:t>Pick "Deliverable D (record / as-built model)"; the report states LOD 500. Serialised plant requires ASS_SERIAL_NR_TXT and ASS_INSTALLATION_DATE_TXT; fabric and distribution categories inherit 400 and add nothing</w:t>
            </w:r>
          </w:p>
        </w:tc>
      </w:tr>
      <w:tr>
        <w:tc>
          <w:tcPr>
            <w:tcW w:type="dxa" w:w="5320"/>
          </w:tcPr>
          <w:p>
            <w:r>
              <w:rPr>
                <w:b/>
                <w:sz w:val="18"/>
              </w:rPr>
              <w:t>Command tag</w:t>
            </w:r>
          </w:p>
        </w:tc>
        <w:tc>
          <w:tcPr>
            <w:tcW w:type="dxa" w:w="5320"/>
          </w:tcPr>
          <w:p>
            <w:r>
              <w:rPr>
                <w:b w:val="0"/>
                <w:sz w:val="18"/>
              </w:rPr>
              <w:t>LOD_Verify</w:t>
            </w:r>
          </w:p>
        </w:tc>
      </w:tr>
      <w:tr>
        <w:tc>
          <w:tcPr>
            <w:tcW w:type="dxa" w:w="5320"/>
          </w:tcPr>
          <w:p>
            <w:r>
              <w:rPr>
                <w:b/>
                <w:sz w:val="18"/>
              </w:rPr>
              <w:t>Artefact</w:t>
            </w:r>
          </w:p>
        </w:tc>
        <w:tc>
          <w:tcPr>
            <w:tcW w:type="dxa" w:w="5320"/>
          </w:tcPr>
          <w:p>
            <w:r>
              <w:rPr>
                <w:b w:val="0"/>
                <w:sz w:val="18"/>
              </w:rPr>
              <w:t>STING_LOD_deliverable-d_Audit.csv</w:t>
            </w:r>
          </w:p>
        </w:tc>
      </w:tr>
      <w:tr>
        <w:tc>
          <w:tcPr>
            <w:tcW w:type="dxa" w:w="5320"/>
          </w:tcPr>
          <w:p>
            <w:r>
              <w:rPr>
                <w:b/>
                <w:sz w:val="18"/>
              </w:rPr>
              <w:t>Depends on</w:t>
            </w:r>
          </w:p>
        </w:tc>
        <w:tc>
          <w:tcPr>
            <w:tcW w:type="dxa" w:w="5320"/>
          </w:tcPr>
          <w:p>
            <w:r>
              <w:rPr>
                <w:b w:val="0"/>
                <w:sz w:val="18"/>
              </w:rPr>
              <w:t>step(s) 9</w:t>
            </w:r>
          </w:p>
        </w:tc>
      </w:tr>
      <w:tr>
        <w:tc>
          <w:tcPr>
            <w:tcW w:type="dxa" w:w="5320"/>
          </w:tcPr>
          <w:p>
            <w:r>
              <w:rPr>
                <w:b/>
                <w:sz w:val="18"/>
              </w:rPr>
              <w:t>Note</w:t>
            </w:r>
          </w:p>
        </w:tc>
        <w:tc>
          <w:tcPr>
            <w:tcW w:type="dxa" w:w="5320"/>
          </w:tcPr>
          <w:p>
            <w:r>
              <w:rPr>
                <w:b w:val="0"/>
                <w:sz w:val="18"/>
              </w:rPr>
              <w:t>Deliverable D moved 400 → 500 in #623 and rung 500 was made category-dependent in #635. This is the newest, least-exercised data in the pack — expect fabric to pass and serialised plant to fail on an early model, and confirm that asymmetry rather than a blanket failure.</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12. LOD Stamp at Deliverable B   [pre-cleared offline]</w:t>
            </w:r>
          </w:p>
        </w:tc>
      </w:tr>
      <w:tr>
        <w:tc>
          <w:tcPr>
            <w:tcW w:type="dxa" w:w="5320"/>
          </w:tcPr>
          <w:p>
            <w:r>
              <w:rPr>
                <w:b/>
                <w:sz w:val="18"/>
              </w:rPr>
              <w:t>Run it via</w:t>
            </w:r>
          </w:p>
        </w:tc>
        <w:tc>
          <w:tcPr>
            <w:tcW w:type="dxa" w:w="5320"/>
          </w:tcPr>
          <w:p>
            <w:r>
              <w:rPr>
                <w:b w:val="0"/>
                <w:sz w:val="18"/>
              </w:rPr>
              <w:t>LOD Stamp (STING panel · BIM · LOD VERIFICATION)</w:t>
            </w:r>
          </w:p>
        </w:tc>
      </w:tr>
      <w:tr>
        <w:tc>
          <w:tcPr>
            <w:tcW w:type="dxa" w:w="5320"/>
          </w:tcPr>
          <w:p>
            <w:r>
              <w:rPr>
                <w:b/>
                <w:sz w:val="18"/>
              </w:rPr>
              <w:t>Expected</w:t>
            </w:r>
          </w:p>
        </w:tc>
        <w:tc>
          <w:tcPr>
            <w:tcW w:type="dxa" w:w="5320"/>
          </w:tcPr>
          <w:p>
            <w:r>
              <w:rPr>
                <w:b w:val="0"/>
                <w:sz w:val="18"/>
              </w:rPr>
              <w:t>Passing elements get ASS_LOD_VERIFIED_TXT = deliverable-b. This is the only LOD command that writes, and it writes exactly this one parameter</w:t>
            </w:r>
          </w:p>
        </w:tc>
      </w:tr>
      <w:tr>
        <w:tc>
          <w:tcPr>
            <w:tcW w:type="dxa" w:w="5320"/>
          </w:tcPr>
          <w:p>
            <w:r>
              <w:rPr>
                <w:b/>
                <w:sz w:val="18"/>
              </w:rPr>
              <w:t>Command tag</w:t>
            </w:r>
          </w:p>
        </w:tc>
        <w:tc>
          <w:tcPr>
            <w:tcW w:type="dxa" w:w="5320"/>
          </w:tcPr>
          <w:p>
            <w:r>
              <w:rPr>
                <w:b w:val="0"/>
                <w:sz w:val="18"/>
              </w:rPr>
              <w:t>LOD_Stamp</w:t>
            </w:r>
          </w:p>
        </w:tc>
      </w:tr>
      <w:tr>
        <w:tc>
          <w:tcPr>
            <w:tcW w:type="dxa" w:w="5320"/>
          </w:tcPr>
          <w:p>
            <w:r>
              <w:rPr>
                <w:b/>
                <w:sz w:val="18"/>
              </w:rPr>
              <w:t>Depends on</w:t>
            </w:r>
          </w:p>
        </w:tc>
        <w:tc>
          <w:tcPr>
            <w:tcW w:type="dxa" w:w="5320"/>
          </w:tcPr>
          <w:p>
            <w:r>
              <w:rPr>
                <w:b w:val="0"/>
                <w:sz w:val="18"/>
              </w:rPr>
              <w:t>step(s) 9</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13. Program Audit against the A1 brief   [pre-cleared offline]</w:t>
            </w:r>
          </w:p>
        </w:tc>
      </w:tr>
      <w:tr>
        <w:tc>
          <w:tcPr>
            <w:tcW w:type="dxa" w:w="5320"/>
          </w:tcPr>
          <w:p>
            <w:r>
              <w:rPr>
                <w:b/>
                <w:sz w:val="18"/>
              </w:rPr>
              <w:t>Run it via</w:t>
            </w:r>
          </w:p>
        </w:tc>
        <w:tc>
          <w:tcPr>
            <w:tcW w:type="dxa" w:w="5320"/>
          </w:tcPr>
          <w:p>
            <w:r>
              <w:rPr>
                <w:b w:val="0"/>
                <w:sz w:val="18"/>
              </w:rPr>
              <w:t>Program Audit (STING panel · BIM · LOD VERIFICATION)</w:t>
            </w:r>
          </w:p>
        </w:tc>
      </w:tr>
      <w:tr>
        <w:tc>
          <w:tcPr>
            <w:tcW w:type="dxa" w:w="5320"/>
          </w:tcPr>
          <w:p>
            <w:r>
              <w:rPr>
                <w:b/>
                <w:sz w:val="18"/>
              </w:rPr>
              <w:t>Expected</w:t>
            </w:r>
          </w:p>
        </w:tc>
        <w:tc>
          <w:tcPr>
            <w:tcW w:type="dxa" w:w="5320"/>
          </w:tcPr>
          <w:p>
            <w:r>
              <w:rPr>
                <w:b w:val="0"/>
                <w:sz w:val="18"/>
              </w:rPr>
              <w:t>Compliant / over / under / missing / extra summary; XLSX with a Status column</w:t>
            </w:r>
          </w:p>
        </w:tc>
      </w:tr>
      <w:tr>
        <w:tc>
          <w:tcPr>
            <w:tcW w:type="dxa" w:w="5320"/>
          </w:tcPr>
          <w:p>
            <w:r>
              <w:rPr>
                <w:b/>
                <w:sz w:val="18"/>
              </w:rPr>
              <w:t>Command tag</w:t>
            </w:r>
          </w:p>
        </w:tc>
        <w:tc>
          <w:tcPr>
            <w:tcW w:type="dxa" w:w="5320"/>
          </w:tcPr>
          <w:p>
            <w:r>
              <w:rPr>
                <w:b w:val="0"/>
                <w:sz w:val="18"/>
              </w:rPr>
              <w:t>Program_Audit</w:t>
            </w:r>
          </w:p>
        </w:tc>
      </w:tr>
      <w:tr>
        <w:tc>
          <w:tcPr>
            <w:tcW w:type="dxa" w:w="5320"/>
          </w:tcPr>
          <w:p>
            <w:r>
              <w:rPr>
                <w:b/>
                <w:sz w:val="18"/>
              </w:rPr>
              <w:t>Fixture</w:t>
            </w:r>
          </w:p>
        </w:tc>
        <w:tc>
          <w:tcPr>
            <w:tcW w:type="dxa" w:w="5320"/>
          </w:tcPr>
          <w:p>
            <w:r>
              <w:rPr>
                <w:b w:val="0"/>
                <w:sz w:val="18"/>
              </w:rPr>
              <w:t>Tests/fixtures/kut/program_template_sample.xlsx</w:t>
            </w:r>
          </w:p>
        </w:tc>
      </w:tr>
      <w:tr>
        <w:tc>
          <w:tcPr>
            <w:tcW w:type="dxa" w:w="5320"/>
          </w:tcPr>
          <w:p>
            <w:r>
              <w:rPr>
                <w:b/>
                <w:sz w:val="18"/>
              </w:rPr>
              <w:t>Artefact</w:t>
            </w:r>
          </w:p>
        </w:tc>
        <w:tc>
          <w:tcPr>
            <w:tcW w:type="dxa" w:w="5320"/>
          </w:tcPr>
          <w:p>
            <w:r>
              <w:rPr>
                <w:b w:val="0"/>
                <w:sz w:val="18"/>
              </w:rPr>
              <w:t>STING_ProgramAudit_&lt;date&gt;.xlsx</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14. Owner Standards audit   [pre-cleared offline]</w:t>
            </w:r>
          </w:p>
        </w:tc>
      </w:tr>
      <w:tr>
        <w:tc>
          <w:tcPr>
            <w:tcW w:type="dxa" w:w="5320"/>
          </w:tcPr>
          <w:p>
            <w:r>
              <w:rPr>
                <w:b/>
                <w:sz w:val="18"/>
              </w:rPr>
              <w:t>Run it via</w:t>
            </w:r>
          </w:p>
        </w:tc>
        <w:tc>
          <w:tcPr>
            <w:tcW w:type="dxa" w:w="5320"/>
          </w:tcPr>
          <w:p>
            <w:r>
              <w:rPr>
                <w:b w:val="0"/>
                <w:sz w:val="18"/>
              </w:rPr>
              <w:t>Owner Standards (STING panel · BIM · LOD VERIFICATION)</w:t>
            </w:r>
          </w:p>
        </w:tc>
      </w:tr>
      <w:tr>
        <w:tc>
          <w:tcPr>
            <w:tcW w:type="dxa" w:w="5320"/>
          </w:tcPr>
          <w:p>
            <w:r>
              <w:rPr>
                <w:b/>
                <w:sz w:val="18"/>
              </w:rPr>
              <w:t>Expected</w:t>
            </w:r>
          </w:p>
        </w:tc>
        <w:tc>
          <w:tcPr>
            <w:tcW w:type="dxa" w:w="5320"/>
          </w:tcPr>
          <w:p>
            <w:r>
              <w:rPr>
                <w:b w:val="0"/>
                <w:sz w:val="18"/>
              </w:rPr>
              <w:t>RAG summary; CSV + JSON in _BIM_COORD/owner_standards_reports/. The KUT sheet-number rule, the narrowed discipline taxonomy and the ffe-fohlio-ref check (WARN, non-blocking) must all appear — if they do not, the overlay from step 2 did not arrive</w:t>
            </w:r>
          </w:p>
        </w:tc>
      </w:tr>
      <w:tr>
        <w:tc>
          <w:tcPr>
            <w:tcW w:type="dxa" w:w="5320"/>
          </w:tcPr>
          <w:p>
            <w:r>
              <w:rPr>
                <w:b/>
                <w:sz w:val="18"/>
              </w:rPr>
              <w:t>Command tag</w:t>
            </w:r>
          </w:p>
        </w:tc>
        <w:tc>
          <w:tcPr>
            <w:tcW w:type="dxa" w:w="5320"/>
          </w:tcPr>
          <w:p>
            <w:r>
              <w:rPr>
                <w:b w:val="0"/>
                <w:sz w:val="18"/>
              </w:rPr>
              <w:t>OwnerStandards_Audit</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15. Device coordination audit   [pre-cleared offline]</w:t>
            </w:r>
          </w:p>
        </w:tc>
      </w:tr>
      <w:tr>
        <w:tc>
          <w:tcPr>
            <w:tcW w:type="dxa" w:w="5320"/>
          </w:tcPr>
          <w:p>
            <w:r>
              <w:rPr>
                <w:b/>
                <w:sz w:val="18"/>
              </w:rPr>
              <w:t>Run it via</w:t>
            </w:r>
          </w:p>
        </w:tc>
        <w:tc>
          <w:tcPr>
            <w:tcW w:type="dxa" w:w="5320"/>
          </w:tcPr>
          <w:p>
            <w:r>
              <w:rPr>
                <w:b w:val="0"/>
                <w:sz w:val="18"/>
              </w:rPr>
              <w:t>Devices (STING panel · BIM · SPATIAL VALIDATION)</w:t>
            </w:r>
          </w:p>
        </w:tc>
      </w:tr>
      <w:tr>
        <w:tc>
          <w:tcPr>
            <w:tcW w:type="dxa" w:w="5320"/>
          </w:tcPr>
          <w:p>
            <w:r>
              <w:rPr>
                <w:b/>
                <w:sz w:val="18"/>
              </w:rPr>
              <w:t>Expected</w:t>
            </w:r>
          </w:p>
        </w:tc>
        <w:tc>
          <w:tcPr>
            <w:tcW w:type="dxa" w:w="5320"/>
          </w:tcPr>
          <w:p>
            <w:r>
              <w:rPr>
                <w:b w:val="0"/>
                <w:sz w:val="18"/>
              </w:rPr>
              <w:t>Per-room findings; CSV. Sanity-check that a deliberately mis-placed switch behind a door swing is flagged</w:t>
            </w:r>
          </w:p>
        </w:tc>
      </w:tr>
      <w:tr>
        <w:tc>
          <w:tcPr>
            <w:tcW w:type="dxa" w:w="5320"/>
          </w:tcPr>
          <w:p>
            <w:r>
              <w:rPr>
                <w:b/>
                <w:sz w:val="18"/>
              </w:rPr>
              <w:t>Command tag</w:t>
            </w:r>
          </w:p>
        </w:tc>
        <w:tc>
          <w:tcPr>
            <w:tcW w:type="dxa" w:w="5320"/>
          </w:tcPr>
          <w:p>
            <w:r>
              <w:rPr>
                <w:b w:val="0"/>
                <w:sz w:val="18"/>
              </w:rPr>
              <w:t>DeviceCoord_Audit</w:t>
            </w:r>
          </w:p>
        </w:tc>
      </w:tr>
      <w:tr>
        <w:tc>
          <w:tcPr>
            <w:tcW w:type="dxa" w:w="5320"/>
          </w:tcPr>
          <w:p>
            <w:r>
              <w:rPr>
                <w:b/>
                <w:sz w:val="18"/>
              </w:rPr>
              <w:t>Artefact</w:t>
            </w:r>
          </w:p>
        </w:tc>
        <w:tc>
          <w:tcPr>
            <w:tcW w:type="dxa" w:w="5320"/>
          </w:tcPr>
          <w:p>
            <w:r>
              <w:rPr>
                <w:b w:val="0"/>
                <w:sz w:val="18"/>
              </w:rPr>
              <w:t>STING_DeviceCoord_Audit_&lt;date&gt;.csv</w:t>
            </w:r>
          </w:p>
        </w:tc>
      </w:tr>
      <w:tr>
        <w:tc>
          <w:tcPr>
            <w:tcW w:type="dxa" w:w="5320"/>
          </w:tcPr>
          <w:p>
            <w:r>
              <w:rPr>
                <w:b/>
                <w:sz w:val="18"/>
              </w:rPr>
              <w:t>Result</w:t>
            </w:r>
          </w:p>
        </w:tc>
        <w:tc>
          <w:tcPr>
            <w:tcW w:type="dxa" w:w="5320"/>
          </w:tcPr>
          <w:p>
            <w:r>
              <w:rPr>
                <w:b w:val="0"/>
                <w:sz w:val="18"/>
              </w:rPr>
              <w:t>[  ] PASS      [  ] FAIL      [  ] NOT RUN</w:t>
            </w:r>
          </w:p>
        </w:tc>
      </w:tr>
    </w:tbl>
    <w:p/>
    <w:p>
      <w:pPr>
        <w:pStyle w:val="Heading1"/>
      </w:pPr>
      <w:r>
        <w:t>Platform round-trips (Part C)</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16. CSI Assign — fill empty only   [pre-cleared offline]</w:t>
            </w:r>
          </w:p>
        </w:tc>
      </w:tr>
      <w:tr>
        <w:tc>
          <w:tcPr>
            <w:tcW w:type="dxa" w:w="5320"/>
          </w:tcPr>
          <w:p>
            <w:r>
              <w:rPr>
                <w:b/>
                <w:sz w:val="18"/>
              </w:rPr>
              <w:t>Run it via</w:t>
            </w:r>
          </w:p>
        </w:tc>
        <w:tc>
          <w:tcPr>
            <w:tcW w:type="dxa" w:w="5320"/>
          </w:tcPr>
          <w:p>
            <w:r>
              <w:rPr>
                <w:b w:val="0"/>
                <w:sz w:val="18"/>
              </w:rPr>
              <w:t>CSI Assign (STING panel · BIM · CSI / SPECLINK)</w:t>
            </w:r>
          </w:p>
        </w:tc>
      </w:tr>
      <w:tr>
        <w:tc>
          <w:tcPr>
            <w:tcW w:type="dxa" w:w="5320"/>
          </w:tcPr>
          <w:p>
            <w:r>
              <w:rPr>
                <w:b/>
                <w:sz w:val="18"/>
              </w:rPr>
              <w:t>Expected</w:t>
            </w:r>
          </w:p>
        </w:tc>
        <w:tc>
          <w:tcPr>
            <w:tcW w:type="dxa" w:w="5320"/>
          </w:tcPr>
          <w:p>
            <w:r>
              <w:rPr>
                <w:b w:val="0"/>
                <w:sz w:val="18"/>
              </w:rPr>
              <w:t>CSI_SECTION_TXT and CSI_TITLE_TXT written; unmapped-category list reported</w:t>
            </w:r>
          </w:p>
        </w:tc>
      </w:tr>
      <w:tr>
        <w:tc>
          <w:tcPr>
            <w:tcW w:type="dxa" w:w="5320"/>
          </w:tcPr>
          <w:p>
            <w:r>
              <w:rPr>
                <w:b/>
                <w:sz w:val="18"/>
              </w:rPr>
              <w:t>Command tag</w:t>
            </w:r>
          </w:p>
        </w:tc>
        <w:tc>
          <w:tcPr>
            <w:tcW w:type="dxa" w:w="5320"/>
          </w:tcPr>
          <w:p>
            <w:r>
              <w:rPr>
                <w:b w:val="0"/>
                <w:sz w:val="18"/>
              </w:rPr>
              <w:t>CSI_Assign</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Note</w:t>
            </w:r>
          </w:p>
        </w:tc>
        <w:tc>
          <w:tcPr>
            <w:tcW w:type="dxa" w:w="5320"/>
          </w:tcPr>
          <w:p>
            <w:r>
              <w:rPr>
                <w:b w:val="0"/>
                <w:sz w:val="18"/>
              </w:rPr>
              <w:t>CSI_Assign cannot classify demolition — CsiMasterFormat.Resolve never sees Phase Demolished, so Division 02 stays empty. Assign it by hand BEFORE step 17, or the Owner's Division 02 spec sections report as over-specification and the reconciliation reads clean when it is not.</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17. SpecLink Reconcile   [pre-cleared offline]</w:t>
            </w:r>
          </w:p>
        </w:tc>
      </w:tr>
      <w:tr>
        <w:tc>
          <w:tcPr>
            <w:tcW w:type="dxa" w:w="5320"/>
          </w:tcPr>
          <w:p>
            <w:r>
              <w:rPr>
                <w:b/>
                <w:sz w:val="18"/>
              </w:rPr>
              <w:t>Run it via</w:t>
            </w:r>
          </w:p>
        </w:tc>
        <w:tc>
          <w:tcPr>
            <w:tcW w:type="dxa" w:w="5320"/>
          </w:tcPr>
          <w:p>
            <w:r>
              <w:rPr>
                <w:b w:val="0"/>
                <w:sz w:val="18"/>
              </w:rPr>
              <w:t>SpecLink Reconcile (STING panel · BIM · CSI / SPECLINK)</w:t>
            </w:r>
          </w:p>
        </w:tc>
      </w:tr>
      <w:tr>
        <w:tc>
          <w:tcPr>
            <w:tcW w:type="dxa" w:w="5320"/>
          </w:tcPr>
          <w:p>
            <w:r>
              <w:rPr>
                <w:b/>
                <w:sz w:val="18"/>
              </w:rPr>
              <w:t>Expected</w:t>
            </w:r>
          </w:p>
        </w:tc>
        <w:tc>
          <w:tcPr>
            <w:tcW w:type="dxa" w:w="5320"/>
          </w:tcPr>
          <w:p>
            <w:r>
              <w:rPr>
                <w:b w:val="0"/>
                <w:sz w:val="18"/>
              </w:rPr>
              <w:t>Spec-gap / over-spec / title-mismatch counts; XLSX report</w:t>
            </w:r>
          </w:p>
        </w:tc>
      </w:tr>
      <w:tr>
        <w:tc>
          <w:tcPr>
            <w:tcW w:type="dxa" w:w="5320"/>
          </w:tcPr>
          <w:p>
            <w:r>
              <w:rPr>
                <w:b/>
                <w:sz w:val="18"/>
              </w:rPr>
              <w:t>Command tag</w:t>
            </w:r>
          </w:p>
        </w:tc>
        <w:tc>
          <w:tcPr>
            <w:tcW w:type="dxa" w:w="5320"/>
          </w:tcPr>
          <w:p>
            <w:r>
              <w:rPr>
                <w:b w:val="0"/>
                <w:sz w:val="18"/>
              </w:rPr>
              <w:t>SpecLink_Reconcile</w:t>
            </w:r>
          </w:p>
        </w:tc>
      </w:tr>
      <w:tr>
        <w:tc>
          <w:tcPr>
            <w:tcW w:type="dxa" w:w="5320"/>
          </w:tcPr>
          <w:p>
            <w:r>
              <w:rPr>
                <w:b/>
                <w:sz w:val="18"/>
              </w:rPr>
              <w:t>Fixture</w:t>
            </w:r>
          </w:p>
        </w:tc>
        <w:tc>
          <w:tcPr>
            <w:tcW w:type="dxa" w:w="5320"/>
          </w:tcPr>
          <w:p>
            <w:r>
              <w:rPr>
                <w:b w:val="0"/>
                <w:sz w:val="18"/>
              </w:rPr>
              <w:t>Tests/fixtures/kut/speclink_toc_sample.csv</w:t>
            </w:r>
          </w:p>
        </w:tc>
      </w:tr>
      <w:tr>
        <w:tc>
          <w:tcPr>
            <w:tcW w:type="dxa" w:w="5320"/>
          </w:tcPr>
          <w:p>
            <w:r>
              <w:rPr>
                <w:b/>
                <w:sz w:val="18"/>
              </w:rPr>
              <w:t>Depends on</w:t>
            </w:r>
          </w:p>
        </w:tc>
        <w:tc>
          <w:tcPr>
            <w:tcW w:type="dxa" w:w="5320"/>
          </w:tcPr>
          <w:p>
            <w:r>
              <w:rPr>
                <w:b w:val="0"/>
                <w:sz w:val="18"/>
              </w:rPr>
              <w:t>step(s) 16</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18. Fohlio Export   [pre-cleared offline]</w:t>
            </w:r>
          </w:p>
        </w:tc>
      </w:tr>
      <w:tr>
        <w:tc>
          <w:tcPr>
            <w:tcW w:type="dxa" w:w="5320"/>
          </w:tcPr>
          <w:p>
            <w:r>
              <w:rPr>
                <w:b/>
                <w:sz w:val="18"/>
              </w:rPr>
              <w:t>Run it via</w:t>
            </w:r>
          </w:p>
        </w:tc>
        <w:tc>
          <w:tcPr>
            <w:tcW w:type="dxa" w:w="5320"/>
          </w:tcPr>
          <w:p>
            <w:r>
              <w:rPr>
                <w:b w:val="0"/>
                <w:sz w:val="18"/>
              </w:rPr>
              <w:t>Fohlio Export (STING panel · BIM · FOHLIO FF&amp;E)</w:t>
            </w:r>
          </w:p>
        </w:tc>
      </w:tr>
      <w:tr>
        <w:tc>
          <w:tcPr>
            <w:tcW w:type="dxa" w:w="5320"/>
          </w:tcPr>
          <w:p>
            <w:r>
              <w:rPr>
                <w:b/>
                <w:sz w:val="18"/>
              </w:rPr>
              <w:t>Expected</w:t>
            </w:r>
          </w:p>
        </w:tc>
        <w:tc>
          <w:tcPr>
            <w:tcW w:type="dxa" w:w="5320"/>
          </w:tcPr>
          <w:p>
            <w:r>
              <w:rPr>
                <w:b w:val="0"/>
                <w:sz w:val="18"/>
              </w:rPr>
              <w:t>FF&amp;E CSV with the columns declared in _BIM_COORD/fohlio_map.json</w:t>
            </w:r>
          </w:p>
        </w:tc>
      </w:tr>
      <w:tr>
        <w:tc>
          <w:tcPr>
            <w:tcW w:type="dxa" w:w="5320"/>
          </w:tcPr>
          <w:p>
            <w:r>
              <w:rPr>
                <w:b/>
                <w:sz w:val="18"/>
              </w:rPr>
              <w:t>Command tag</w:t>
            </w:r>
          </w:p>
        </w:tc>
        <w:tc>
          <w:tcPr>
            <w:tcW w:type="dxa" w:w="5320"/>
          </w:tcPr>
          <w:p>
            <w:r>
              <w:rPr>
                <w:b w:val="0"/>
                <w:sz w:val="18"/>
              </w:rPr>
              <w:t>Fohlio_Export</w:t>
            </w:r>
          </w:p>
        </w:tc>
      </w:tr>
      <w:tr>
        <w:tc>
          <w:tcPr>
            <w:tcW w:type="dxa" w:w="5320"/>
          </w:tcPr>
          <w:p>
            <w:r>
              <w:rPr>
                <w:b/>
                <w:sz w:val="18"/>
              </w:rPr>
              <w:t>Artefact</w:t>
            </w:r>
          </w:p>
        </w:tc>
        <w:tc>
          <w:tcPr>
            <w:tcW w:type="dxa" w:w="5320"/>
          </w:tcPr>
          <w:p>
            <w:r>
              <w:rPr>
                <w:b w:val="0"/>
                <w:sz w:val="18"/>
              </w:rPr>
              <w:t>STING_Fohlio_Export_&lt;date&gt;.csv</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19. Fohlio Import   [pre-cleared offline]</w:t>
            </w:r>
          </w:p>
        </w:tc>
      </w:tr>
      <w:tr>
        <w:tc>
          <w:tcPr>
            <w:tcW w:type="dxa" w:w="5320"/>
          </w:tcPr>
          <w:p>
            <w:r>
              <w:rPr>
                <w:b/>
                <w:sz w:val="18"/>
              </w:rPr>
              <w:t>Run it via</w:t>
            </w:r>
          </w:p>
        </w:tc>
        <w:tc>
          <w:tcPr>
            <w:tcW w:type="dxa" w:w="5320"/>
          </w:tcPr>
          <w:p>
            <w:r>
              <w:rPr>
                <w:b w:val="0"/>
                <w:sz w:val="18"/>
              </w:rPr>
              <w:t>Fohlio Import (STING panel · BIM · FOHLIO FF&amp;E)</w:t>
            </w:r>
          </w:p>
        </w:tc>
      </w:tr>
      <w:tr>
        <w:tc>
          <w:tcPr>
            <w:tcW w:type="dxa" w:w="5320"/>
          </w:tcPr>
          <w:p>
            <w:r>
              <w:rPr>
                <w:b/>
                <w:sz w:val="18"/>
              </w:rPr>
              <w:t>Expected</w:t>
            </w:r>
          </w:p>
        </w:tc>
        <w:tc>
          <w:tcPr>
            <w:tcW w:type="dxa" w:w="5320"/>
          </w:tcPr>
          <w:p>
            <w:r>
              <w:rPr>
                <w:b w:val="0"/>
                <w:sz w:val="18"/>
              </w:rPr>
              <w:t>Preview/diff dialog before any write; on Apply, FOHLIO_REF_TXT and the mapped fields are written and an ES snapshot is stored</w:t>
            </w:r>
          </w:p>
        </w:tc>
      </w:tr>
      <w:tr>
        <w:tc>
          <w:tcPr>
            <w:tcW w:type="dxa" w:w="5320"/>
          </w:tcPr>
          <w:p>
            <w:r>
              <w:rPr>
                <w:b/>
                <w:sz w:val="18"/>
              </w:rPr>
              <w:t>Command tag</w:t>
            </w:r>
          </w:p>
        </w:tc>
        <w:tc>
          <w:tcPr>
            <w:tcW w:type="dxa" w:w="5320"/>
          </w:tcPr>
          <w:p>
            <w:r>
              <w:rPr>
                <w:b w:val="0"/>
                <w:sz w:val="18"/>
              </w:rPr>
              <w:t>Fohlio_Import</w:t>
            </w:r>
          </w:p>
        </w:tc>
      </w:tr>
      <w:tr>
        <w:tc>
          <w:tcPr>
            <w:tcW w:type="dxa" w:w="5320"/>
          </w:tcPr>
          <w:p>
            <w:r>
              <w:rPr>
                <w:b/>
                <w:sz w:val="18"/>
              </w:rPr>
              <w:t>Depends on</w:t>
            </w:r>
          </w:p>
        </w:tc>
        <w:tc>
          <w:tcPr>
            <w:tcW w:type="dxa" w:w="5320"/>
          </w:tcPr>
          <w:p>
            <w:r>
              <w:rPr>
                <w:b w:val="0"/>
                <w:sz w:val="18"/>
              </w:rPr>
              <w:t>step(s) 18</w:t>
            </w:r>
          </w:p>
        </w:tc>
      </w:tr>
      <w:tr>
        <w:tc>
          <w:tcPr>
            <w:tcW w:type="dxa" w:w="5320"/>
          </w:tcPr>
          <w:p>
            <w:r>
              <w:rPr>
                <w:b/>
                <w:sz w:val="18"/>
              </w:rPr>
              <w:t>Note</w:t>
            </w:r>
          </w:p>
        </w:tc>
        <w:tc>
          <w:tcPr>
            <w:tcW w:type="dxa" w:w="5320"/>
          </w:tcPr>
          <w:p>
            <w:r>
              <w:rPr>
                <w:b w:val="0"/>
                <w:sz w:val="18"/>
              </w:rPr>
              <w:t>Re-pick the CSV from step 18, or an edited copy carrying a Fohlio Ref column.</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20. Fohlio Audit   [pre-cleared offline]</w:t>
            </w:r>
          </w:p>
        </w:tc>
      </w:tr>
      <w:tr>
        <w:tc>
          <w:tcPr>
            <w:tcW w:type="dxa" w:w="5320"/>
          </w:tcPr>
          <w:p>
            <w:r>
              <w:rPr>
                <w:b/>
                <w:sz w:val="18"/>
              </w:rPr>
              <w:t>Run it via</w:t>
            </w:r>
          </w:p>
        </w:tc>
        <w:tc>
          <w:tcPr>
            <w:tcW w:type="dxa" w:w="5320"/>
          </w:tcPr>
          <w:p>
            <w:r>
              <w:rPr>
                <w:b w:val="0"/>
                <w:sz w:val="18"/>
              </w:rPr>
              <w:t>Fohlio Audit (STING panel · BIM · FOHLIO FF&amp;E)</w:t>
            </w:r>
          </w:p>
        </w:tc>
      </w:tr>
      <w:tr>
        <w:tc>
          <w:tcPr>
            <w:tcW w:type="dxa" w:w="5320"/>
          </w:tcPr>
          <w:p>
            <w:r>
              <w:rPr>
                <w:b/>
                <w:sz w:val="18"/>
              </w:rPr>
              <w:t>Expected</w:t>
            </w:r>
          </w:p>
        </w:tc>
        <w:tc>
          <w:tcPr>
            <w:tcW w:type="dxa" w:w="5320"/>
          </w:tcPr>
          <w:p>
            <w:r>
              <w:rPr>
                <w:b w:val="0"/>
                <w:sz w:val="18"/>
              </w:rPr>
              <w:t>Linked % plus missing-ref and stale counts per category. Edit a model value and re-run — that row must read stale</w:t>
            </w:r>
          </w:p>
        </w:tc>
      </w:tr>
      <w:tr>
        <w:tc>
          <w:tcPr>
            <w:tcW w:type="dxa" w:w="5320"/>
          </w:tcPr>
          <w:p>
            <w:r>
              <w:rPr>
                <w:b/>
                <w:sz w:val="18"/>
              </w:rPr>
              <w:t>Command tag</w:t>
            </w:r>
          </w:p>
        </w:tc>
        <w:tc>
          <w:tcPr>
            <w:tcW w:type="dxa" w:w="5320"/>
          </w:tcPr>
          <w:p>
            <w:r>
              <w:rPr>
                <w:b w:val="0"/>
                <w:sz w:val="18"/>
              </w:rPr>
              <w:t>Fohlio_Audit</w:t>
            </w:r>
          </w:p>
        </w:tc>
      </w:tr>
      <w:tr>
        <w:tc>
          <w:tcPr>
            <w:tcW w:type="dxa" w:w="5320"/>
          </w:tcPr>
          <w:p>
            <w:r>
              <w:rPr>
                <w:b/>
                <w:sz w:val="18"/>
              </w:rPr>
              <w:t>Depends on</w:t>
            </w:r>
          </w:p>
        </w:tc>
        <w:tc>
          <w:tcPr>
            <w:tcW w:type="dxa" w:w="5320"/>
          </w:tcPr>
          <w:p>
            <w:r>
              <w:rPr>
                <w:b w:val="0"/>
                <w:sz w:val="18"/>
              </w:rPr>
              <w:t>step(s) 19</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21. Review Comments import (Bluebeam)   [pre-cleared offline]</w:t>
            </w:r>
          </w:p>
        </w:tc>
      </w:tr>
      <w:tr>
        <w:tc>
          <w:tcPr>
            <w:tcW w:type="dxa" w:w="5320"/>
          </w:tcPr>
          <w:p>
            <w:r>
              <w:rPr>
                <w:b/>
                <w:sz w:val="18"/>
              </w:rPr>
              <w:t>Run it via</w:t>
            </w:r>
          </w:p>
        </w:tc>
        <w:tc>
          <w:tcPr>
            <w:tcW w:type="dxa" w:w="5320"/>
          </w:tcPr>
          <w:p>
            <w:r>
              <w:rPr>
                <w:b w:val="0"/>
                <w:sz w:val="18"/>
              </w:rPr>
              <w:t>Import (STING panel · BIM · REVIEW COMMENTS (BLUEBEAM))</w:t>
            </w:r>
          </w:p>
        </w:tc>
      </w:tr>
      <w:tr>
        <w:tc>
          <w:tcPr>
            <w:tcW w:type="dxa" w:w="5320"/>
          </w:tcPr>
          <w:p>
            <w:r>
              <w:rPr>
                <w:b/>
                <w:sz w:val="18"/>
              </w:rPr>
              <w:t>Expected</w:t>
            </w:r>
          </w:p>
        </w:tc>
        <w:tc>
          <w:tcPr>
            <w:tcW w:type="dxa" w:w="5320"/>
          </w:tcPr>
          <w:p>
            <w:r>
              <w:rPr>
                <w:b w:val="0"/>
                <w:sz w:val="18"/>
              </w:rPr>
              <w:t>Upserts into _BIM_COORD/review_comments.json against gate "Deliverable B"; close-out rate shown</w:t>
            </w:r>
          </w:p>
        </w:tc>
      </w:tr>
      <w:tr>
        <w:tc>
          <w:tcPr>
            <w:tcW w:type="dxa" w:w="5320"/>
          </w:tcPr>
          <w:p>
            <w:r>
              <w:rPr>
                <w:b/>
                <w:sz w:val="18"/>
              </w:rPr>
              <w:t>Command tag</w:t>
            </w:r>
          </w:p>
        </w:tc>
        <w:tc>
          <w:tcPr>
            <w:tcW w:type="dxa" w:w="5320"/>
          </w:tcPr>
          <w:p>
            <w:r>
              <w:rPr>
                <w:b w:val="0"/>
                <w:sz w:val="18"/>
              </w:rPr>
              <w:t>ReviewComments_Import</w:t>
            </w:r>
          </w:p>
        </w:tc>
      </w:tr>
      <w:tr>
        <w:tc>
          <w:tcPr>
            <w:tcW w:type="dxa" w:w="5320"/>
          </w:tcPr>
          <w:p>
            <w:r>
              <w:rPr>
                <w:b/>
                <w:sz w:val="18"/>
              </w:rPr>
              <w:t>Fixture</w:t>
            </w:r>
          </w:p>
        </w:tc>
        <w:tc>
          <w:tcPr>
            <w:tcW w:type="dxa" w:w="5320"/>
          </w:tcPr>
          <w:p>
            <w:r>
              <w:rPr>
                <w:b w:val="0"/>
                <w:sz w:val="18"/>
              </w:rPr>
              <w:t>Tests/fixtures/kut/bluebeam_comments_sample.csv</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22. Review dashboard, then KPI export   [pre-cleared offline]</w:t>
            </w:r>
          </w:p>
        </w:tc>
      </w:tr>
      <w:tr>
        <w:tc>
          <w:tcPr>
            <w:tcW w:type="dxa" w:w="5320"/>
          </w:tcPr>
          <w:p>
            <w:r>
              <w:rPr>
                <w:b/>
                <w:sz w:val="18"/>
              </w:rPr>
              <w:t>Run it via</w:t>
            </w:r>
          </w:p>
        </w:tc>
        <w:tc>
          <w:tcPr>
            <w:tcW w:type="dxa" w:w="5320"/>
          </w:tcPr>
          <w:p>
            <w:r>
              <w:rPr>
                <w:b w:val="0"/>
                <w:sz w:val="18"/>
              </w:rPr>
              <w:t>Dashboard (STING panel · BIM · REVIEW COMMENTS (BLUEBEAM))</w:t>
            </w:r>
          </w:p>
        </w:tc>
      </w:tr>
      <w:tr>
        <w:tc>
          <w:tcPr>
            <w:tcW w:type="dxa" w:w="5320"/>
          </w:tcPr>
          <w:p>
            <w:r>
              <w:rPr>
                <w:b/>
                <w:sz w:val="18"/>
              </w:rPr>
              <w:t>Expected</w:t>
            </w:r>
          </w:p>
        </w:tc>
        <w:tc>
          <w:tcPr>
            <w:tcW w:type="dxa" w:w="5320"/>
          </w:tcPr>
          <w:p>
            <w:r>
              <w:rPr>
                <w:b w:val="0"/>
                <w:sz w:val="18"/>
              </w:rPr>
              <w:t>Grid of comments; then "KPI Export" writes a CSV with per-gate close-out %</w:t>
            </w:r>
          </w:p>
        </w:tc>
      </w:tr>
      <w:tr>
        <w:tc>
          <w:tcPr>
            <w:tcW w:type="dxa" w:w="5320"/>
          </w:tcPr>
          <w:p>
            <w:r>
              <w:rPr>
                <w:b/>
                <w:sz w:val="18"/>
              </w:rPr>
              <w:t>Command tag</w:t>
            </w:r>
          </w:p>
        </w:tc>
        <w:tc>
          <w:tcPr>
            <w:tcW w:type="dxa" w:w="5320"/>
          </w:tcPr>
          <w:p>
            <w:r>
              <w:rPr>
                <w:b w:val="0"/>
                <w:sz w:val="18"/>
              </w:rPr>
              <w:t>ReviewComments_Dashboard</w:t>
            </w:r>
          </w:p>
        </w:tc>
      </w:tr>
      <w:tr>
        <w:tc>
          <w:tcPr>
            <w:tcW w:type="dxa" w:w="5320"/>
          </w:tcPr>
          <w:p>
            <w:r>
              <w:rPr>
                <w:b/>
                <w:sz w:val="18"/>
              </w:rPr>
              <w:t>Depends on</w:t>
            </w:r>
          </w:p>
        </w:tc>
        <w:tc>
          <w:tcPr>
            <w:tcW w:type="dxa" w:w="5320"/>
          </w:tcPr>
          <w:p>
            <w:r>
              <w:rPr>
                <w:b w:val="0"/>
                <w:sz w:val="18"/>
              </w:rPr>
              <w:t>step(s) 21</w:t>
            </w:r>
          </w:p>
        </w:tc>
      </w:tr>
      <w:tr>
        <w:tc>
          <w:tcPr>
            <w:tcW w:type="dxa" w:w="5320"/>
          </w:tcPr>
          <w:p>
            <w:r>
              <w:rPr>
                <w:b/>
                <w:sz w:val="18"/>
              </w:rPr>
              <w:t>Result</w:t>
            </w:r>
          </w:p>
        </w:tc>
        <w:tc>
          <w:tcPr>
            <w:tcW w:type="dxa" w:w="5320"/>
          </w:tcPr>
          <w:p>
            <w:r>
              <w:rPr>
                <w:b w:val="0"/>
                <w:sz w:val="18"/>
              </w:rPr>
              <w:t>[  ] PASS      [  ] FAIL      [  ] NOT RUN</w:t>
            </w:r>
          </w:p>
        </w:tc>
      </w:tr>
    </w:tbl>
    <w:p/>
    <w:p>
      <w:pPr>
        <w:pStyle w:val="Heading1"/>
      </w:pPr>
      <w:r>
        <w:t>US standards + engineering (Parts D, E)</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23. ComCheck export   [pre-cleared offline]</w:t>
            </w:r>
          </w:p>
        </w:tc>
      </w:tr>
      <w:tr>
        <w:tc>
          <w:tcPr>
            <w:tcW w:type="dxa" w:w="5320"/>
          </w:tcPr>
          <w:p>
            <w:r>
              <w:rPr>
                <w:b/>
                <w:sz w:val="18"/>
              </w:rPr>
              <w:t>Run it via</w:t>
            </w:r>
          </w:p>
        </w:tc>
        <w:tc>
          <w:tcPr>
            <w:tcW w:type="dxa" w:w="5320"/>
          </w:tcPr>
          <w:p>
            <w:r>
              <w:rPr>
                <w:b w:val="0"/>
                <w:sz w:val="18"/>
              </w:rPr>
              <w:t>▶ ComCheck export (ELECTRICAL panel · LITE · Custom limit (W/m²))</w:t>
            </w:r>
          </w:p>
        </w:tc>
      </w:tr>
      <w:tr>
        <w:tc>
          <w:tcPr>
            <w:tcW w:type="dxa" w:w="5320"/>
          </w:tcPr>
          <w:p>
            <w:r>
              <w:rPr>
                <w:b/>
                <w:sz w:val="18"/>
              </w:rPr>
              <w:t>Expected</w:t>
            </w:r>
          </w:p>
        </w:tc>
        <w:tc>
          <w:tcPr>
            <w:tcW w:type="dxa" w:w="5320"/>
          </w:tcPr>
          <w:p>
            <w:r>
              <w:rPr>
                <w:b w:val="0"/>
                <w:sz w:val="18"/>
              </w:rPr>
              <w:t>Per-space CSV with an allowed-vs-proposed summary; the dialog states the paste-into-COMcheck workflow</w:t>
            </w:r>
          </w:p>
        </w:tc>
      </w:tr>
      <w:tr>
        <w:tc>
          <w:tcPr>
            <w:tcW w:type="dxa" w:w="5320"/>
          </w:tcPr>
          <w:p>
            <w:r>
              <w:rPr>
                <w:b/>
                <w:sz w:val="18"/>
              </w:rPr>
              <w:t>Command tag</w:t>
            </w:r>
          </w:p>
        </w:tc>
        <w:tc>
          <w:tcPr>
            <w:tcW w:type="dxa" w:w="5320"/>
          </w:tcPr>
          <w:p>
            <w:r>
              <w:rPr>
                <w:b w:val="0"/>
                <w:sz w:val="18"/>
              </w:rPr>
              <w:t>Lite_ComCheck</w:t>
            </w:r>
          </w:p>
        </w:tc>
      </w:tr>
      <w:tr>
        <w:tc>
          <w:tcPr>
            <w:tcW w:type="dxa" w:w="5320"/>
          </w:tcPr>
          <w:p>
            <w:r>
              <w:rPr>
                <w:b/>
                <w:sz w:val="18"/>
              </w:rPr>
              <w:t>Artefact</w:t>
            </w:r>
          </w:p>
        </w:tc>
        <w:tc>
          <w:tcPr>
            <w:tcW w:type="dxa" w:w="5320"/>
          </w:tcPr>
          <w:p>
            <w:r>
              <w:rPr>
                <w:b w:val="0"/>
                <w:sz w:val="18"/>
              </w:rPr>
              <w:t>STING_ComCheck_Lighting_&lt;date&gt;.csv</w:t>
            </w:r>
          </w:p>
        </w:tc>
      </w:tr>
      <w:tr>
        <w:tc>
          <w:tcPr>
            <w:tcW w:type="dxa" w:w="5320"/>
          </w:tcPr>
          <w:p>
            <w:r>
              <w:rPr>
                <w:b/>
                <w:sz w:val="18"/>
              </w:rPr>
              <w:t>Note</w:t>
            </w:r>
          </w:p>
        </w:tc>
        <w:tc>
          <w:tcPr>
            <w:tcW w:type="dxa" w:w="5320"/>
          </w:tcPr>
          <w:p>
            <w:r>
              <w:rPr>
                <w:b w:val="0"/>
                <w:sz w:val="18"/>
              </w:rPr>
              <w:t>On the ELECTRICAL panel, not the main one. Its buttons were ungated by the wiring check until Tier 4 was widened to all six panels.</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24. HVAC life-cycle cost comparison   [pre-cleared offline]</w:t>
            </w:r>
          </w:p>
        </w:tc>
      </w:tr>
      <w:tr>
        <w:tc>
          <w:tcPr>
            <w:tcW w:type="dxa" w:w="5320"/>
          </w:tcPr>
          <w:p>
            <w:r>
              <w:rPr>
                <w:b/>
                <w:sz w:val="18"/>
              </w:rPr>
              <w:t>Run it via</w:t>
            </w:r>
          </w:p>
        </w:tc>
        <w:tc>
          <w:tcPr>
            <w:tcW w:type="dxa" w:w="5320"/>
          </w:tcPr>
          <w:p>
            <w:r>
              <w:rPr>
                <w:b w:val="0"/>
                <w:sz w:val="18"/>
              </w:rPr>
              <w:t>Life-cycle cost (HVAC panel · RPRT · WORKFLOW RUNS)</w:t>
            </w:r>
          </w:p>
        </w:tc>
      </w:tr>
      <w:tr>
        <w:tc>
          <w:tcPr>
            <w:tcW w:type="dxa" w:w="5320"/>
          </w:tcPr>
          <w:p>
            <w:r>
              <w:rPr>
                <w:b/>
                <w:sz w:val="18"/>
              </w:rPr>
              <w:t>Expected</w:t>
            </w:r>
          </w:p>
        </w:tc>
        <w:tc>
          <w:tcPr>
            <w:tcW w:type="dxa" w:w="5320"/>
          </w:tcPr>
          <w:p>
            <w:r>
              <w:rPr>
                <w:b w:val="0"/>
                <w:sz w:val="18"/>
              </w:rPr>
              <w:t>Year-by-year XLSX (Summary + per-option sheets, nominal + NPV); crossover year reported</w:t>
            </w:r>
          </w:p>
        </w:tc>
      </w:tr>
      <w:tr>
        <w:tc>
          <w:tcPr>
            <w:tcW w:type="dxa" w:w="5320"/>
          </w:tcPr>
          <w:p>
            <w:r>
              <w:rPr>
                <w:b/>
                <w:sz w:val="18"/>
              </w:rPr>
              <w:t>Command tag</w:t>
            </w:r>
          </w:p>
        </w:tc>
        <w:tc>
          <w:tcPr>
            <w:tcW w:type="dxa" w:w="5320"/>
          </w:tcPr>
          <w:p>
            <w:r>
              <w:rPr>
                <w:b w:val="0"/>
                <w:sz w:val="18"/>
              </w:rPr>
              <w:t>Hvac_LifeCycleCompare</w:t>
            </w:r>
          </w:p>
        </w:tc>
      </w:tr>
      <w:tr>
        <w:tc>
          <w:tcPr>
            <w:tcW w:type="dxa" w:w="5320"/>
          </w:tcPr>
          <w:p>
            <w:r>
              <w:rPr>
                <w:b/>
                <w:sz w:val="18"/>
              </w:rPr>
              <w:t>Artefact</w:t>
            </w:r>
          </w:p>
        </w:tc>
        <w:tc>
          <w:tcPr>
            <w:tcW w:type="dxa" w:w="5320"/>
          </w:tcPr>
          <w:p>
            <w:r>
              <w:rPr>
                <w:b w:val="0"/>
                <w:sz w:val="18"/>
              </w:rPr>
              <w:t>STING_HVAC_LCC_&lt;date&gt;.xlsx</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25. Prototype drift report   [pre-cleared offline, OPTIONAL]</w:t>
            </w:r>
          </w:p>
        </w:tc>
      </w:tr>
      <w:tr>
        <w:tc>
          <w:tcPr>
            <w:tcW w:type="dxa" w:w="5320"/>
          </w:tcPr>
          <w:p>
            <w:r>
              <w:rPr>
                <w:b/>
                <w:sz w:val="18"/>
              </w:rPr>
              <w:t>Run it via</w:t>
            </w:r>
          </w:p>
        </w:tc>
        <w:tc>
          <w:tcPr>
            <w:tcW w:type="dxa" w:w="5320"/>
          </w:tcPr>
          <w:p>
            <w:r>
              <w:rPr>
                <w:b w:val="0"/>
                <w:sz w:val="18"/>
              </w:rPr>
              <w:t>Prototype Drift (STING panel · BIM · CARBON and CHANGE TRACKING)</w:t>
            </w:r>
          </w:p>
        </w:tc>
      </w:tr>
      <w:tr>
        <w:tc>
          <w:tcPr>
            <w:tcW w:type="dxa" w:w="5320"/>
          </w:tcPr>
          <w:p>
            <w:r>
              <w:rPr>
                <w:b/>
                <w:sz w:val="18"/>
              </w:rPr>
              <w:t>Expected</w:t>
            </w:r>
          </w:p>
        </w:tc>
        <w:tc>
          <w:tcPr>
            <w:tcW w:type="dxa" w:w="5320"/>
          </w:tcPr>
          <w:p>
            <w:r>
              <w:rPr>
                <w:b w:val="0"/>
                <w:sz w:val="18"/>
              </w:rPr>
              <w:t>Type-level diff XLSX grouped by discipline</w:t>
            </w:r>
          </w:p>
        </w:tc>
      </w:tr>
      <w:tr>
        <w:tc>
          <w:tcPr>
            <w:tcW w:type="dxa" w:w="5320"/>
          </w:tcPr>
          <w:p>
            <w:r>
              <w:rPr>
                <w:b/>
                <w:sz w:val="18"/>
              </w:rPr>
              <w:t>Command tag</w:t>
            </w:r>
          </w:p>
        </w:tc>
        <w:tc>
          <w:tcPr>
            <w:tcW w:type="dxa" w:w="5320"/>
          </w:tcPr>
          <w:p>
            <w:r>
              <w:rPr>
                <w:b w:val="0"/>
                <w:sz w:val="18"/>
              </w:rPr>
              <w:t>PrototypeDrift_Report</w:t>
            </w:r>
          </w:p>
        </w:tc>
      </w:tr>
      <w:tr>
        <w:tc>
          <w:tcPr>
            <w:tcW w:type="dxa" w:w="5320"/>
          </w:tcPr>
          <w:p>
            <w:r>
              <w:rPr>
                <w:b/>
                <w:sz w:val="18"/>
              </w:rPr>
              <w:t>Note</w:t>
            </w:r>
          </w:p>
        </w:tc>
        <w:tc>
          <w:tcPr>
            <w:tcW w:type="dxa" w:w="5320"/>
          </w:tcPr>
          <w:p>
            <w:r>
              <w:rPr>
                <w:b w:val="0"/>
                <w:sz w:val="18"/>
              </w:rPr>
              <w:t>Needs the Owner's prototype model, loaded as a link or opened, then picked.</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26. ACC pull clashes   [pre-cleared offline, OPTIONAL]</w:t>
            </w:r>
          </w:p>
        </w:tc>
      </w:tr>
      <w:tr>
        <w:tc>
          <w:tcPr>
            <w:tcW w:type="dxa" w:w="5320"/>
          </w:tcPr>
          <w:p>
            <w:r>
              <w:rPr>
                <w:b/>
                <w:sz w:val="18"/>
              </w:rPr>
              <w:t>Run it via</w:t>
            </w:r>
          </w:p>
        </w:tc>
        <w:tc>
          <w:tcPr>
            <w:tcW w:type="dxa" w:w="5320"/>
          </w:tcPr>
          <w:p>
            <w:r>
              <w:rPr>
                <w:b w:val="0"/>
                <w:sz w:val="18"/>
              </w:rPr>
              <w:t>ACC Pull (STING panel · BIM · COORDINATION CHECKS)</w:t>
            </w:r>
          </w:p>
        </w:tc>
      </w:tr>
      <w:tr>
        <w:tc>
          <w:tcPr>
            <w:tcW w:type="dxa" w:w="5320"/>
          </w:tcPr>
          <w:p>
            <w:r>
              <w:rPr>
                <w:b/>
                <w:sz w:val="18"/>
              </w:rPr>
              <w:t>Expected</w:t>
            </w:r>
          </w:p>
        </w:tc>
        <w:tc>
          <w:tcPr>
            <w:tcW w:type="dxa" w:w="5320"/>
          </w:tcPr>
          <w:p>
            <w:r>
              <w:rPr>
                <w:b w:val="0"/>
                <w:sz w:val="18"/>
              </w:rPr>
              <w:t>Model Coordination clashes pulled and ranked; CSV written; top-ranked escalated to ACC Issues idempotently via the _BIM_COORD/acc/pushed_clashes.json sidecar</w:t>
            </w:r>
          </w:p>
        </w:tc>
      </w:tr>
      <w:tr>
        <w:tc>
          <w:tcPr>
            <w:tcW w:type="dxa" w:w="5320"/>
          </w:tcPr>
          <w:p>
            <w:r>
              <w:rPr>
                <w:b/>
                <w:sz w:val="18"/>
              </w:rPr>
              <w:t>Command tag</w:t>
            </w:r>
          </w:p>
        </w:tc>
        <w:tc>
          <w:tcPr>
            <w:tcW w:type="dxa" w:w="5320"/>
          </w:tcPr>
          <w:p>
            <w:r>
              <w:rPr>
                <w:b w:val="0"/>
                <w:sz w:val="18"/>
              </w:rPr>
              <w:t>ACC_PullClashes</w:t>
            </w:r>
          </w:p>
        </w:tc>
      </w:tr>
      <w:tr>
        <w:tc>
          <w:tcPr>
            <w:tcW w:type="dxa" w:w="5320"/>
          </w:tcPr>
          <w:p>
            <w:r>
              <w:rPr>
                <w:b/>
                <w:sz w:val="18"/>
              </w:rPr>
              <w:t>Note</w:t>
            </w:r>
          </w:p>
        </w:tc>
        <w:tc>
          <w:tcPr>
            <w:tcW w:type="dxa" w:w="5320"/>
          </w:tcPr>
          <w:p>
            <w:r>
              <w:rPr>
                <w:b w:val="0"/>
                <w:sz w:val="18"/>
              </w:rPr>
              <w:t>Needs %APPDATA%/Planscape/acc_credentials.json. Endpoint paths are verified against the public APS sample but not against a live tenant — this is the live pull to do during mobilisation. The command existed and was step 3 of the Coordination Cycle preset, but had no button of its own until now.</w:t>
            </w:r>
          </w:p>
        </w:tc>
      </w:tr>
      <w:tr>
        <w:tc>
          <w:tcPr>
            <w:tcW w:type="dxa" w:w="5320"/>
          </w:tcPr>
          <w:p>
            <w:r>
              <w:rPr>
                <w:b/>
                <w:sz w:val="18"/>
              </w:rPr>
              <w:t>Result</w:t>
            </w:r>
          </w:p>
        </w:tc>
        <w:tc>
          <w:tcPr>
            <w:tcW w:type="dxa" w:w="5320"/>
          </w:tcPr>
          <w:p>
            <w:r>
              <w:rPr>
                <w:b w:val="0"/>
                <w:sz w:val="18"/>
              </w:rPr>
              <w:t>[  ] PASS      [  ] FAIL      [  ] NOT RUN</w:t>
            </w:r>
          </w:p>
        </w:tc>
      </w:tr>
    </w:tbl>
    <w:p/>
    <w:p>
      <w:pPr>
        <w:pStyle w:val="Heading1"/>
      </w:pPr>
      <w:r>
        <w:t>Schedules + seeds</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27. Create the MEP Lighting Schedule   [pre-cleared offline]</w:t>
            </w:r>
          </w:p>
        </w:tc>
      </w:tr>
      <w:tr>
        <w:tc>
          <w:tcPr>
            <w:tcW w:type="dxa" w:w="5320"/>
          </w:tcPr>
          <w:p>
            <w:r>
              <w:rPr>
                <w:b/>
                <w:sz w:val="18"/>
              </w:rPr>
              <w:t>Run it via</w:t>
            </w:r>
          </w:p>
        </w:tc>
        <w:tc>
          <w:tcPr>
            <w:tcW w:type="dxa" w:w="5320"/>
          </w:tcPr>
          <w:p>
            <w:r>
              <w:rPr>
                <w:b w:val="0"/>
                <w:sz w:val="18"/>
              </w:rPr>
              <w:t>Revit-native action — no STING command</w:t>
            </w:r>
          </w:p>
        </w:tc>
      </w:tr>
      <w:tr>
        <w:tc>
          <w:tcPr>
            <w:tcW w:type="dxa" w:w="5320"/>
          </w:tcPr>
          <w:p>
            <w:r>
              <w:rPr>
                <w:b/>
                <w:sz w:val="18"/>
              </w:rPr>
              <w:t>Expected</w:t>
            </w:r>
          </w:p>
        </w:tc>
        <w:tc>
          <w:tcPr>
            <w:tcW w:type="dxa" w:w="5320"/>
          </w:tcPr>
          <w:p>
            <w:r>
              <w:rPr>
                <w:b w:val="0"/>
                <w:sz w:val="18"/>
              </w:rPr>
              <w:t>The Hoist Load (kg) / Hoist Motor / Hoist Drop (mm) columns appear, driven by LTG_HOIST_WEIGHT_KG, LTG_HOIST_MOTOR_TXT and LTG_HOIST_DROP_MM</w:t>
            </w:r>
          </w:p>
        </w:tc>
      </w:tr>
      <w:tr>
        <w:tc>
          <w:tcPr>
            <w:tcW w:type="dxa" w:w="5320"/>
          </w:tcPr>
          <w:p>
            <w:r>
              <w:rPr>
                <w:b/>
                <w:sz w:val="18"/>
              </w:rPr>
              <w:t>Depends on</w:t>
            </w:r>
          </w:p>
        </w:tc>
        <w:tc>
          <w:tcPr>
            <w:tcW w:type="dxa" w:w="5320"/>
          </w:tcPr>
          <w:p>
            <w:r>
              <w:rPr>
                <w:b w:val="0"/>
                <w:sz w:val="18"/>
              </w:rPr>
              <w:t>step(s) 3</w:t>
            </w:r>
          </w:p>
        </w:tc>
      </w:tr>
      <w:tr>
        <w:tc>
          <w:tcPr>
            <w:tcW w:type="dxa" w:w="5320"/>
          </w:tcPr>
          <w:p>
            <w:r>
              <w:rPr>
                <w:b/>
                <w:sz w:val="18"/>
              </w:rPr>
              <w:t>Note</w:t>
            </w:r>
          </w:p>
        </w:tc>
        <w:tc>
          <w:tcPr>
            <w:tcW w:type="dxa" w:w="5320"/>
          </w:tcPr>
          <w:p>
            <w:r>
              <w:rPr>
                <w:b w:val="0"/>
                <w:sz w:val="18"/>
              </w:rPr>
              <w:t>Revit-native schedule creation from the STING schedule definitions (MR_SCHEDULES.csv row "Lighting Schedule"). This is the live test of step 3's binding claim: the columns can only appear because those three parameters bind to Lighting Fixtures.</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28. Build Seeds on a scratch project   [pre-cleared offline]</w:t>
            </w:r>
          </w:p>
        </w:tc>
      </w:tr>
      <w:tr>
        <w:tc>
          <w:tcPr>
            <w:tcW w:type="dxa" w:w="5320"/>
          </w:tcPr>
          <w:p>
            <w:r>
              <w:rPr>
                <w:b/>
                <w:sz w:val="18"/>
              </w:rPr>
              <w:t>Run it via</w:t>
            </w:r>
          </w:p>
        </w:tc>
        <w:tc>
          <w:tcPr>
            <w:tcW w:type="dxa" w:w="5320"/>
          </w:tcPr>
          <w:p>
            <w:r>
              <w:rPr>
                <w:b w:val="0"/>
                <w:sz w:val="18"/>
              </w:rPr>
              <w:t>★ Build Seeds (STING panel · SETUP · SYMBOLS &amp; DEVICES)</w:t>
            </w:r>
          </w:p>
        </w:tc>
      </w:tr>
      <w:tr>
        <w:tc>
          <w:tcPr>
            <w:tcW w:type="dxa" w:w="5320"/>
          </w:tcPr>
          <w:p>
            <w:r>
              <w:rPr>
                <w:b/>
                <w:sz w:val="18"/>
              </w:rPr>
              <w:t>Expected</w:t>
            </w:r>
          </w:p>
        </w:tc>
        <w:tc>
          <w:tcPr>
            <w:tcW w:type="dxa" w:w="5320"/>
          </w:tcPr>
          <w:p>
            <w:r>
              <w:rPr>
                <w:b w:val="0"/>
                <w:sz w:val="18"/>
              </w:rPr>
              <w:t>All 16 seed families build. In STING_SEED_PlumbingFixture, the STING_SEED_BaptismalFont symbol builds with DCW + DHW supply, a SAN drain, and a recirculation supply/return pair carrying the DomesticHot systemType</w:t>
            </w:r>
          </w:p>
        </w:tc>
      </w:tr>
      <w:tr>
        <w:tc>
          <w:tcPr>
            <w:tcW w:type="dxa" w:w="5320"/>
          </w:tcPr>
          <w:p>
            <w:r>
              <w:rPr>
                <w:b/>
                <w:sz w:val="18"/>
              </w:rPr>
              <w:t>Command tag</w:t>
            </w:r>
          </w:p>
        </w:tc>
        <w:tc>
          <w:tcPr>
            <w:tcW w:type="dxa" w:w="5320"/>
          </w:tcPr>
          <w:p>
            <w:r>
              <w:rPr>
                <w:b w:val="0"/>
                <w:sz w:val="18"/>
              </w:rPr>
              <w:t>Seeds_Build</w:t>
            </w:r>
          </w:p>
        </w:tc>
      </w:tr>
      <w:tr>
        <w:tc>
          <w:tcPr>
            <w:tcW w:type="dxa" w:w="5320"/>
          </w:tcPr>
          <w:p>
            <w:r>
              <w:rPr>
                <w:b/>
                <w:sz w:val="18"/>
              </w:rPr>
              <w:t>Note</w:t>
            </w:r>
          </w:p>
        </w:tc>
        <w:tc>
          <w:tcPr>
            <w:tcW w:type="dxa" w:w="5320"/>
          </w:tcPr>
          <w:p>
            <w:r>
              <w:rPr>
                <w:b w:val="0"/>
                <w:sz w:val="18"/>
              </w:rPr>
              <w:t>There is no STING_SEED_BaptismalFont.json — the font is a symbol INSIDE Data/Seeds/STING_SEED_PlumbingFixture.json (Phase 192 E4). The old checklist also told you to press a "Build Seeds" button that did not exist: Seeds_Build was reachable only from inside WORKFLOW_{PenetrationSweep, PenetrationRegister, PlumbingRoughIn, ElectricalRoughIn, SLDProduction}. The button now exists, which is why this step reads "button" and not "workflow".</w:t>
            </w:r>
          </w:p>
        </w:tc>
      </w:tr>
      <w:tr>
        <w:tc>
          <w:tcPr>
            <w:tcW w:type="dxa" w:w="5320"/>
          </w:tcPr>
          <w:p>
            <w:r>
              <w:rPr>
                <w:b/>
                <w:sz w:val="18"/>
              </w:rPr>
              <w:t>Result</w:t>
            </w:r>
          </w:p>
        </w:tc>
        <w:tc>
          <w:tcPr>
            <w:tcW w:type="dxa" w:w="5320"/>
          </w:tcPr>
          <w:p>
            <w:r>
              <w:rPr>
                <w:b w:val="0"/>
                <w:sz w:val="18"/>
              </w:rPr>
              <w:t>[  ] PASS      [  ] FAIL      [  ] NOT RUN</w:t>
            </w:r>
          </w:p>
        </w:tc>
      </w:tr>
    </w:tbl>
    <w:p/>
    <w:p>
      <w:pPr>
        <w:pStyle w:val="Heading1"/>
      </w:pPr>
      <w:r>
        <w:t>Workflow gates</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29. KUT Gate Audit — the read-only pre-gate check   [pre-cleared offline]</w:t>
            </w:r>
          </w:p>
        </w:tc>
      </w:tr>
      <w:tr>
        <w:tc>
          <w:tcPr>
            <w:tcW w:type="dxa" w:w="5320"/>
          </w:tcPr>
          <w:p>
            <w:r>
              <w:rPr>
                <w:b/>
                <w:sz w:val="18"/>
              </w:rPr>
              <w:t>Run it via</w:t>
            </w:r>
          </w:p>
        </w:tc>
        <w:tc>
          <w:tcPr>
            <w:tcW w:type="dxa" w:w="5320"/>
          </w:tcPr>
          <w:p>
            <w:r>
              <w:rPr>
                <w:b w:val="0"/>
                <w:sz w:val="18"/>
              </w:rPr>
              <w:t>run WORKFLOWKUTGateAudit.json (workflow only — no standalone button)</w:t>
            </w:r>
          </w:p>
        </w:tc>
      </w:tr>
      <w:tr>
        <w:tc>
          <w:tcPr>
            <w:tcW w:type="dxa" w:w="5320"/>
          </w:tcPr>
          <w:p>
            <w:r>
              <w:rPr>
                <w:b/>
                <w:sz w:val="18"/>
              </w:rPr>
              <w:t>Expected</w:t>
            </w:r>
          </w:p>
        </w:tc>
        <w:tc>
          <w:tcPr>
            <w:tcW w:type="dxa" w:w="5320"/>
          </w:tcPr>
          <w:p>
            <w:r>
              <w:rPr>
                <w:b w:val="0"/>
                <w:sz w:val="18"/>
              </w:rPr>
              <w:t>Eight steps chain without an unknown-tag error: PreTagAudit → TokenConfidenceAudit → OwnerStandards_Audit → Program_Audit → DeviceCoord_Audit → LOD_Verify → ExportModelHealth → FullComplianceDashboard. NOTHING is written to the model</w:t>
            </w:r>
          </w:p>
        </w:tc>
      </w:tr>
      <w:tr>
        <w:tc>
          <w:tcPr>
            <w:tcW w:type="dxa" w:w="5320"/>
          </w:tcPr>
          <w:p>
            <w:r>
              <w:rPr>
                <w:b/>
                <w:sz w:val="18"/>
              </w:rPr>
              <w:t>Command tag</w:t>
            </w:r>
          </w:p>
        </w:tc>
        <w:tc>
          <w:tcPr>
            <w:tcW w:type="dxa" w:w="5320"/>
          </w:tcPr>
          <w:p>
            <w:r>
              <w:rPr>
                <w:b w:val="0"/>
                <w:sz w:val="18"/>
              </w:rPr>
              <w:t>WorkflowPreset</w:t>
            </w:r>
          </w:p>
        </w:tc>
      </w:tr>
      <w:tr>
        <w:tc>
          <w:tcPr>
            <w:tcW w:type="dxa" w:w="5320"/>
          </w:tcPr>
          <w:p>
            <w:r>
              <w:rPr>
                <w:b/>
                <w:sz w:val="18"/>
              </w:rPr>
              <w:t>Depends on</w:t>
            </w:r>
          </w:p>
        </w:tc>
        <w:tc>
          <w:tcPr>
            <w:tcW w:type="dxa" w:w="5320"/>
          </w:tcPr>
          <w:p>
            <w:r>
              <w:rPr>
                <w:b w:val="0"/>
                <w:sz w:val="18"/>
              </w:rPr>
              <w:t>step(s) 9, 13, 14, 15</w:t>
            </w:r>
          </w:p>
        </w:tc>
      </w:tr>
      <w:tr>
        <w:tc>
          <w:tcPr>
            <w:tcW w:type="dxa" w:w="5320"/>
          </w:tcPr>
          <w:p>
            <w:r>
              <w:rPr>
                <w:b/>
                <w:sz w:val="18"/>
              </w:rPr>
              <w:t>Note</w:t>
            </w:r>
          </w:p>
        </w:tc>
        <w:tc>
          <w:tcPr>
            <w:tcW w:type="dxa" w:w="5320"/>
          </w:tcPr>
          <w:p>
            <w:r>
              <w:rPr>
                <w:b w:val="0"/>
                <w:sz w:val="18"/>
              </w:rPr>
              <w:t>Replaces the old step that ran WORKFLOW_GateAudit.json, which has been deleted: it contained ValidateTags and CompletenessDashboard, both [Transaction(TransactionMode.Manual)] writers that build legends, so it was not the read-only check its description claimed. The checker now proves the read-only claim for every preset that makes it.</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30. KUT Deliverable A gate (LOD 200)   [pre-cleared offline]</w:t>
            </w:r>
          </w:p>
        </w:tc>
      </w:tr>
      <w:tr>
        <w:tc>
          <w:tcPr>
            <w:tcW w:type="dxa" w:w="5320"/>
          </w:tcPr>
          <w:p>
            <w:r>
              <w:rPr>
                <w:b/>
                <w:sz w:val="18"/>
              </w:rPr>
              <w:t>Run it via</w:t>
            </w:r>
          </w:p>
        </w:tc>
        <w:tc>
          <w:tcPr>
            <w:tcW w:type="dxa" w:w="5320"/>
          </w:tcPr>
          <w:p>
            <w:r>
              <w:rPr>
                <w:b w:val="0"/>
                <w:sz w:val="18"/>
              </w:rPr>
              <w:t>run WORKFLOWKUTDeliverableA.json (workflow only — no standalone button)</w:t>
            </w:r>
          </w:p>
        </w:tc>
      </w:tr>
      <w:tr>
        <w:tc>
          <w:tcPr>
            <w:tcW w:type="dxa" w:w="5320"/>
          </w:tcPr>
          <w:p>
            <w:r>
              <w:rPr>
                <w:b/>
                <w:sz w:val="18"/>
              </w:rPr>
              <w:t>Expected</w:t>
            </w:r>
          </w:p>
        </w:tc>
        <w:tc>
          <w:tcPr>
            <w:tcW w:type="dxa" w:w="5320"/>
          </w:tcPr>
          <w:p>
            <w:r>
              <w:rPr>
                <w:b w:val="0"/>
                <w:sz w:val="18"/>
              </w:rPr>
              <w:t>The A gate runs end to end: tokens, tags, program audit; LOD verification at deliverable-a</w:t>
            </w:r>
          </w:p>
        </w:tc>
      </w:tr>
      <w:tr>
        <w:tc>
          <w:tcPr>
            <w:tcW w:type="dxa" w:w="5320"/>
          </w:tcPr>
          <w:p>
            <w:r>
              <w:rPr>
                <w:b/>
                <w:sz w:val="18"/>
              </w:rPr>
              <w:t>Command tag</w:t>
            </w:r>
          </w:p>
        </w:tc>
        <w:tc>
          <w:tcPr>
            <w:tcW w:type="dxa" w:w="5320"/>
          </w:tcPr>
          <w:p>
            <w:r>
              <w:rPr>
                <w:b w:val="0"/>
                <w:sz w:val="18"/>
              </w:rPr>
              <w:t>WorkflowPreset</w:t>
            </w:r>
          </w:p>
        </w:tc>
      </w:tr>
      <w:tr>
        <w:tc>
          <w:tcPr>
            <w:tcW w:type="dxa" w:w="5320"/>
          </w:tcPr>
          <w:p>
            <w:r>
              <w:rPr>
                <w:b/>
                <w:sz w:val="18"/>
              </w:rPr>
              <w:t>Depends on</w:t>
            </w:r>
          </w:p>
        </w:tc>
        <w:tc>
          <w:tcPr>
            <w:tcW w:type="dxa" w:w="5320"/>
          </w:tcPr>
          <w:p>
            <w:r>
              <w:rPr>
                <w:b w:val="0"/>
                <w:sz w:val="18"/>
              </w:rPr>
              <w:t>step(s) 29</w:t>
            </w:r>
          </w:p>
        </w:tc>
      </w:tr>
      <w:tr>
        <w:tc>
          <w:tcPr>
            <w:tcW w:type="dxa" w:w="5320"/>
          </w:tcPr>
          <w:p>
            <w:r>
              <w:rPr>
                <w:b/>
                <w:sz w:val="18"/>
              </w:rPr>
              <w:t>Note</w:t>
            </w:r>
          </w:p>
        </w:tc>
        <w:tc>
          <w:tcPr>
            <w:tcW w:type="dxa" w:w="5320"/>
          </w:tcPr>
          <w:p>
            <w:r>
              <w:rPr>
                <w:b w:val="0"/>
                <w:sz w:val="18"/>
              </w:rPr>
              <w:t>The three Deliverable gate presets (#638) had no smoke-test coverage at all before this.</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31. KUT Deliverable B gate (LOD 300)   [pre-cleared offline]</w:t>
            </w:r>
          </w:p>
        </w:tc>
      </w:tr>
      <w:tr>
        <w:tc>
          <w:tcPr>
            <w:tcW w:type="dxa" w:w="5320"/>
          </w:tcPr>
          <w:p>
            <w:r>
              <w:rPr>
                <w:b/>
                <w:sz w:val="18"/>
              </w:rPr>
              <w:t>Run it via</w:t>
            </w:r>
          </w:p>
        </w:tc>
        <w:tc>
          <w:tcPr>
            <w:tcW w:type="dxa" w:w="5320"/>
          </w:tcPr>
          <w:p>
            <w:r>
              <w:rPr>
                <w:b w:val="0"/>
                <w:sz w:val="18"/>
              </w:rPr>
              <w:t>run WORKFLOWKUTDeliverableB.json (workflow only — no standalone button)</w:t>
            </w:r>
          </w:p>
        </w:tc>
      </w:tr>
      <w:tr>
        <w:tc>
          <w:tcPr>
            <w:tcW w:type="dxa" w:w="5320"/>
          </w:tcPr>
          <w:p>
            <w:r>
              <w:rPr>
                <w:b/>
                <w:sz w:val="18"/>
              </w:rPr>
              <w:t>Expected</w:t>
            </w:r>
          </w:p>
        </w:tc>
        <w:tc>
          <w:tcPr>
            <w:tcW w:type="dxa" w:w="5320"/>
          </w:tcPr>
          <w:p>
            <w:r>
              <w:rPr>
                <w:b w:val="0"/>
                <w:sz w:val="18"/>
              </w:rPr>
              <w:t>The fullest gate runs: program + owner-standards + CSI + device coordination + Fohlio finishes + clash, then LOD verification at deliverable-b</w:t>
            </w:r>
          </w:p>
        </w:tc>
      </w:tr>
      <w:tr>
        <w:tc>
          <w:tcPr>
            <w:tcW w:type="dxa" w:w="5320"/>
          </w:tcPr>
          <w:p>
            <w:r>
              <w:rPr>
                <w:b/>
                <w:sz w:val="18"/>
              </w:rPr>
              <w:t>Command tag</w:t>
            </w:r>
          </w:p>
        </w:tc>
        <w:tc>
          <w:tcPr>
            <w:tcW w:type="dxa" w:w="5320"/>
          </w:tcPr>
          <w:p>
            <w:r>
              <w:rPr>
                <w:b w:val="0"/>
                <w:sz w:val="18"/>
              </w:rPr>
              <w:t>WorkflowPreset</w:t>
            </w:r>
          </w:p>
        </w:tc>
      </w:tr>
      <w:tr>
        <w:tc>
          <w:tcPr>
            <w:tcW w:type="dxa" w:w="5320"/>
          </w:tcPr>
          <w:p>
            <w:r>
              <w:rPr>
                <w:b/>
                <w:sz w:val="18"/>
              </w:rPr>
              <w:t>Depends on</w:t>
            </w:r>
          </w:p>
        </w:tc>
        <w:tc>
          <w:tcPr>
            <w:tcW w:type="dxa" w:w="5320"/>
          </w:tcPr>
          <w:p>
            <w:r>
              <w:rPr>
                <w:b w:val="0"/>
                <w:sz w:val="18"/>
              </w:rPr>
              <w:t>step(s) 29</w:t>
            </w:r>
          </w:p>
        </w:tc>
      </w:tr>
      <w:tr>
        <w:tc>
          <w:tcPr>
            <w:tcW w:type="dxa" w:w="5320"/>
          </w:tcPr>
          <w:p>
            <w:r>
              <w:rPr>
                <w:b/>
                <w:sz w:val="18"/>
              </w:rPr>
              <w:t>Note</w:t>
            </w:r>
          </w:p>
        </w:tc>
        <w:tc>
          <w:tcPr>
            <w:tcW w:type="dxa" w:w="5320"/>
          </w:tcPr>
          <w:p>
            <w:r>
              <w:rPr>
                <w:b w:val="0"/>
                <w:sz w:val="18"/>
              </w:rPr>
              <w:t>Confirm CSI_Assign runs BEFORE SpecLink_Reconcile — reversed, every spec section reports as a gap and the report is worthless.</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32. KUT Deliverable C gate (LOD 350)   [pre-cleared offline]</w:t>
            </w:r>
          </w:p>
        </w:tc>
      </w:tr>
      <w:tr>
        <w:tc>
          <w:tcPr>
            <w:tcW w:type="dxa" w:w="5320"/>
          </w:tcPr>
          <w:p>
            <w:r>
              <w:rPr>
                <w:b/>
                <w:sz w:val="18"/>
              </w:rPr>
              <w:t>Run it via</w:t>
            </w:r>
          </w:p>
        </w:tc>
        <w:tc>
          <w:tcPr>
            <w:tcW w:type="dxa" w:w="5320"/>
          </w:tcPr>
          <w:p>
            <w:r>
              <w:rPr>
                <w:b w:val="0"/>
                <w:sz w:val="18"/>
              </w:rPr>
              <w:t>run WORKFLOWKUTDeliverableC.json (workflow only — no standalone button)</w:t>
            </w:r>
          </w:p>
        </w:tc>
      </w:tr>
      <w:tr>
        <w:tc>
          <w:tcPr>
            <w:tcW w:type="dxa" w:w="5320"/>
          </w:tcPr>
          <w:p>
            <w:r>
              <w:rPr>
                <w:b/>
                <w:sz w:val="18"/>
              </w:rPr>
              <w:t>Expected</w:t>
            </w:r>
          </w:p>
        </w:tc>
        <w:tc>
          <w:tcPr>
            <w:tcW w:type="dxa" w:w="5320"/>
          </w:tcPr>
          <w:p>
            <w:r>
              <w:rPr>
                <w:b w:val="0"/>
                <w:sz w:val="18"/>
              </w:rPr>
              <w:t>Adds CSI → SpecLink reconcile and the sheet register for the bidding set; LOD verification at deliverable-c</w:t>
            </w:r>
          </w:p>
        </w:tc>
      </w:tr>
      <w:tr>
        <w:tc>
          <w:tcPr>
            <w:tcW w:type="dxa" w:w="5320"/>
          </w:tcPr>
          <w:p>
            <w:r>
              <w:rPr>
                <w:b/>
                <w:sz w:val="18"/>
              </w:rPr>
              <w:t>Command tag</w:t>
            </w:r>
          </w:p>
        </w:tc>
        <w:tc>
          <w:tcPr>
            <w:tcW w:type="dxa" w:w="5320"/>
          </w:tcPr>
          <w:p>
            <w:r>
              <w:rPr>
                <w:b w:val="0"/>
                <w:sz w:val="18"/>
              </w:rPr>
              <w:t>WorkflowPreset</w:t>
            </w:r>
          </w:p>
        </w:tc>
      </w:tr>
      <w:tr>
        <w:tc>
          <w:tcPr>
            <w:tcW w:type="dxa" w:w="5320"/>
          </w:tcPr>
          <w:p>
            <w:r>
              <w:rPr>
                <w:b/>
                <w:sz w:val="18"/>
              </w:rPr>
              <w:t>Depends on</w:t>
            </w:r>
          </w:p>
        </w:tc>
        <w:tc>
          <w:tcPr>
            <w:tcW w:type="dxa" w:w="5320"/>
          </w:tcPr>
          <w:p>
            <w:r>
              <w:rPr>
                <w:b w:val="0"/>
                <w:sz w:val="18"/>
              </w:rPr>
              <w:t>step(s) 29</w:t>
            </w:r>
          </w:p>
        </w:tc>
      </w:tr>
      <w:tr>
        <w:tc>
          <w:tcPr>
            <w:tcW w:type="dxa" w:w="5320"/>
          </w:tcPr>
          <w:p>
            <w:r>
              <w:rPr>
                <w:b/>
                <w:sz w:val="18"/>
              </w:rPr>
              <w:t>Result</w:t>
            </w:r>
          </w:p>
        </w:tc>
        <w:tc>
          <w:tcPr>
            <w:tcW w:type="dxa" w:w="5320"/>
          </w:tcPr>
          <w:p>
            <w:r>
              <w:rPr>
                <w:b w:val="0"/>
                <w:sz w:val="18"/>
              </w:rPr>
              <w:t>[  ] PASS      [  ] FAIL      [  ] NOT RUN</w:t>
            </w:r>
          </w:p>
        </w:tc>
      </w:tr>
    </w:tbl>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33. Owner KPI dashboard   [pre-cleared offline]</w:t>
            </w:r>
          </w:p>
        </w:tc>
      </w:tr>
      <w:tr>
        <w:tc>
          <w:tcPr>
            <w:tcW w:type="dxa" w:w="5320"/>
          </w:tcPr>
          <w:p>
            <w:r>
              <w:rPr>
                <w:b/>
                <w:sz w:val="18"/>
              </w:rPr>
              <w:t>Run it via</w:t>
            </w:r>
          </w:p>
        </w:tc>
        <w:tc>
          <w:tcPr>
            <w:tcW w:type="dxa" w:w="5320"/>
          </w:tcPr>
          <w:p>
            <w:r>
              <w:rPr>
                <w:b w:val="0"/>
                <w:sz w:val="18"/>
              </w:rPr>
              <w:t>KPI Dashboard (STING panel · BIM · OWNER KPI DASHBOARD)</w:t>
            </w:r>
          </w:p>
        </w:tc>
      </w:tr>
      <w:tr>
        <w:tc>
          <w:tcPr>
            <w:tcW w:type="dxa" w:w="5320"/>
          </w:tcPr>
          <w:p>
            <w:r>
              <w:rPr>
                <w:b/>
                <w:sz w:val="18"/>
              </w:rPr>
              <w:t>Expected</w:t>
            </w:r>
          </w:p>
        </w:tc>
        <w:tc>
          <w:tcPr>
            <w:tcW w:type="dxa" w:w="5320"/>
          </w:tcPr>
          <w:p>
            <w:r>
              <w:rPr>
                <w:b w:val="0"/>
                <w:sz w:val="18"/>
              </w:rPr>
              <w:t>RAG bars, per-discipline table and clash burn-down; HTML + CSV written; a snapshot appended to _BIM_COORD/kpi/KUT_kpi_log.jsonl</w:t>
            </w:r>
          </w:p>
        </w:tc>
      </w:tr>
      <w:tr>
        <w:tc>
          <w:tcPr>
            <w:tcW w:type="dxa" w:w="5320"/>
          </w:tcPr>
          <w:p>
            <w:r>
              <w:rPr>
                <w:b/>
                <w:sz w:val="18"/>
              </w:rPr>
              <w:t>Command tag</w:t>
            </w:r>
          </w:p>
        </w:tc>
        <w:tc>
          <w:tcPr>
            <w:tcW w:type="dxa" w:w="5320"/>
          </w:tcPr>
          <w:p>
            <w:r>
              <w:rPr>
                <w:b w:val="0"/>
                <w:sz w:val="18"/>
              </w:rPr>
              <w:t>Owner_KpiDashboard</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Note</w:t>
            </w:r>
          </w:p>
        </w:tc>
        <w:tc>
          <w:tcPr>
            <w:tcW w:type="dxa" w:w="5320"/>
          </w:tcPr>
          <w:p>
            <w:r>
              <w:rPr>
                <w:b w:val="0"/>
                <w:sz w:val="18"/>
              </w:rPr>
              <w:t>Was KUT_KpiDashboard, which still resolves as an alias. The code comes from PRJ_ORG_PROJECT_CODE_TXT, so with step 2 done the log is KUT_kpi_log.jsonl; an existing kut_kpi_log.jsonl is read and appended to rather than orphaned.</w:t>
            </w:r>
          </w:p>
        </w:tc>
      </w:tr>
      <w:tr>
        <w:tc>
          <w:tcPr>
            <w:tcW w:type="dxa" w:w="5320"/>
          </w:tcPr>
          <w:p>
            <w:r>
              <w:rPr>
                <w:b/>
                <w:sz w:val="18"/>
              </w:rPr>
              <w:t>Result</w:t>
            </w:r>
          </w:p>
        </w:tc>
        <w:tc>
          <w:tcPr>
            <w:tcW w:type="dxa" w:w="5320"/>
          </w:tcPr>
          <w:p>
            <w:r>
              <w:rPr>
                <w:b w:val="0"/>
                <w:sz w:val="18"/>
              </w:rPr>
              <w:t>[  ] PASS      [  ] FAIL      [  ] NOT RUN</w:t>
            </w:r>
          </w:p>
        </w:tc>
      </w:tr>
    </w:tbl>
    <w:p/>
    <w:p>
      <w:pPr>
        <w:pStyle w:val="Heading1"/>
      </w:pPr>
      <w:r>
        <w:t>Platform round-trips (Part C)</w:t>
      </w:r>
    </w:p>
    <w:tbl>
      <w:tblPr>
        <w:tblStyle w:val="TableGrid"/>
        <w:tblW w:type="auto" w:w="0"/>
        <w:tblLook w:firstColumn="1" w:firstRow="1" w:lastColumn="0" w:lastRow="0" w:noHBand="0" w:noVBand="1" w:val="04A0"/>
      </w:tblPr>
      <w:tblGrid>
        <w:gridCol w:w="5320"/>
        <w:gridCol w:w="5320"/>
      </w:tblGrid>
      <w:tr>
        <w:tc>
          <w:tcPr>
            <w:tcW w:type="dxa" w:w="5320"/>
          </w:tcPr>
          <w:p>
            <w:r>
              <w:rPr>
                <w:b/>
                <w:sz w:val="18"/>
              </w:rPr>
              <w:t>Step</w:t>
            </w:r>
          </w:p>
        </w:tc>
        <w:tc>
          <w:tcPr>
            <w:tcW w:type="dxa" w:w="5320"/>
          </w:tcPr>
          <w:p>
            <w:r>
              <w:rPr>
                <w:b/>
                <w:sz w:val="18"/>
              </w:rPr>
              <w:t>34. COBie export, import, re-export — the round-trip survives</w:t>
            </w:r>
          </w:p>
        </w:tc>
      </w:tr>
      <w:tr>
        <w:tc>
          <w:tcPr>
            <w:tcW w:type="dxa" w:w="5320"/>
          </w:tcPr>
          <w:p>
            <w:r>
              <w:rPr>
                <w:b/>
                <w:sz w:val="18"/>
              </w:rPr>
              <w:t>Run it via</w:t>
            </w:r>
          </w:p>
        </w:tc>
        <w:tc>
          <w:tcPr>
            <w:tcW w:type="dxa" w:w="5320"/>
          </w:tcPr>
          <w:p>
            <w:r>
              <w:rPr>
                <w:b w:val="0"/>
                <w:sz w:val="18"/>
              </w:rPr>
              <w:t>COBie Export (STING panel · BIM · COBie V2.4 — FM HANDOVER)</w:t>
            </w:r>
          </w:p>
        </w:tc>
      </w:tr>
      <w:tr>
        <w:tc>
          <w:tcPr>
            <w:tcW w:type="dxa" w:w="5320"/>
          </w:tcPr>
          <w:p>
            <w:r>
              <w:rPr>
                <w:b/>
                <w:sz w:val="18"/>
              </w:rPr>
              <w:t>Expected</w:t>
            </w:r>
          </w:p>
        </w:tc>
        <w:tc>
          <w:tcPr>
            <w:tcW w:type="dxa" w:w="5320"/>
          </w:tcPr>
          <w:p>
            <w:r>
              <w:rPr>
                <w:b w:val="0"/>
                <w:sz w:val="18"/>
              </w:rPr>
              <w:t>Export to a spreadsheet. In the Component sheet, set InstallationDate to 2027-03-12 and WarrantyStartDate to 2027-03-19 on two rows, then import with COBie In (SETUP tab, 'Audits &amp; reports') and export again. BOTH values must come back unchanged on BOTH rows. An installation date that returns as today's date, as the project issue date, or blank means the export is not reading what the import wrote.</w:t>
            </w:r>
          </w:p>
        </w:tc>
      </w:tr>
      <w:tr>
        <w:tc>
          <w:tcPr>
            <w:tcW w:type="dxa" w:w="5320"/>
          </w:tcPr>
          <w:p>
            <w:r>
              <w:rPr>
                <w:b/>
                <w:sz w:val="18"/>
              </w:rPr>
              <w:t>Command tag</w:t>
            </w:r>
          </w:p>
        </w:tc>
        <w:tc>
          <w:tcPr>
            <w:tcW w:type="dxa" w:w="5320"/>
          </w:tcPr>
          <w:p>
            <w:r>
              <w:rPr>
                <w:b w:val="0"/>
                <w:sz w:val="18"/>
              </w:rPr>
              <w:t>COBieExport</w:t>
            </w:r>
          </w:p>
        </w:tc>
      </w:tr>
      <w:tr>
        <w:tc>
          <w:tcPr>
            <w:tcW w:type="dxa" w:w="5320"/>
          </w:tcPr>
          <w:p>
            <w:r>
              <w:rPr>
                <w:b/>
                <w:sz w:val="18"/>
              </w:rPr>
              <w:t>Depends on</w:t>
            </w:r>
          </w:p>
        </w:tc>
        <w:tc>
          <w:tcPr>
            <w:tcW w:type="dxa" w:w="5320"/>
          </w:tcPr>
          <w:p>
            <w:r>
              <w:rPr>
                <w:b w:val="0"/>
                <w:sz w:val="18"/>
              </w:rPr>
              <w:t>step(s) 2</w:t>
            </w:r>
          </w:p>
        </w:tc>
      </w:tr>
      <w:tr>
        <w:tc>
          <w:tcPr>
            <w:tcW w:type="dxa" w:w="5320"/>
          </w:tcPr>
          <w:p>
            <w:r>
              <w:rPr>
                <w:b/>
                <w:sz w:val="18"/>
              </w:rPr>
              <w:t>Note</w:t>
            </w:r>
          </w:p>
        </w:tc>
        <w:tc>
          <w:tcPr>
            <w:tcW w:type="dxa" w:w="5320"/>
          </w:tcPr>
          <w:p>
            <w:r>
              <w:rPr>
                <w:b w:val="0"/>
                <w:sz w:val="18"/>
              </w:rPr>
              <w:t>The unit test CobieFieldMapTests proves the column-to-parameter MAPPING round-trips, and it is what stops this regressing. It cannot open Revit, so it cannot show that the element matched, that the write was accepted, or that the worksheet parsed — which is why this step exists. Two fields had this defect: InstallationDate (import wrote ASS_INSTALLATION_DATE_TXT, export read only COM_INSTALL_DATE_TXT) and WarrantyStartDate (import wrote MNT_WARRANTY_START_TXT, export read only COM_WARRANTY_START_TXT). Both silently fell through to a derived value, which is why the check is that the value is UNCHANGED rather than merely present.</w:t>
            </w:r>
          </w:p>
        </w:tc>
      </w:tr>
      <w:tr>
        <w:tc>
          <w:tcPr>
            <w:tcW w:type="dxa" w:w="5320"/>
          </w:tcPr>
          <w:p>
            <w:r>
              <w:rPr>
                <w:b/>
                <w:sz w:val="18"/>
              </w:rPr>
              <w:t>Result</w:t>
            </w:r>
          </w:p>
        </w:tc>
        <w:tc>
          <w:tcPr>
            <w:tcW w:type="dxa" w:w="5320"/>
          </w:tcPr>
          <w:p>
            <w:r>
              <w:rPr>
                <w:b w:val="0"/>
                <w:sz w:val="18"/>
              </w:rPr>
              <w:t>[  ] PASS      [  ] FAIL      [  ] NOT RUN</w:t>
            </w:r>
          </w:p>
        </w:tc>
      </w:tr>
    </w:tbl>
    <w:p/>
    <w:p>
      <w:pPr>
        <w:pStyle w:val="Heading1"/>
      </w:pPr>
      <w:r>
        <w:t>Failure log</w:t>
      </w:r>
    </w:p>
    <w:p>
      <w:r>
        <w:t>One row per failure. Attach the StingTools.log excerpt.</w:t>
      </w:r>
    </w:p>
    <w:tbl>
      <w:tblPr>
        <w:tblStyle w:val="TableGrid"/>
        <w:tblW w:type="auto" w:w="0"/>
        <w:tblLook w:firstColumn="1" w:firstRow="1" w:lastColumn="0" w:lastRow="0" w:noHBand="0" w:noVBand="1" w:val="04A0"/>
      </w:tblPr>
      <w:tblGrid>
        <w:gridCol w:w="2660"/>
        <w:gridCol w:w="2660"/>
        <w:gridCol w:w="2660"/>
        <w:gridCol w:w="2660"/>
      </w:tblGrid>
      <w:tr>
        <w:tc>
          <w:tcPr>
            <w:tcW w:type="dxa" w:w="2660"/>
          </w:tcPr>
          <w:p>
            <w:r>
              <w:rPr>
                <w:b/>
              </w:rPr>
              <w:t>Step</w:t>
            </w:r>
          </w:p>
        </w:tc>
        <w:tc>
          <w:tcPr>
            <w:tcW w:type="dxa" w:w="2660"/>
          </w:tcPr>
          <w:p>
            <w:r>
              <w:rPr>
                <w:b/>
              </w:rPr>
              <w:t>Command</w:t>
            </w:r>
          </w:p>
        </w:tc>
        <w:tc>
          <w:tcPr>
            <w:tcW w:type="dxa" w:w="2660"/>
          </w:tcPr>
          <w:p>
            <w:r>
              <w:rPr>
                <w:b/>
              </w:rPr>
              <w:t>What happened</w:t>
            </w:r>
          </w:p>
        </w:tc>
        <w:tc>
          <w:tcPr>
            <w:tcW w:type="dxa" w:w="2660"/>
          </w:tcPr>
          <w:p>
            <w:r>
              <w:rPr>
                <w:b/>
              </w:rPr>
              <w:t>StingTools.log excerpt / model context</w:t>
            </w: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r>
        <w:tc>
          <w:tcPr>
            <w:tcW w:type="dxa" w:w="2660"/>
          </w:tcPr>
          <w:p/>
        </w:tc>
        <w:tc>
          <w:tcPr>
            <w:tcW w:type="dxa" w:w="2660"/>
          </w:tcPr>
          <w:p/>
        </w:tc>
        <w:tc>
          <w:tcPr>
            <w:tcW w:type="dxa" w:w="2660"/>
          </w:tcPr>
          <w:p/>
        </w:tc>
        <w:tc>
          <w:tcPr>
            <w:tcW w:type="dxa" w:w="2660"/>
          </w:tcPr>
          <w:p/>
        </w:tc>
      </w:tr>
    </w:tbl>
    <w:p>
      <w:pPr>
        <w:pStyle w:val="Heading1"/>
      </w:pPr>
      <w:r>
        <w:t>Sign-off</w:t>
      </w:r>
    </w:p>
    <w:tbl>
      <w:tblPr>
        <w:tblStyle w:val="TableGrid"/>
        <w:tblW w:type="auto" w:w="0"/>
        <w:tblLook w:firstColumn="1" w:firstRow="1" w:lastColumn="0" w:lastRow="0" w:noHBand="0" w:noVBand="1" w:val="04A0"/>
      </w:tblPr>
      <w:tblGrid>
        <w:gridCol w:w="2660"/>
        <w:gridCol w:w="2660"/>
        <w:gridCol w:w="2660"/>
        <w:gridCol w:w="2660"/>
      </w:tblGrid>
      <w:tr>
        <w:tc>
          <w:tcPr>
            <w:tcW w:type="dxa" w:w="2660"/>
          </w:tcPr>
          <w:p>
            <w:r>
              <w:rPr>
                <w:b/>
              </w:rPr>
              <w:t>Role</w:t>
            </w:r>
          </w:p>
        </w:tc>
        <w:tc>
          <w:tcPr>
            <w:tcW w:type="dxa" w:w="2660"/>
          </w:tcPr>
          <w:p>
            <w:r>
              <w:rPr>
                <w:b/>
              </w:rPr>
              <w:t>Name</w:t>
            </w:r>
          </w:p>
        </w:tc>
        <w:tc>
          <w:tcPr>
            <w:tcW w:type="dxa" w:w="2660"/>
          </w:tcPr>
          <w:p>
            <w:r>
              <w:rPr>
                <w:b/>
              </w:rPr>
              <w:t>Signature</w:t>
            </w:r>
          </w:p>
        </w:tc>
        <w:tc>
          <w:tcPr>
            <w:tcW w:type="dxa" w:w="2660"/>
          </w:tcPr>
          <w:p>
            <w:r>
              <w:rPr>
                <w:b/>
              </w:rPr>
              <w:t>Date</w:t>
            </w:r>
          </w:p>
        </w:tc>
      </w:tr>
      <w:tr>
        <w:tc>
          <w:tcPr>
            <w:tcW w:type="dxa" w:w="2660"/>
          </w:tcPr>
          <w:p>
            <w:r>
              <w:t>Tester</w:t>
            </w:r>
          </w:p>
        </w:tc>
        <w:tc>
          <w:tcPr>
            <w:tcW w:type="dxa" w:w="2660"/>
          </w:tcPr>
          <w:p/>
        </w:tc>
        <w:tc>
          <w:tcPr>
            <w:tcW w:type="dxa" w:w="2660"/>
          </w:tcPr>
          <w:p/>
        </w:tc>
        <w:tc>
          <w:tcPr>
            <w:tcW w:type="dxa" w:w="2660"/>
          </w:tcPr>
          <w:p/>
        </w:tc>
      </w:tr>
      <w:tr>
        <w:tc>
          <w:tcPr>
            <w:tcW w:type="dxa" w:w="2660"/>
          </w:tcPr>
          <w:p>
            <w:r>
              <w:t>BIM Manager</w:t>
            </w:r>
          </w:p>
        </w:tc>
        <w:tc>
          <w:tcPr>
            <w:tcW w:type="dxa" w:w="2660"/>
          </w:tcPr>
          <w:p/>
        </w:tc>
        <w:tc>
          <w:tcPr>
            <w:tcW w:type="dxa" w:w="2660"/>
          </w:tcPr>
          <w:p/>
        </w:tc>
        <w:tc>
          <w:tcPr>
            <w:tcW w:type="dxa" w:w="2660"/>
          </w:tcPr>
          <w:p/>
        </w:tc>
      </w:tr>
      <w:tr>
        <w:tc>
          <w:tcPr>
            <w:tcW w:type="dxa" w:w="2660"/>
          </w:tcPr>
          <w:p>
            <w:r>
              <w:t>Information Manager</w:t>
            </w:r>
          </w:p>
        </w:tc>
        <w:tc>
          <w:tcPr>
            <w:tcW w:type="dxa" w:w="2660"/>
          </w:tcPr>
          <w:p/>
        </w:tc>
        <w:tc>
          <w:tcPr>
            <w:tcW w:type="dxa" w:w="2660"/>
          </w:tcPr>
          <w:p/>
        </w:tc>
        <w:tc>
          <w:tcPr>
            <w:tcW w:type="dxa" w:w="2660"/>
          </w:tcPr>
          <w:p/>
        </w:tc>
      </w:tr>
    </w:tbl>
    <w:p>
      <w:pPr>
        <w:pStyle w:val="Heading1"/>
      </w:pPr>
      <w:r>
        <w:t>Notes</w:t>
      </w:r>
    </w:p>
    <w:p>
      <w:r>
        <w:t>Log any failure with the command, the `StingTools.log` excerpt, and the model context.</w:t>
      </w:r>
    </w:p>
    <w:p>
      <w:r>
        <w:t>**This file is generated.** Edit `docs/examples/KUT/smoke_test.json` and run `python tools/build_smoke_test.py`; `tools/check_smoke_test.py` fails CI if the two disagree. See [`docs/examples/_smoke_test_schema.md`](../_smoke_test_schema.md).</w:t>
      </w:r>
    </w:p>
    <w:sectPr w:rsidR="00FC693F" w:rsidRPr="0006063C" w:rsidSect="00034616">
      <w:pgSz w:w="12240" w:h="15840"/>
      <w:pgMar w:top="1440" w:right="800" w:bottom="144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 Revit smoke-test checklist</dc:title>
  <dc:subject/>
  <dc:creator>python-docx</dc:creator>
  <cp:keywords/>
  <dc:description>Generated by tools/build_smoke_test.py from docs/examples/KUT/smoke_test.json — do not edit this document. parts-sha256:09474e94a02a61d4d2a792e815e9337c5316b284ca4104679cde80096dd2c9d2 inputs-sha256:ce08db2e53cbd535ca5aa20e53178462254f2b288d9597a276db59f0df3f8ec6</dc:description>
  <cp:lastModifiedBy/>
  <cp:revision>1</cp:revision>
  <dcterms:created xsi:type="dcterms:W3CDTF">2020-01-01T00:00:00Z</dcterms:created>
  <dcterms:modified xsi:type="dcterms:W3CDTF">2020-01-01T00:00:00Z</dcterms:modified>
  <cp:category/>
</cp:coreProperties>
</file>