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Planscape Consulting Engineers Ltd (Information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Planscape</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(KUT-PLN-ZZ-ZZ-RP-Z-0002)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Planscape Consulting Engineers Ltd</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Standards adopted</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10.3</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pPr>
        <w:pStyle w:val="Heading2"/>
      </w:pPr>
      <w:r>
        <w:t>4.2  Container naming convention</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code length — to be confirmed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automated compliance check enforces an originator code of exactly three characters. The Information Manager default code is four characters. Two options are available: issue three-character codes to every organisation, or extend the permitted range to three to six characters, which is closer to general ISO 19650 practice. The Appointing Party originator register determines which applies. </w:t>
            </w:r>
            <w:r>
              <w:rPr>
                <w:b/>
                <w:sz w:val="19"/>
              </w:rPr>
              <w:t>No container is to be numbered until this is confirmed</w:t>
            </w:r>
            <w:r>
              <w:rPr>
                <w:b w:val="0"/>
                <w:sz w:val="19"/>
              </w:rPr>
              <w:t>, because renumbering after Deliverable A affects every issued document.</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[FILL — agreed survey datum, project base point, survey point, true north and shared coordinate origin.] The coordinate system is defined at mobilisation and locked thereafter. All models are linked by shared coordinates.</w:t>
      </w: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[FILL — which discipline models are tested against which]</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[FILL — hard clash tolerance and clearance rules by interface]</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2"/>
      </w:pPr>
      <w:r>
        <w:t>7.3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10.3</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10.3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10.3)</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(KUT-PLN-ZZ-ZZ-RP-Z-0002)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dc:description>
  <cp:lastModifiedBy>Planscape Consulting Engineers Ltd</cp:lastModifiedBy>
  <cp:revision>1</cp:revision>
  <dcterms:created xsi:type="dcterms:W3CDTF">2013-12-23T23:15:00Z</dcterms:created>
  <dcterms:modified xsi:type="dcterms:W3CDTF">2013-12-23T23:15:00Z</dcterms:modified>
  <cp:category>Project procedure</cp:category>
</cp:coreProperties>
</file>