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Transmittal Memo (B06)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Please acknowledge receipt of the documents listed below. Response deadlines — where given — are tracked in the associated CDE.</w:t>
      </w:r>
    </w:p>
    <w:p>
      <w:pPr>
        <w:spacing w:before="160" w:after="40"/>
      </w:pPr>
      <w:r>
        <w:rPr>
          <w:b/>
          <w:color w:val="1F4E79"/>
          <w:sz w:val="22"/>
        </w:rPr>
        <w:t>Transmittal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Transmittal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{{transmittal.id}}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 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{{transmittal.issue_date}}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Response due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{{transmittal.response_due}}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{{transmittal.method}}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{{transmittal.subject}}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Reason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{{transmittal.reason}}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Recipients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To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{{transmittal.recipients}}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Cc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{{transmittal.cc}}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Documents transmitted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Number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Suitability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documents}}</w:t>
            </w:r>
          </w:p>
          <w:p>
            <w:r>
              <w:t>{{documents.number}}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{{documents.title}}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{{documents.revision}}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{{documents.suitability}}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{{documents.type}}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Covering note</w:t>
      </w:r>
    </w:p>
    <w:p>
      <w:r>
        <w:rPr>
          <w:b w:val="0"/>
          <w:i w:val="0"/>
          <w:sz w:val="20"/>
        </w:rPr>
        <w:t>{{transmittal.covering_note}}</w:t>
      </w:r>
    </w:p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