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KUT-SMB-ZZ-ZZ-RP-Z-0001</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[FILL — S3 for review, or A1 on acceptance]</w:t>
            </w:r>
          </w:p>
        </w:tc>
      </w:tr>
      <w:tr>
        <w:tc>
          <w:tcPr>
            <w:tcW w:type="dxa" w:w="2835"/>
          </w:tcPr>
          <w:p>
            <w:r>
              <w:rPr>
                <w:b/>
                <w:color w:val="444F5C"/>
                <w:sz w:val="18"/>
              </w:rPr>
              <w:t>BEP type</w:t>
            </w:r>
          </w:p>
        </w:tc>
        <w:tc>
          <w:tcPr>
            <w:tcW w:type="dxa" w:w="6576"/>
          </w:tcPr>
          <w:p>
            <w:r>
              <w:rPr>
                <w:sz w:val="18"/>
              </w:rPr>
              <w:t>[FILL — pre-appointment / post-appointment]</w:t>
            </w:r>
          </w:p>
        </w:tc>
      </w:tr>
      <w:tr>
        <w:tc>
          <w:tcPr>
            <w:tcW w:type="dxa" w:w="2835"/>
          </w:tcPr>
          <w:p>
            <w:r>
              <w:rPr>
                <w:b/>
                <w:color w:val="444F5C"/>
                <w:sz w:val="18"/>
              </w:rPr>
              <w:t>Owned by</w:t>
            </w:r>
          </w:p>
        </w:tc>
        <w:tc>
          <w:tcPr>
            <w:tcW w:type="dxa" w:w="6576"/>
          </w:tcPr>
          <w:p>
            <w:r>
              <w:rPr>
                <w:sz w:val="18"/>
              </w:rPr>
              <w:t>Symbion Consulting Group Studios (Lead Appointed Party)</w:t>
            </w:r>
          </w:p>
        </w:tc>
      </w:tr>
      <w:tr>
        <w:tc>
          <w:tcPr>
            <w:tcW w:type="dxa" w:w="2835"/>
          </w:tcPr>
          <w:p>
            <w:r>
              <w:rPr>
                <w:b/>
                <w:color w:val="444F5C"/>
                <w:sz w:val="18"/>
              </w:rPr>
              <w:t>Prepared and maintained by</w:t>
            </w:r>
          </w:p>
        </w:tc>
        <w:tc>
          <w:tcPr>
            <w:tcW w:type="dxa" w:w="6576"/>
          </w:tcPr>
          <w:p>
            <w:r>
              <w:rPr>
                <w:sz w:val="18"/>
              </w:rPr>
              <w:t>Symbion Consulting Group Studios (Mayanja Davis)</w:t>
            </w:r>
          </w:p>
        </w:tc>
      </w:tr>
      <w:tr>
        <w:tc>
          <w:tcPr>
            <w:tcW w:type="dxa" w:w="2835"/>
          </w:tcPr>
          <w:p>
            <w:r>
              <w:rPr>
                <w:b/>
                <w:color w:val="444F5C"/>
                <w:sz w:val="18"/>
              </w:rPr>
              <w:t>Date of issue</w:t>
            </w:r>
          </w:p>
        </w:tc>
        <w:tc>
          <w:tcPr>
            <w:tcW w:type="dxa" w:w="6576"/>
          </w:tcPr>
          <w:p>
            <w:r>
              <w:rPr>
                <w:sz w:val="18"/>
              </w:rPr>
              <w:t>[FILL]</w:t>
            </w:r>
          </w:p>
        </w:tc>
      </w:tr>
    </w:tbl>
    <w:p/>
    <w:p>
      <w:r>
        <w:rPr>
          <w:i/>
          <w:color w:val="7A7A7A"/>
          <w:sz w:val="16"/>
        </w:rPr>
        <w:t>Issued through the Common Data Environment. Uncontrolled when printed.</w:t>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Symbion Consulting Group Studios</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(KUT-SMB-ZZ-ZZ-RP-Z-0002)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Asset data schedule</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Mobilisation checklist</w:t>
            </w:r>
          </w:p>
        </w:tc>
      </w:tr>
      <w:tr>
        <w:tc>
          <w:tcPr>
            <w:tcW w:type="dxa" w:w="1474"/>
          </w:tcPr>
          <w:p>
            <w:pPr>
              <w:spacing w:after="40"/>
            </w:pPr>
            <w:r>
              <w:rPr>
                <w:sz w:val="18"/>
              </w:rPr>
            </w:r>
            <w:r>
              <w:rPr>
                <w:b w:val="0"/>
                <w:sz w:val="18"/>
              </w:rPr>
              <w:t>16</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[FILL — temple and ancillary buildings, gross floor area, storeys]</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w:t>
            </w:r>
          </w:p>
        </w:tc>
        <w:tc>
          <w:tcPr>
            <w:tcW w:type="dxa" w:w="3515"/>
          </w:tcPr>
          <w:p>
            <w:pPr>
              <w:spacing w:after="40"/>
            </w:pPr>
            <w:r>
              <w:rPr>
                <w:sz w:val="17"/>
              </w:rPr>
            </w:r>
            <w:r>
              <w:rPr>
                <w:b w:val="0"/>
                <w:sz w:val="17"/>
              </w:rPr>
              <w:t>Bill of quantities produced from the model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Information management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10.4</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r>
        <w:rPr>
          <w:b w:val="0"/>
          <w:i w:val="0"/>
        </w:rPr>
        <w:t>These govern how information is structured, named and exchanged. The standards that govern what the information must SAY — the technical and statutory codes the design is produced against — are set out in Sections 4.1.1 to 4.1.3.</w:t>
      </w:r>
    </w:p>
    <w:p>
      <w:pPr>
        <w:pStyle w:val="Heading3"/>
      </w:pPr>
      <w:r>
        <w:t>4.1.1  Standards hierarchy</w:t>
      </w:r>
    </w:p>
    <w:p>
      <w:r>
        <w:rPr>
          <w:b w:val="0"/>
          <w:i w:val="0"/>
        </w:rPr>
        <w:t>The project is procured to an Appointing Party standards package derived from United States practice and is constructed in Uganda under Ugandan law. Three layers of requirement therefore apply, and they are not of equal standing.</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Layer</w:t>
            </w:r>
          </w:p>
        </w:tc>
        <w:tc>
          <w:tcPr>
            <w:tcW w:type="dxa" w:w="5102"/>
            <w:shd w:val="clear" w:fill="E8EDF3"/>
          </w:tcPr>
          <w:p>
            <w:r/>
            <w:r>
              <w:rPr>
                <w:b/>
                <w:color w:val="1F3654"/>
                <w:sz w:val="17"/>
              </w:rPr>
              <w:t>Comprises</w:t>
            </w:r>
          </w:p>
        </w:tc>
        <w:tc>
          <w:tcPr>
            <w:tcW w:type="dxa" w:w="2608"/>
            <w:shd w:val="clear" w:fill="E8EDF3"/>
          </w:tcPr>
          <w:p>
            <w:r/>
            <w:r>
              <w:rPr>
                <w:b/>
                <w:color w:val="1F3654"/>
                <w:sz w:val="17"/>
              </w:rPr>
              <w:t>Standing</w:t>
            </w:r>
          </w:p>
        </w:tc>
      </w:tr>
      <w:tr>
        <w:tc>
          <w:tcPr>
            <w:tcW w:type="dxa" w:w="1701"/>
          </w:tcPr>
          <w:p>
            <w:pPr>
              <w:spacing w:after="40"/>
            </w:pPr>
            <w:r>
              <w:rPr>
                <w:sz w:val="17"/>
              </w:rPr>
            </w:r>
            <w:r>
              <w:rPr>
                <w:b w:val="0"/>
                <w:sz w:val="17"/>
              </w:rPr>
              <w:t>Statutory</w:t>
            </w:r>
          </w:p>
        </w:tc>
        <w:tc>
          <w:tcPr>
            <w:tcW w:type="dxa" w:w="5102"/>
          </w:tcPr>
          <w:p>
            <w:pPr>
              <w:spacing w:after="40"/>
            </w:pPr>
            <w:r>
              <w:rPr>
                <w:sz w:val="17"/>
              </w:rPr>
            </w:r>
            <w:r>
              <w:rPr>
                <w:b w:val="0"/>
                <w:sz w:val="17"/>
              </w:rPr>
              <w:t>Building Control Act 2013 and the National Building Code; UNBS and adopted EAS standards; Electricity Act and ERA regulations; Public Health Act; Occupational Safety and Health Act; NEMA requirements; KCCA planning and fire requirements [FILL — confirm the applicable list with the Lead Appointed Party]</w:t>
            </w:r>
          </w:p>
        </w:tc>
        <w:tc>
          <w:tcPr>
            <w:tcW w:type="dxa" w:w="2608"/>
          </w:tcPr>
          <w:p>
            <w:pPr>
              <w:spacing w:after="40"/>
            </w:pPr>
            <w:r>
              <w:rPr>
                <w:sz w:val="17"/>
              </w:rPr>
            </w:r>
            <w:r>
              <w:rPr>
                <w:b/>
                <w:sz w:val="17"/>
              </w:rPr>
              <w:t>Legal floor. Cannot be waived by contract or by agreement</w:t>
            </w:r>
          </w:p>
        </w:tc>
      </w:tr>
      <w:tr>
        <w:tc>
          <w:tcPr>
            <w:tcW w:type="dxa" w:w="1701"/>
          </w:tcPr>
          <w:p>
            <w:pPr>
              <w:spacing w:after="40"/>
            </w:pPr>
            <w:r>
              <w:rPr>
                <w:sz w:val="17"/>
              </w:rPr>
            </w:r>
            <w:r>
              <w:rPr>
                <w:b w:val="0"/>
                <w:sz w:val="17"/>
              </w:rPr>
              <w:t>Appointing Party</w:t>
            </w:r>
          </w:p>
        </w:tc>
        <w:tc>
          <w:tcPr>
            <w:tcW w:type="dxa" w:w="5102"/>
          </w:tcPr>
          <w:p>
            <w:pPr>
              <w:spacing w:after="40"/>
            </w:pPr>
            <w:r>
              <w:rPr>
                <w:sz w:val="17"/>
              </w:rPr>
            </w:r>
            <w:r>
              <w:rPr>
                <w:b w:val="0"/>
                <w:sz w:val="17"/>
              </w:rPr>
              <w:t>CSI MasterFormat; NFPA 13 and 72; ASHRAE 90.1 and 62.1; ADA / ANSI A117.1; AWI; and the Owner’s own design standards [FILL — confirm against the issued exchange information requirements]</w:t>
            </w:r>
          </w:p>
        </w:tc>
        <w:tc>
          <w:tcPr>
            <w:tcW w:type="dxa" w:w="2608"/>
          </w:tcPr>
          <w:p>
            <w:pPr>
              <w:spacing w:after="40"/>
            </w:pPr>
            <w:r>
              <w:rPr>
                <w:sz w:val="17"/>
              </w:rPr>
            </w:r>
            <w:r>
              <w:rPr>
                <w:b w:val="0"/>
                <w:sz w:val="17"/>
              </w:rPr>
              <w:t>Binding through the appointment</w:t>
            </w:r>
          </w:p>
        </w:tc>
      </w:tr>
      <w:tr>
        <w:tc>
          <w:tcPr>
            <w:tcW w:type="dxa" w:w="1701"/>
          </w:tcPr>
          <w:p>
            <w:pPr>
              <w:spacing w:after="40"/>
            </w:pPr>
            <w:r>
              <w:rPr>
                <w:sz w:val="17"/>
              </w:rPr>
            </w:r>
            <w:r>
              <w:rPr>
                <w:b w:val="0"/>
                <w:sz w:val="17"/>
              </w:rPr>
              <w:t>Design practice</w:t>
            </w:r>
          </w:p>
        </w:tc>
        <w:tc>
          <w:tcPr>
            <w:tcW w:type="dxa" w:w="5102"/>
          </w:tcPr>
          <w:p>
            <w:pPr>
              <w:spacing w:after="40"/>
            </w:pPr>
            <w:r>
              <w:rPr>
                <w:sz w:val="17"/>
              </w:rPr>
            </w:r>
            <w:r>
              <w:rPr>
                <w:b w:val="0"/>
                <w:sz w:val="17"/>
              </w:rPr>
              <w:t>BS, EN and IEC standards as normally applied by the appointed parties in Uganda</w:t>
            </w:r>
          </w:p>
        </w:tc>
        <w:tc>
          <w:tcPr>
            <w:tcW w:type="dxa" w:w="2608"/>
          </w:tcPr>
          <w:p>
            <w:pPr>
              <w:spacing w:after="40"/>
            </w:pPr>
            <w:r>
              <w:rPr>
                <w:sz w:val="17"/>
              </w:rPr>
            </w:r>
            <w:r>
              <w:rPr>
                <w:b w:val="0"/>
                <w:sz w:val="17"/>
              </w:rPr>
              <w:t>Applies where the layers above are silent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PRECEDENCE</w:t>
            </w:r>
          </w:p>
          <w:p>
            <w:r>
              <w:rPr>
                <w:b/>
                <w:sz w:val="19"/>
              </w:rPr>
              <w:t>The governing rule.</w:t>
            </w:r>
            <w:r>
              <w:rPr>
                <w:b w:val="0"/>
                <w:sz w:val="19"/>
              </w:rPr>
              <w:t xml:space="preserve"> Statutory requirements always apply. Where an Appointing Party standard is </w:t>
            </w:r>
            <w:r>
              <w:rPr>
                <w:b/>
                <w:sz w:val="19"/>
              </w:rPr>
              <w:t>stricter</w:t>
            </w:r>
            <w:r>
              <w:rPr>
                <w:b w:val="0"/>
                <w:sz w:val="19"/>
              </w:rPr>
              <w:t xml:space="preserve"> than the statutory requirement, the Appointing Party standard governs. Where the two </w:t>
            </w:r>
            <w:r>
              <w:rPr>
                <w:b/>
                <w:sz w:val="19"/>
              </w:rPr>
              <w:t>conflict</w:t>
            </w:r>
            <w:r>
              <w:rPr>
                <w:b w:val="0"/>
                <w:sz w:val="19"/>
              </w:rPr>
              <w:t xml:space="preserve"> rather than differ in strictness, the conflict is recorded in Section 4.1.3 and a written derogation is obtained from the Appointing Party before the affected information is produced. No appointed party resolves such a conflict privately.</w:t>
            </w:r>
          </w:p>
        </w:tc>
      </w:tr>
    </w:tbl>
    <w:p>
      <w:pPr>
        <w:spacing w:after="40"/>
      </w:pPr>
    </w:p>
    <w:p>
      <w:pPr>
        <w:pStyle w:val="Heading3"/>
      </w:pPr>
      <w:r>
        <w:t>4.1.2  Technical standards by discipline</w:t>
      </w:r>
    </w:p>
    <w:p>
      <w:r>
        <w:rPr>
          <w:b w:val="0"/>
          <w:i w:val="0"/>
        </w:rPr>
        <w:t>The standard each discipline designs to, and the standard against which the information is checked. Where a cell reads [CONFIRM] the reconciliation in Section 4.1.3 has not yet been closed and the discipline must not proceed to detailed calculation.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Discipline</w:t>
            </w:r>
          </w:p>
        </w:tc>
        <w:tc>
          <w:tcPr>
            <w:tcW w:type="dxa" w:w="2608"/>
            <w:shd w:val="clear" w:fill="E8EDF3"/>
          </w:tcPr>
          <w:p>
            <w:r/>
            <w:r>
              <w:rPr>
                <w:b/>
                <w:color w:val="1F3654"/>
                <w:sz w:val="16"/>
              </w:rPr>
              <w:t>Appointing Party expectation</w:t>
            </w:r>
          </w:p>
        </w:tc>
        <w:tc>
          <w:tcPr>
            <w:tcW w:type="dxa" w:w="3061"/>
            <w:shd w:val="clear" w:fill="E8EDF3"/>
          </w:tcPr>
          <w:p>
            <w:r/>
            <w:r>
              <w:rPr>
                <w:b/>
                <w:color w:val="1F3654"/>
                <w:sz w:val="16"/>
              </w:rPr>
              <w:t>Local / statutory position</w:t>
            </w:r>
          </w:p>
        </w:tc>
        <w:tc>
          <w:tcPr>
            <w:tcW w:type="dxa" w:w="2154"/>
            <w:shd w:val="clear" w:fill="E8EDF3"/>
          </w:tcPr>
          <w:p>
            <w:r/>
            <w:r>
              <w:rPr>
                <w:b/>
                <w:color w:val="1F3654"/>
                <w:sz w:val="16"/>
              </w:rPr>
              <w:t>Governs</w:t>
            </w:r>
          </w:p>
        </w:tc>
      </w:tr>
      <w:tr>
        <w:tc>
          <w:tcPr>
            <w:tcW w:type="dxa" w:w="1587"/>
          </w:tcPr>
          <w:p>
            <w:pPr>
              <w:spacing w:after="40"/>
            </w:pPr>
            <w:r>
              <w:rPr>
                <w:sz w:val="16"/>
              </w:rPr>
            </w:r>
            <w:r>
              <w:rPr>
                <w:b w:val="0"/>
                <w:sz w:val="16"/>
              </w:rPr>
              <w:t>Architecture</w:t>
            </w:r>
          </w:p>
        </w:tc>
        <w:tc>
          <w:tcPr>
            <w:tcW w:type="dxa" w:w="2608"/>
          </w:tcPr>
          <w:p>
            <w:pPr>
              <w:spacing w:after="40"/>
            </w:pPr>
            <w:r>
              <w:rPr>
                <w:sz w:val="16"/>
              </w:rPr>
            </w:r>
            <w:r>
              <w:rPr>
                <w:b w:val="0"/>
                <w:sz w:val="16"/>
              </w:rPr>
              <w:t>IBC-derived planning and life safety; AWI for architectural woodwork</w:t>
            </w:r>
          </w:p>
        </w:tc>
        <w:tc>
          <w:tcPr>
            <w:tcW w:type="dxa" w:w="3061"/>
          </w:tcPr>
          <w:p>
            <w:pPr>
              <w:spacing w:after="40"/>
            </w:pPr>
            <w:r>
              <w:rPr>
                <w:sz w:val="16"/>
              </w:rPr>
            </w:r>
            <w:r>
              <w:rPr>
                <w:b w:val="0"/>
                <w:sz w:val="16"/>
              </w:rPr>
              <w:t>National Building Code; KCCA planning</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Accessibility</w:t>
            </w:r>
          </w:p>
        </w:tc>
        <w:tc>
          <w:tcPr>
            <w:tcW w:type="dxa" w:w="2608"/>
          </w:tcPr>
          <w:p>
            <w:pPr>
              <w:spacing w:after="40"/>
            </w:pPr>
            <w:r>
              <w:rPr>
                <w:sz w:val="16"/>
              </w:rPr>
            </w:r>
            <w:r>
              <w:rPr>
                <w:b w:val="0"/>
                <w:sz w:val="16"/>
              </w:rPr>
              <w:t>ADA / ANSI A117.1</w:t>
            </w:r>
          </w:p>
        </w:tc>
        <w:tc>
          <w:tcPr>
            <w:tcW w:type="dxa" w:w="3061"/>
          </w:tcPr>
          <w:p>
            <w:pPr>
              <w:spacing w:after="40"/>
            </w:pPr>
            <w:r>
              <w:rPr>
                <w:sz w:val="16"/>
              </w:rPr>
            </w:r>
            <w:r>
              <w:rPr>
                <w:b w:val="0"/>
                <w:sz w:val="16"/>
              </w:rPr>
              <w:t>Persons with Disabilities Act; UNBS accessibility provisions</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Structural</w:t>
            </w:r>
          </w:p>
        </w:tc>
        <w:tc>
          <w:tcPr>
            <w:tcW w:type="dxa" w:w="2608"/>
          </w:tcPr>
          <w:p>
            <w:pPr>
              <w:spacing w:after="40"/>
            </w:pPr>
            <w:r>
              <w:rPr>
                <w:sz w:val="16"/>
              </w:rPr>
            </w:r>
            <w:r>
              <w:rPr>
                <w:b w:val="0"/>
                <w:sz w:val="16"/>
              </w:rPr>
              <w:t>ACI 318; ASCE 7</w:t>
            </w:r>
          </w:p>
        </w:tc>
        <w:tc>
          <w:tcPr>
            <w:tcW w:type="dxa" w:w="3061"/>
          </w:tcPr>
          <w:p>
            <w:pPr>
              <w:spacing w:after="40"/>
            </w:pPr>
            <w:r>
              <w:rPr>
                <w:sz w:val="16"/>
              </w:rPr>
            </w:r>
            <w:r>
              <w:rPr>
                <w:b w:val="0"/>
                <w:sz w:val="16"/>
              </w:rPr>
              <w:t xml:space="preserve">Eurocodes or BS as adopted; </w:t>
            </w:r>
            <w:r>
              <w:rPr>
                <w:b/>
                <w:sz w:val="16"/>
              </w:rPr>
              <w:t>Ugandan wind, seismic and soil values regardless of code</w:t>
            </w:r>
          </w:p>
        </w:tc>
        <w:tc>
          <w:tcPr>
            <w:tcW w:type="dxa" w:w="2154"/>
          </w:tcPr>
          <w:p>
            <w:pPr>
              <w:spacing w:after="40"/>
            </w:pPr>
            <w:r>
              <w:rPr>
                <w:sz w:val="16"/>
              </w:rPr>
            </w:r>
            <w:r>
              <w:rPr>
                <w:b w:val="0"/>
                <w:sz w:val="16"/>
              </w:rPr>
              <w:t>[CONFIRM] — but loading values are local without exception</w:t>
            </w:r>
          </w:p>
        </w:tc>
      </w:tr>
      <w:tr>
        <w:tc>
          <w:tcPr>
            <w:tcW w:type="dxa" w:w="1587"/>
          </w:tcPr>
          <w:p>
            <w:pPr>
              <w:spacing w:after="40"/>
            </w:pPr>
            <w:r>
              <w:rPr>
                <w:sz w:val="16"/>
              </w:rPr>
            </w:r>
            <w:r>
              <w:rPr>
                <w:b w:val="0"/>
                <w:sz w:val="16"/>
              </w:rPr>
              <w:t>Mechanical</w:t>
            </w:r>
          </w:p>
        </w:tc>
        <w:tc>
          <w:tcPr>
            <w:tcW w:type="dxa" w:w="2608"/>
          </w:tcPr>
          <w:p>
            <w:pPr>
              <w:spacing w:after="40"/>
            </w:pPr>
            <w:r>
              <w:rPr>
                <w:sz w:val="16"/>
              </w:rPr>
            </w:r>
            <w:r>
              <w:rPr>
                <w:b w:val="0"/>
                <w:sz w:val="16"/>
              </w:rPr>
              <w:t>ASHRAE 90.1 and 62.1</w:t>
            </w:r>
          </w:p>
        </w:tc>
        <w:tc>
          <w:tcPr>
            <w:tcW w:type="dxa" w:w="3061"/>
          </w:tcPr>
          <w:p>
            <w:pPr>
              <w:spacing w:after="40"/>
            </w:pPr>
            <w:r>
              <w:rPr>
                <w:sz w:val="16"/>
              </w:rPr>
            </w:r>
            <w:r>
              <w:rPr>
                <w:b w:val="0"/>
                <w:sz w:val="16"/>
              </w:rPr>
              <w:t>CIBSE and BS EN practice; National Building Code ventilation</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Electrical</w:t>
            </w:r>
          </w:p>
        </w:tc>
        <w:tc>
          <w:tcPr>
            <w:tcW w:type="dxa" w:w="2608"/>
          </w:tcPr>
          <w:p>
            <w:pPr>
              <w:spacing w:after="40"/>
            </w:pPr>
            <w:r>
              <w:rPr>
                <w:sz w:val="16"/>
              </w:rPr>
            </w:r>
            <w:r>
              <w:rPr>
                <w:b w:val="0"/>
                <w:sz w:val="16"/>
              </w:rPr>
              <w:t>NEC-derived calculation and protection</w:t>
            </w:r>
          </w:p>
        </w:tc>
        <w:tc>
          <w:tcPr>
            <w:tcW w:type="dxa" w:w="3061"/>
          </w:tcPr>
          <w:p>
            <w:pPr>
              <w:spacing w:after="40"/>
            </w:pPr>
            <w:r>
              <w:rPr>
                <w:sz w:val="16"/>
              </w:rPr>
            </w:r>
            <w:r>
              <w:rPr>
                <w:b/>
                <w:sz w:val="16"/>
              </w:rPr>
              <w:t>240 V single / 415 V three-phase, 50 Hz, BS 7671 / IEC 60364, BS 1363 accessories</w:t>
            </w:r>
          </w:p>
        </w:tc>
        <w:tc>
          <w:tcPr>
            <w:tcW w:type="dxa" w:w="2154"/>
          </w:tcPr>
          <w:p>
            <w:pPr>
              <w:spacing w:after="40"/>
            </w:pPr>
            <w:r>
              <w:rPr>
                <w:sz w:val="16"/>
              </w:rPr>
            </w:r>
            <w:r>
              <w:rPr>
                <w:b/>
                <w:sz w:val="16"/>
              </w:rPr>
              <w:t>Local governs</w:t>
            </w:r>
            <w:r>
              <w:rPr>
                <w:b w:val="0"/>
                <w:sz w:val="16"/>
              </w:rPr>
              <w:t xml:space="preserve"> — see the note below</w:t>
            </w:r>
          </w:p>
        </w:tc>
      </w:tr>
      <w:tr>
        <w:tc>
          <w:tcPr>
            <w:tcW w:type="dxa" w:w="1587"/>
          </w:tcPr>
          <w:p>
            <w:pPr>
              <w:spacing w:after="40"/>
            </w:pPr>
            <w:r>
              <w:rPr>
                <w:sz w:val="16"/>
              </w:rPr>
            </w:r>
            <w:r>
              <w:rPr>
                <w:b w:val="0"/>
                <w:sz w:val="16"/>
              </w:rPr>
              <w:t>Public health</w:t>
            </w:r>
          </w:p>
        </w:tc>
        <w:tc>
          <w:tcPr>
            <w:tcW w:type="dxa" w:w="2608"/>
          </w:tcPr>
          <w:p>
            <w:pPr>
              <w:spacing w:after="40"/>
            </w:pPr>
            <w:r>
              <w:rPr>
                <w:sz w:val="16"/>
              </w:rPr>
            </w:r>
            <w:r>
              <w:rPr>
                <w:b w:val="0"/>
                <w:sz w:val="16"/>
              </w:rPr>
              <w:t>IPC / UPC fixture-unit method</w:t>
            </w:r>
          </w:p>
        </w:tc>
        <w:tc>
          <w:tcPr>
            <w:tcW w:type="dxa" w:w="3061"/>
          </w:tcPr>
          <w:p>
            <w:pPr>
              <w:spacing w:after="40"/>
            </w:pPr>
            <w:r>
              <w:rPr>
                <w:sz w:val="16"/>
              </w:rPr>
            </w:r>
            <w:r>
              <w:rPr>
                <w:b w:val="0"/>
                <w:sz w:val="16"/>
              </w:rPr>
              <w:t>BS EN 12056 and BS 8558; National Building Code drainage</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Fire protection</w:t>
            </w:r>
          </w:p>
        </w:tc>
        <w:tc>
          <w:tcPr>
            <w:tcW w:type="dxa" w:w="2608"/>
          </w:tcPr>
          <w:p>
            <w:pPr>
              <w:spacing w:after="40"/>
            </w:pPr>
            <w:r>
              <w:rPr>
                <w:sz w:val="16"/>
              </w:rPr>
            </w:r>
            <w:r>
              <w:rPr>
                <w:b w:val="0"/>
                <w:sz w:val="16"/>
              </w:rPr>
              <w:t>NFPA 13 (suppression) and NFPA 72 (detection and alarm)</w:t>
            </w:r>
          </w:p>
        </w:tc>
        <w:tc>
          <w:tcPr>
            <w:tcW w:type="dxa" w:w="3061"/>
          </w:tcPr>
          <w:p>
            <w:pPr>
              <w:spacing w:after="40"/>
            </w:pPr>
            <w:r>
              <w:rPr>
                <w:sz w:val="16"/>
              </w:rPr>
            </w:r>
            <w:r>
              <w:rPr>
                <w:b w:val="0"/>
                <w:sz w:val="16"/>
              </w:rPr>
              <w:t>National Building Code fire provisions; KCCA fire approval</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Energy</w:t>
            </w:r>
          </w:p>
        </w:tc>
        <w:tc>
          <w:tcPr>
            <w:tcW w:type="dxa" w:w="2608"/>
          </w:tcPr>
          <w:p>
            <w:pPr>
              <w:spacing w:after="40"/>
            </w:pPr>
            <w:r>
              <w:rPr>
                <w:sz w:val="16"/>
              </w:rPr>
            </w:r>
            <w:r>
              <w:rPr>
                <w:b w:val="0"/>
                <w:sz w:val="16"/>
              </w:rPr>
              <w:t>ASHRAE 90.1 with ComCheck evidence</w:t>
            </w:r>
          </w:p>
        </w:tc>
        <w:tc>
          <w:tcPr>
            <w:tcW w:type="dxa" w:w="3061"/>
          </w:tcPr>
          <w:p>
            <w:pPr>
              <w:spacing w:after="40"/>
            </w:pPr>
            <w:r>
              <w:rPr>
                <w:sz w:val="16"/>
              </w:rPr>
            </w:r>
            <w:r>
              <w:rPr>
                <w:b w:val="0"/>
                <w:sz w:val="16"/>
              </w:rPr>
              <w:t>No directly equivalent local mandate</w:t>
            </w:r>
          </w:p>
        </w:tc>
        <w:tc>
          <w:tcPr>
            <w:tcW w:type="dxa" w:w="2154"/>
          </w:tcPr>
          <w:p>
            <w:pPr>
              <w:spacing w:after="40"/>
            </w:pPr>
            <w:r>
              <w:rPr>
                <w:sz w:val="16"/>
              </w:rPr>
            </w:r>
            <w:r>
              <w:rPr>
                <w:b w:val="0"/>
                <w:sz w:val="16"/>
              </w:rPr>
              <w:t>Appointing Party</w:t>
            </w:r>
          </w:p>
        </w:tc>
      </w:tr>
      <w:tr>
        <w:tc>
          <w:tcPr>
            <w:tcW w:type="dxa" w:w="1587"/>
          </w:tcPr>
          <w:p>
            <w:pPr>
              <w:spacing w:after="40"/>
            </w:pPr>
            <w:r>
              <w:rPr>
                <w:sz w:val="16"/>
              </w:rPr>
            </w:r>
            <w:r>
              <w:rPr>
                <w:b w:val="0"/>
                <w:sz w:val="16"/>
              </w:rPr>
              <w:t>Units</w:t>
            </w:r>
          </w:p>
        </w:tc>
        <w:tc>
          <w:tcPr>
            <w:tcW w:type="dxa" w:w="2608"/>
          </w:tcPr>
          <w:p>
            <w:pPr>
              <w:spacing w:after="40"/>
            </w:pPr>
            <w:r>
              <w:rPr>
                <w:sz w:val="16"/>
              </w:rPr>
            </w:r>
            <w:r>
              <w:rPr>
                <w:b w:val="0"/>
                <w:sz w:val="16"/>
              </w:rPr>
              <w:t>Imperial-derived dimensions in source standards</w:t>
            </w:r>
          </w:p>
        </w:tc>
        <w:tc>
          <w:tcPr>
            <w:tcW w:type="dxa" w:w="3061"/>
          </w:tcPr>
          <w:p>
            <w:pPr>
              <w:spacing w:after="40"/>
            </w:pPr>
            <w:r>
              <w:rPr>
                <w:sz w:val="16"/>
              </w:rPr>
            </w:r>
            <w:r>
              <w:rPr>
                <w:b w:val="0"/>
                <w:sz w:val="16"/>
              </w:rPr>
              <w:t>Metric (millimetres) throughout</w:t>
            </w:r>
          </w:p>
        </w:tc>
        <w:tc>
          <w:tcPr>
            <w:tcW w:type="dxa" w:w="2154"/>
          </w:tcPr>
          <w:p>
            <w:pPr>
              <w:spacing w:after="40"/>
            </w:pPr>
            <w:r>
              <w:rPr>
                <w:sz w:val="16"/>
              </w:rPr>
            </w:r>
            <w:r>
              <w:rPr>
                <w:b/>
                <w:sz w:val="16"/>
              </w:rPr>
              <w:t>Metric, without exception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ELECTRICAL SUPPLY AND PROTECTION</w:t>
            </w:r>
          </w:p>
          <w:p>
            <w:r>
              <w:rPr>
                <w:b/>
                <w:sz w:val="19"/>
              </w:rPr>
              <w:t>Electrical is the one that cannot be transferred.</w:t>
            </w:r>
            <w:r>
              <w:rPr>
                <w:b w:val="0"/>
                <w:sz w:val="19"/>
              </w:rPr>
              <w:t xml:space="preserve"> Uganda operates at 240 V single phase, 415 V three phase, 50 Hz, with BS 7671 / IEC 60364 protection philosophy and BS 1363 accessories. NEC assumes 120/208 V at 60 Hz with AWG conductors and a different protection basis. Conductor sizing, protective device selection and earthing arrangement do not convert between the two, and equipment is procured to the local supply. The electrical design is produced to the local standard; the Appointing Party standard is satisfied where it is stricter and does not conflict.</w:t>
            </w:r>
          </w:p>
        </w:tc>
      </w:tr>
    </w:tbl>
    <w:p>
      <w:pPr>
        <w:spacing w:after="40"/>
      </w:pPr>
    </w:p>
    <w:p>
      <w:pPr>
        <w:pStyle w:val="Heading3"/>
      </w:pPr>
      <w:r>
        <w:t>4.1.3  Standards reconciliation schedule</w:t>
      </w:r>
    </w:p>
    <w:p>
      <w:r>
        <w:rPr>
          <w:b w:val="0"/>
          <w:i w:val="0"/>
        </w:rPr>
        <w:t>One row per topic where the layers in Section 4.1.1 differ. This schedule is opened at mobilisation, closed before Technical Design begins, and reissued with this plan whenever a row changes. An open row is a live risk: it means two appointed parties may be designing to different bases.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6"/>
              </w:rPr>
              <w:t>#</w:t>
            </w:r>
          </w:p>
        </w:tc>
        <w:tc>
          <w:tcPr>
            <w:tcW w:type="dxa" w:w="2268"/>
            <w:shd w:val="clear" w:fill="E8EDF3"/>
          </w:tcPr>
          <w:p>
            <w:r/>
            <w:r>
              <w:rPr>
                <w:b/>
                <w:color w:val="1F3654"/>
                <w:sz w:val="16"/>
              </w:rPr>
              <w:t>Topic</w:t>
            </w:r>
          </w:p>
        </w:tc>
        <w:tc>
          <w:tcPr>
            <w:tcW w:type="dxa" w:w="3175"/>
            <w:shd w:val="clear" w:fill="E8EDF3"/>
          </w:tcPr>
          <w:p>
            <w:r/>
            <w:r>
              <w:rPr>
                <w:b/>
                <w:color w:val="1F3654"/>
                <w:sz w:val="16"/>
              </w:rPr>
              <w:t>Difference to resolve</w:t>
            </w:r>
          </w:p>
        </w:tc>
        <w:tc>
          <w:tcPr>
            <w:tcW w:type="dxa" w:w="1928"/>
            <w:shd w:val="clear" w:fill="E8EDF3"/>
          </w:tcPr>
          <w:p>
            <w:r/>
            <w:r>
              <w:rPr>
                <w:b/>
                <w:color w:val="1F3654"/>
                <w:sz w:val="16"/>
              </w:rPr>
              <w:t>Resolution</w:t>
            </w:r>
          </w:p>
        </w:tc>
        <w:tc>
          <w:tcPr>
            <w:tcW w:type="dxa" w:w="1247"/>
            <w:shd w:val="clear" w:fill="E8EDF3"/>
          </w:tcPr>
          <w:p>
            <w:r/>
            <w:r>
              <w:rPr>
                <w:b/>
                <w:color w:val="1F3654"/>
                <w:sz w:val="16"/>
              </w:rPr>
              <w:t>Approved by / date</w:t>
            </w:r>
          </w:p>
        </w:tc>
      </w:tr>
      <w:tr>
        <w:tc>
          <w:tcPr>
            <w:tcW w:type="dxa" w:w="794"/>
          </w:tcPr>
          <w:p>
            <w:pPr>
              <w:spacing w:after="40"/>
            </w:pPr>
            <w:r>
              <w:rPr>
                <w:sz w:val="16"/>
              </w:rPr>
            </w:r>
            <w:r>
              <w:rPr>
                <w:b w:val="0"/>
                <w:sz w:val="16"/>
              </w:rPr>
              <w:t>SR-01</w:t>
            </w:r>
          </w:p>
        </w:tc>
        <w:tc>
          <w:tcPr>
            <w:tcW w:type="dxa" w:w="2268"/>
          </w:tcPr>
          <w:p>
            <w:pPr>
              <w:spacing w:after="40"/>
            </w:pPr>
            <w:r>
              <w:rPr>
                <w:sz w:val="16"/>
              </w:rPr>
            </w:r>
            <w:r>
              <w:rPr>
                <w:b w:val="0"/>
                <w:sz w:val="16"/>
              </w:rPr>
              <w:t>Electrical supply, protection and accessories</w:t>
            </w:r>
          </w:p>
        </w:tc>
        <w:tc>
          <w:tcPr>
            <w:tcW w:type="dxa" w:w="3175"/>
          </w:tcPr>
          <w:p>
            <w:pPr>
              <w:spacing w:after="40"/>
            </w:pPr>
            <w:r>
              <w:rPr>
                <w:sz w:val="16"/>
              </w:rPr>
            </w:r>
            <w:r>
              <w:rPr>
                <w:b w:val="0"/>
                <w:sz w:val="16"/>
              </w:rPr>
              <w:t>NEC basis versus 240/415 V 50 Hz BS 7671 practice</w:t>
            </w:r>
          </w:p>
        </w:tc>
        <w:tc>
          <w:tcPr>
            <w:tcW w:type="dxa" w:w="1928"/>
          </w:tcPr>
          <w:p>
            <w:pPr>
              <w:spacing w:after="40"/>
            </w:pPr>
            <w:r>
              <w:rPr>
                <w:sz w:val="16"/>
              </w:rPr>
            </w:r>
            <w:r>
              <w:rPr>
                <w:b w:val="0"/>
                <w:sz w:val="16"/>
              </w:rPr>
              <w:t>Local governs (Section 4.1.2)</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SR-02</w:t>
            </w:r>
          </w:p>
        </w:tc>
        <w:tc>
          <w:tcPr>
            <w:tcW w:type="dxa" w:w="2268"/>
          </w:tcPr>
          <w:p>
            <w:pPr>
              <w:spacing w:after="40"/>
            </w:pPr>
            <w:r>
              <w:rPr>
                <w:sz w:val="16"/>
              </w:rPr>
            </w:r>
            <w:r>
              <w:rPr>
                <w:b w:val="0"/>
                <w:sz w:val="16"/>
              </w:rPr>
              <w:t>Fire suppression design density and hydrant provision</w:t>
            </w:r>
          </w:p>
        </w:tc>
        <w:tc>
          <w:tcPr>
            <w:tcW w:type="dxa" w:w="3175"/>
          </w:tcPr>
          <w:p>
            <w:pPr>
              <w:spacing w:after="40"/>
            </w:pPr>
            <w:r>
              <w:rPr>
                <w:sz w:val="16"/>
              </w:rPr>
            </w:r>
            <w:r>
              <w:rPr>
                <w:b w:val="0"/>
                <w:sz w:val="16"/>
              </w:rPr>
              <w:t>NFPA 13 versus National Building Code provisions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SR-03</w:t>
            </w:r>
          </w:p>
        </w:tc>
        <w:tc>
          <w:tcPr>
            <w:tcW w:type="dxa" w:w="2268"/>
          </w:tcPr>
          <w:p>
            <w:pPr>
              <w:spacing w:after="40"/>
            </w:pPr>
            <w:r>
              <w:rPr>
                <w:sz w:val="16"/>
              </w:rPr>
            </w:r>
            <w:r>
              <w:rPr>
                <w:b w:val="0"/>
                <w:sz w:val="16"/>
              </w:rPr>
              <w:t>Fire detection zoning, audibility and cause and effect</w:t>
            </w:r>
          </w:p>
        </w:tc>
        <w:tc>
          <w:tcPr>
            <w:tcW w:type="dxa" w:w="3175"/>
          </w:tcPr>
          <w:p>
            <w:pPr>
              <w:spacing w:after="40"/>
            </w:pPr>
            <w:r>
              <w:rPr>
                <w:sz w:val="16"/>
              </w:rPr>
            </w:r>
            <w:r>
              <w:rPr>
                <w:b w:val="0"/>
                <w:sz w:val="16"/>
              </w:rPr>
              <w:t>NFPA 72 versus local practice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SR-04</w:t>
            </w:r>
          </w:p>
        </w:tc>
        <w:tc>
          <w:tcPr>
            <w:tcW w:type="dxa" w:w="2268"/>
          </w:tcPr>
          <w:p>
            <w:pPr>
              <w:spacing w:after="40"/>
            </w:pPr>
            <w:r>
              <w:rPr>
                <w:sz w:val="16"/>
              </w:rPr>
            </w:r>
            <w:r>
              <w:rPr>
                <w:b w:val="0"/>
                <w:sz w:val="16"/>
              </w:rPr>
              <w:t>Sanitary and rainwater drainage sizing method</w:t>
            </w:r>
          </w:p>
        </w:tc>
        <w:tc>
          <w:tcPr>
            <w:tcW w:type="dxa" w:w="3175"/>
          </w:tcPr>
          <w:p>
            <w:pPr>
              <w:spacing w:after="40"/>
            </w:pPr>
            <w:r>
              <w:rPr>
                <w:sz w:val="16"/>
              </w:rPr>
            </w:r>
            <w:r>
              <w:rPr>
                <w:b w:val="0"/>
                <w:sz w:val="16"/>
              </w:rPr>
              <w:t>IPC/UPC fixture units versus BS EN 12056 discharge units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SR-05</w:t>
            </w:r>
          </w:p>
        </w:tc>
        <w:tc>
          <w:tcPr>
            <w:tcW w:type="dxa" w:w="2268"/>
          </w:tcPr>
          <w:p>
            <w:pPr>
              <w:spacing w:after="40"/>
            </w:pPr>
            <w:r>
              <w:rPr>
                <w:sz w:val="16"/>
              </w:rPr>
            </w:r>
            <w:r>
              <w:rPr>
                <w:b w:val="0"/>
                <w:sz w:val="16"/>
              </w:rPr>
              <w:t>Accessibility dimensions and provision</w:t>
            </w:r>
          </w:p>
        </w:tc>
        <w:tc>
          <w:tcPr>
            <w:tcW w:type="dxa" w:w="3175"/>
          </w:tcPr>
          <w:p>
            <w:pPr>
              <w:spacing w:after="40"/>
            </w:pPr>
            <w:r>
              <w:rPr>
                <w:sz w:val="16"/>
              </w:rPr>
            </w:r>
            <w:r>
              <w:rPr>
                <w:b w:val="0"/>
                <w:sz w:val="16"/>
              </w:rPr>
              <w:t>ADA / ANSI A117.1 versus the Persons with Disabilities Act and UNBS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SR-06</w:t>
            </w:r>
          </w:p>
        </w:tc>
        <w:tc>
          <w:tcPr>
            <w:tcW w:type="dxa" w:w="2268"/>
          </w:tcPr>
          <w:p>
            <w:pPr>
              <w:spacing w:after="40"/>
            </w:pPr>
            <w:r>
              <w:rPr>
                <w:sz w:val="16"/>
              </w:rPr>
            </w:r>
            <w:r>
              <w:rPr>
                <w:b w:val="0"/>
                <w:sz w:val="16"/>
              </w:rPr>
              <w:t>Structural design code and loading</w:t>
            </w:r>
          </w:p>
        </w:tc>
        <w:tc>
          <w:tcPr>
            <w:tcW w:type="dxa" w:w="3175"/>
          </w:tcPr>
          <w:p>
            <w:pPr>
              <w:spacing w:after="40"/>
            </w:pPr>
            <w:r>
              <w:rPr>
                <w:sz w:val="16"/>
              </w:rPr>
            </w:r>
            <w:r>
              <w:rPr>
                <w:b w:val="0"/>
                <w:sz w:val="16"/>
              </w:rPr>
              <w:t>ACI 318 / ASCE 7 versus Eurocode or BS; loading values must be Ugandan</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SR-07</w:t>
            </w:r>
          </w:p>
        </w:tc>
        <w:tc>
          <w:tcPr>
            <w:tcW w:type="dxa" w:w="2268"/>
          </w:tcPr>
          <w:p>
            <w:pPr>
              <w:spacing w:after="40"/>
            </w:pPr>
            <w:r>
              <w:rPr>
                <w:sz w:val="16"/>
              </w:rPr>
            </w:r>
            <w:r>
              <w:rPr>
                <w:b w:val="0"/>
                <w:sz w:val="16"/>
              </w:rPr>
              <w:t>Ventilation rates and indoor air quality</w:t>
            </w:r>
          </w:p>
        </w:tc>
        <w:tc>
          <w:tcPr>
            <w:tcW w:type="dxa" w:w="3175"/>
          </w:tcPr>
          <w:p>
            <w:pPr>
              <w:spacing w:after="40"/>
            </w:pPr>
            <w:r>
              <w:rPr>
                <w:sz w:val="16"/>
              </w:rPr>
            </w:r>
            <w:r>
              <w:rPr>
                <w:b w:val="0"/>
                <w:sz w:val="16"/>
              </w:rPr>
              <w:t>ASHRAE 62.1 versus National Building Code and CIBSE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SR-08</w:t>
            </w:r>
          </w:p>
        </w:tc>
        <w:tc>
          <w:tcPr>
            <w:tcW w:type="dxa" w:w="2268"/>
          </w:tcPr>
          <w:p>
            <w:pPr>
              <w:spacing w:after="40"/>
            </w:pPr>
            <w:r>
              <w:rPr>
                <w:sz w:val="16"/>
              </w:rPr>
            </w:r>
            <w:r>
              <w:rPr>
                <w:b w:val="0"/>
                <w:sz w:val="16"/>
              </w:rPr>
              <w:t>Energy performance and evidence</w:t>
            </w:r>
          </w:p>
        </w:tc>
        <w:tc>
          <w:tcPr>
            <w:tcW w:type="dxa" w:w="3175"/>
          </w:tcPr>
          <w:p>
            <w:pPr>
              <w:spacing w:after="40"/>
            </w:pPr>
            <w:r>
              <w:rPr>
                <w:sz w:val="16"/>
              </w:rPr>
            </w:r>
            <w:r>
              <w:rPr>
                <w:b w:val="0"/>
                <w:sz w:val="16"/>
              </w:rPr>
              <w:t>ASHRAE 90.1 with ComCheck; no local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SR-09</w:t>
            </w:r>
          </w:p>
        </w:tc>
        <w:tc>
          <w:tcPr>
            <w:tcW w:type="dxa" w:w="2268"/>
          </w:tcPr>
          <w:p>
            <w:pPr>
              <w:spacing w:after="40"/>
            </w:pPr>
            <w:r>
              <w:rPr>
                <w:sz w:val="16"/>
              </w:rPr>
            </w:r>
            <w:r>
              <w:rPr>
                <w:b w:val="0"/>
                <w:sz w:val="16"/>
              </w:rPr>
              <w:t>Units and product sizing</w:t>
            </w:r>
          </w:p>
        </w:tc>
        <w:tc>
          <w:tcPr>
            <w:tcW w:type="dxa" w:w="3175"/>
          </w:tcPr>
          <w:p>
            <w:pPr>
              <w:spacing w:after="40"/>
            </w:pPr>
            <w:r>
              <w:rPr>
                <w:sz w:val="16"/>
              </w:rPr>
            </w:r>
            <w:r>
              <w:rPr>
                <w:b w:val="0"/>
                <w:sz w:val="16"/>
              </w:rPr>
              <w:t>Imperial-derived sizes versus metric procurement; hard versus soft metric</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SR-10</w:t>
            </w:r>
          </w:p>
        </w:tc>
        <w:tc>
          <w:tcPr>
            <w:tcW w:type="dxa" w:w="2268"/>
          </w:tcPr>
          <w:p>
            <w:pPr>
              <w:spacing w:after="40"/>
            </w:pPr>
            <w:r>
              <w:rPr>
                <w:sz w:val="16"/>
              </w:rPr>
            </w:r>
            <w:r>
              <w:rPr>
                <w:b w:val="0"/>
                <w:sz w:val="16"/>
              </w:rPr>
              <w:t>Product equivalence and substitution</w:t>
            </w:r>
          </w:p>
        </w:tc>
        <w:tc>
          <w:tcPr>
            <w:tcW w:type="dxa" w:w="3175"/>
          </w:tcPr>
          <w:p>
            <w:pPr>
              <w:spacing w:after="40"/>
            </w:pPr>
            <w:r>
              <w:rPr>
                <w:sz w:val="16"/>
              </w:rPr>
            </w:r>
            <w:r>
              <w:rPr>
                <w:b w:val="0"/>
                <w:sz w:val="16"/>
              </w:rPr>
              <w:t>Specified US products that are not procurable in Uganda; the approval route for an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SR-11</w:t>
            </w:r>
          </w:p>
        </w:tc>
        <w:tc>
          <w:tcPr>
            <w:tcW w:type="dxa" w:w="2268"/>
          </w:tcPr>
          <w:p>
            <w:pPr>
              <w:spacing w:after="40"/>
            </w:pPr>
            <w:r>
              <w:rPr>
                <w:sz w:val="16"/>
              </w:rPr>
            </w:r>
            <w:r>
              <w:rPr>
                <w:b w:val="0"/>
                <w:sz w:val="16"/>
              </w:rPr>
              <w:t>Lightning protection</w:t>
            </w:r>
          </w:p>
        </w:tc>
        <w:tc>
          <w:tcPr>
            <w:tcW w:type="dxa" w:w="3175"/>
          </w:tcPr>
          <w:p>
            <w:pPr>
              <w:spacing w:after="40"/>
            </w:pPr>
            <w:r>
              <w:rPr>
                <w:sz w:val="16"/>
              </w:rPr>
            </w:r>
            <w:r>
              <w:rPr>
                <w:b w:val="0"/>
                <w:sz w:val="16"/>
              </w:rPr>
              <w:t>[CONFIRM — NFPA 780 versus BS EN 62305]</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SR-12</w:t>
            </w:r>
          </w:p>
        </w:tc>
        <w:tc>
          <w:tcPr>
            <w:tcW w:type="dxa" w:w="2268"/>
          </w:tcPr>
          <w:p>
            <w:pPr>
              <w:spacing w:after="40"/>
            </w:pPr>
            <w:r>
              <w:rPr>
                <w:sz w:val="16"/>
              </w:rPr>
            </w:r>
            <w:r>
              <w:rPr>
                <w:b w:val="0"/>
                <w:sz w:val="16"/>
              </w:rPr>
              <w:t>[FILL — add rows as differences are identified]</w:t>
            </w:r>
          </w:p>
        </w:tc>
        <w:tc>
          <w:tcPr>
            <w:tcW w:type="dxa" w:w="3175"/>
          </w:tcPr>
          <w:p>
            <w:pPr>
              <w:spacing w:after="40"/>
            </w:pPr>
            <w:r>
              <w:rPr>
                <w:sz w:val="16"/>
              </w:rPr>
            </w:r>
          </w:p>
        </w:tc>
        <w:tc>
          <w:tcPr>
            <w:tcW w:type="dxa" w:w="1928"/>
          </w:tcPr>
          <w:p>
            <w:pPr>
              <w:spacing w:after="40"/>
            </w:pPr>
            <w:r>
              <w:rPr>
                <w:sz w:val="16"/>
              </w:rPr>
            </w:r>
          </w:p>
        </w:tc>
        <w:tc>
          <w:tcPr>
            <w:tcW w:type="dxa" w:w="1247"/>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WORKING POSITION WHILE A ROW IS OPEN</w:t>
            </w:r>
          </w:p>
          <w:p>
            <w:r>
              <w:rPr>
                <w:b w:val="0"/>
                <w:sz w:val="19"/>
              </w:rPr>
              <w:t xml:space="preserve">Until a row is closed, the affected discipline works to the </w:t>
            </w:r>
            <w:r>
              <w:rPr>
                <w:b/>
                <w:sz w:val="19"/>
              </w:rPr>
              <w:t>statutory</w:t>
            </w:r>
            <w:r>
              <w:rPr>
                <w:b w:val="0"/>
                <w:sz w:val="19"/>
              </w:rPr>
              <w:t xml:space="preserve"> position, because that is the only layer that cannot be waived. Recording the row is what prevents each discipline resolving the same conflict differently and the difference surfacing at tender.</w:t>
            </w:r>
          </w:p>
        </w:tc>
      </w:tr>
    </w:tbl>
    <w:p>
      <w:pPr>
        <w:spacing w:after="40"/>
      </w:pPr>
    </w:p>
    <w:p>
      <w:pPr>
        <w:pStyle w:val="Heading2"/>
      </w:pPr>
      <w:r>
        <w:t>4.2  Container naming convention</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to 06 per Section 1.3; 00 site-wide; ZZ all volumes</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GF, 01 upward, RF,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M3, M2, DR, SH, SC, SP, RP, CA, RD, MS, PP, CR</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S, M, E, P, FP, LV, G.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register</w:t>
      </w:r>
    </w:p>
    <w:p>
      <w:r>
        <w:rPr>
          <w:b w:val="0"/>
          <w:i w:val="0"/>
        </w:rPr>
        <w:t>The originator identifies the ORGANISATION that produced the container, not the discipline. Discipline is carried separately in the role field. Where one organisation produces information for two disciplines, it uses one originator code and two role codes; where two organisations work in the same discipline, they use two originator codes. Coding originators by discipline is not permitted, because it duplicates the role field and fails the first time either case arises.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Organisation</w:t>
            </w:r>
          </w:p>
        </w:tc>
        <w:tc>
          <w:tcPr>
            <w:tcW w:type="dxa" w:w="1701"/>
            <w:shd w:val="clear" w:fill="E8EDF3"/>
          </w:tcPr>
          <w:p>
            <w:r/>
            <w:r>
              <w:rPr>
                <w:b/>
                <w:color w:val="1F3654"/>
                <w:sz w:val="17"/>
              </w:rPr>
              <w:t>Code</w:t>
            </w:r>
          </w:p>
        </w:tc>
        <w:tc>
          <w:tcPr>
            <w:tcW w:type="dxa" w:w="3742"/>
            <w:shd w:val="clear" w:fill="E8EDF3"/>
          </w:tcPr>
          <w:p>
            <w:r/>
            <w:r>
              <w:rPr>
                <w:b/>
                <w:color w:val="1F3654"/>
                <w:sz w:val="17"/>
              </w:rPr>
              <w:t>Status</w:t>
            </w:r>
          </w:p>
        </w:tc>
      </w:tr>
      <w:tr>
        <w:tc>
          <w:tcPr>
            <w:tcW w:type="dxa" w:w="3969"/>
          </w:tcPr>
          <w:p>
            <w:pPr>
              <w:spacing w:after="40"/>
            </w:pPr>
            <w:r>
              <w:rPr>
                <w:sz w:val="17"/>
              </w:rPr>
            </w:r>
            <w:r>
              <w:rPr>
                <w:b w:val="0"/>
                <w:sz w:val="17"/>
              </w:rPr>
              <w:t>Symbion Consulting Group Studios</w:t>
            </w:r>
          </w:p>
        </w:tc>
        <w:tc>
          <w:tcPr>
            <w:tcW w:type="dxa" w:w="1701"/>
          </w:tcPr>
          <w:p>
            <w:pPr>
              <w:spacing w:after="40"/>
            </w:pPr>
            <w:r>
              <w:rPr>
                <w:sz w:val="17"/>
              </w:rPr>
            </w:r>
            <w:r>
              <w:rPr>
                <w:b w:val="0"/>
                <w:sz w:val="17"/>
              </w:rPr>
              <w:t>SMB</w:t>
            </w:r>
          </w:p>
        </w:tc>
        <w:tc>
          <w:tcPr>
            <w:tcW w:type="dxa" w:w="3742"/>
          </w:tcPr>
          <w:p>
            <w:pPr>
              <w:spacing w:after="40"/>
            </w:pPr>
            <w:r>
              <w:rPr>
                <w:sz w:val="17"/>
              </w:rPr>
            </w:r>
            <w:r>
              <w:rPr>
                <w:b w:val="0"/>
                <w:sz w:val="17"/>
              </w:rPr>
              <w:t>Provisional — pending the register</w:t>
            </w:r>
          </w:p>
        </w:tc>
      </w:tr>
      <w:tr>
        <w:tc>
          <w:tcPr>
            <w:tcW w:type="dxa" w:w="3969"/>
          </w:tcPr>
          <w:p>
            <w:pPr>
              <w:spacing w:after="40"/>
            </w:pPr>
            <w:r>
              <w:rPr>
                <w:sz w:val="17"/>
              </w:rPr>
            </w:r>
            <w:r>
              <w:rPr>
                <w:b w:val="0"/>
                <w:sz w:val="17"/>
              </w:rPr>
              <w:t>Architecture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Interiors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Structural engineering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Mechanical, electrical and plumbing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Fire protection</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Low voltage and communications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Civil and site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Quantity surveying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Contractor</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now; allocate before Stage 3.1</w:t>
            </w:r>
          </w:p>
        </w:tc>
      </w:tr>
      <w:tr>
        <w:tc>
          <w:tcPr>
            <w:tcW w:type="dxa" w:w="3969"/>
          </w:tcPr>
          <w:p>
            <w:pPr>
              <w:spacing w:after="40"/>
            </w:pPr>
            <w:r>
              <w:rPr>
                <w:sz w:val="17"/>
              </w:rPr>
            </w:r>
            <w:r>
              <w:rPr>
                <w:b w:val="0"/>
                <w:sz w:val="17"/>
              </w:rPr>
              <w:t>Specialist subcontractors</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a block now</w:t>
            </w:r>
          </w:p>
        </w:tc>
      </w:tr>
      <w:tr>
        <w:tc>
          <w:tcPr>
            <w:tcW w:type="dxa" w:w="3969"/>
          </w:tcPr>
          <w:p>
            <w:pPr>
              <w:spacing w:after="40"/>
            </w:pPr>
            <w:r>
              <w:rPr>
                <w:sz w:val="17"/>
              </w:rPr>
            </w:r>
            <w:r>
              <w:rPr>
                <w:b w:val="0"/>
                <w:sz w:val="17"/>
              </w:rPr>
              <w:t>Not known or not applicable</w:t>
            </w:r>
          </w:p>
        </w:tc>
        <w:tc>
          <w:tcPr>
            <w:tcW w:type="dxa" w:w="1701"/>
          </w:tcPr>
          <w:p>
            <w:pPr>
              <w:spacing w:after="40"/>
            </w:pPr>
            <w:r>
              <w:rPr>
                <w:sz w:val="17"/>
              </w:rPr>
            </w:r>
            <w:r>
              <w:rPr>
                <w:b w:val="0"/>
                <w:sz w:val="17"/>
              </w:rPr>
              <w:t>ZZZ</w:t>
            </w:r>
          </w:p>
        </w:tc>
        <w:tc>
          <w:tcPr>
            <w:tcW w:type="dxa" w:w="3742"/>
          </w:tcPr>
          <w:p>
            <w:pPr>
              <w:spacing w:after="40"/>
            </w:pPr>
            <w:r>
              <w:rPr>
                <w:sz w:val="17"/>
              </w:rPr>
            </w:r>
            <w:r>
              <w:rPr>
                <w:b w:val="0"/>
                <w:sz w:val="17"/>
              </w:rPr>
              <w:t>Fixed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sz w:val="19"/>
              </w:rPr>
              <w:t>Open item.</w:t>
            </w:r>
            <w:r>
              <w:rPr>
                <w:b w:val="0"/>
                <w:sz w:val="19"/>
              </w:rPr>
              <w:t xml:space="preserve"> The register is issued by the Lead Appointed Party and is not yet received. The compliance check enforces exactly three characters; a register of three-letter organisation codes therefore needs no change to the rule. </w:t>
            </w:r>
            <w:r>
              <w:rPr>
                <w:b/>
                <w:sz w:val="19"/>
              </w:rPr>
              <w:t>No container is to be numbered until the register is issued</w:t>
            </w:r>
            <w:r>
              <w:rPr>
                <w:b w:val="0"/>
                <w:sz w:val="19"/>
              </w:rPr>
              <w:t>, because renumbering after Deliverable A affects every issued document. The register must also state who allocates a code to a party joining mid-project, and how.</w:t>
            </w:r>
          </w:p>
        </w:tc>
      </w:tr>
    </w:tbl>
    <w:p>
      <w:pPr>
        <w:spacing w:after="40"/>
      </w:pPr>
    </w:p>
    <w:p>
      <w:pPr>
        <w:pStyle w:val="Heading3"/>
      </w:pPr>
      <w:r>
        <w:t>4.2.2  Role code and asset discipline code</w:t>
      </w:r>
    </w:p>
    <w:p>
      <w:r>
        <w:rPr>
          <w:b w:val="0"/>
          <w:i w:val="0"/>
        </w:rPr>
        <w:t>The role field in a container name and the discipline field in an asset identifier are distinct. Container role codes may include Z for federated and multi-discipline containers. Asset discipline codes are limited to the eight discipline codes and are validated on every element.</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pPr>
        <w:pStyle w:val="Heading2"/>
      </w:pPr>
      <w:r>
        <w:t>4.5  In-model naming</w:t>
      </w:r>
    </w:p>
    <w:p>
      <w:r>
        <w:rPr>
          <w:b w:val="0"/>
          <w:i w:val="0"/>
        </w:rPr>
        <w:t>Container naming governs what leaves a model. These conventions govern what is inside one. They are set in the issued project template; a task team does not define its own.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6"/>
              </w:rPr>
              <w:t>Item</w:t>
            </w:r>
          </w:p>
        </w:tc>
        <w:tc>
          <w:tcPr>
            <w:tcW w:type="dxa" w:w="4876"/>
            <w:shd w:val="clear" w:fill="E8EDF3"/>
          </w:tcPr>
          <w:p>
            <w:r/>
            <w:r>
              <w:rPr>
                <w:b/>
                <w:color w:val="1F3654"/>
                <w:sz w:val="16"/>
              </w:rPr>
              <w:t>Convention</w:t>
            </w:r>
          </w:p>
        </w:tc>
        <w:tc>
          <w:tcPr>
            <w:tcW w:type="dxa" w:w="2721"/>
            <w:shd w:val="clear" w:fill="E8EDF3"/>
          </w:tcPr>
          <w:p>
            <w:r/>
            <w:r>
              <w:rPr>
                <w:b/>
                <w:color w:val="1F3654"/>
                <w:sz w:val="16"/>
              </w:rPr>
              <w:t>Example</w:t>
            </w:r>
          </w:p>
        </w:tc>
      </w:tr>
      <w:tr>
        <w:tc>
          <w:tcPr>
            <w:tcW w:type="dxa" w:w="1814"/>
          </w:tcPr>
          <w:p>
            <w:pPr>
              <w:spacing w:after="40"/>
            </w:pPr>
            <w:r>
              <w:rPr>
                <w:sz w:val="16"/>
              </w:rPr>
            </w:r>
            <w:r>
              <w:rPr>
                <w:b w:val="0"/>
                <w:sz w:val="16"/>
              </w:rPr>
              <w:t>Workset</w:t>
            </w:r>
          </w:p>
        </w:tc>
        <w:tc>
          <w:tcPr>
            <w:tcW w:type="dxa" w:w="4876"/>
          </w:tcPr>
          <w:p>
            <w:pPr>
              <w:spacing w:after="40"/>
            </w:pPr>
            <w:r>
              <w:rPr>
                <w:sz w:val="16"/>
              </w:rPr>
            </w:r>
            <w:r>
              <w:rPr>
                <w:b w:val="0"/>
                <w:sz w:val="16"/>
              </w:rPr>
              <w:t>[Volume]_[Discipline] — where per-volume worksets are the adopted convention</w:t>
            </w:r>
          </w:p>
        </w:tc>
        <w:tc>
          <w:tcPr>
            <w:tcW w:type="dxa" w:w="2721"/>
          </w:tcPr>
          <w:p>
            <w:pPr>
              <w:spacing w:after="40"/>
            </w:pPr>
            <w:r>
              <w:rPr>
                <w:sz w:val="16"/>
              </w:rPr>
            </w:r>
            <w:r>
              <w:rPr>
                <w:b w:val="0"/>
                <w:sz w:val="16"/>
              </w:rPr>
              <w:t>BLD2_Mechanical</w:t>
            </w:r>
          </w:p>
        </w:tc>
      </w:tr>
      <w:tr>
        <w:tc>
          <w:tcPr>
            <w:tcW w:type="dxa" w:w="1814"/>
          </w:tcPr>
          <w:p>
            <w:pPr>
              <w:spacing w:after="40"/>
            </w:pPr>
            <w:r>
              <w:rPr>
                <w:sz w:val="16"/>
              </w:rPr>
            </w:r>
            <w:r>
              <w:rPr>
                <w:b w:val="0"/>
                <w:sz w:val="16"/>
              </w:rPr>
              <w:t>Level</w:t>
            </w:r>
          </w:p>
        </w:tc>
        <w:tc>
          <w:tcPr>
            <w:tcW w:type="dxa" w:w="4876"/>
          </w:tcPr>
          <w:p>
            <w:pPr>
              <w:spacing w:after="40"/>
            </w:pPr>
            <w:r>
              <w:rPr>
                <w:sz w:val="16"/>
              </w:rPr>
            </w:r>
            <w:r>
              <w:rPr>
                <w:b w:val="0"/>
                <w:sz w:val="16"/>
              </w:rPr>
              <w:t>As issued in the template; never renamed locally, because the level code appears in every container name</w:t>
            </w:r>
          </w:p>
        </w:tc>
        <w:tc>
          <w:tcPr>
            <w:tcW w:type="dxa" w:w="2721"/>
          </w:tcPr>
          <w:p>
            <w:pPr>
              <w:spacing w:after="40"/>
            </w:pPr>
            <w:r>
              <w:rPr>
                <w:sz w:val="16"/>
              </w:rPr>
            </w:r>
            <w:r>
              <w:rPr>
                <w:b w:val="0"/>
                <w:sz w:val="16"/>
              </w:rPr>
              <w:t>GF, 01, RF</w:t>
            </w:r>
          </w:p>
        </w:tc>
      </w:tr>
      <w:tr>
        <w:tc>
          <w:tcPr>
            <w:tcW w:type="dxa" w:w="1814"/>
          </w:tcPr>
          <w:p>
            <w:pPr>
              <w:spacing w:after="40"/>
            </w:pPr>
            <w:r>
              <w:rPr>
                <w:sz w:val="16"/>
              </w:rPr>
            </w:r>
            <w:r>
              <w:rPr>
                <w:b w:val="0"/>
                <w:sz w:val="16"/>
              </w:rPr>
              <w:t>Grid</w:t>
            </w:r>
          </w:p>
        </w:tc>
        <w:tc>
          <w:tcPr>
            <w:tcW w:type="dxa" w:w="4876"/>
          </w:tcPr>
          <w:p>
            <w:pPr>
              <w:spacing w:after="40"/>
            </w:pPr>
            <w:r>
              <w:rPr>
                <w:sz w:val="16"/>
              </w:rPr>
            </w:r>
            <w:r>
              <w:rPr>
                <w:b w:val="0"/>
                <w:sz w:val="16"/>
              </w:rPr>
              <w:t>Numeric one way, alphabetic the other, as issued</w:t>
            </w:r>
          </w:p>
        </w:tc>
        <w:tc>
          <w:tcPr>
            <w:tcW w:type="dxa" w:w="2721"/>
          </w:tcPr>
          <w:p>
            <w:pPr>
              <w:spacing w:after="40"/>
            </w:pPr>
            <w:r>
              <w:rPr>
                <w:sz w:val="16"/>
              </w:rPr>
            </w:r>
            <w:r>
              <w:rPr>
                <w:b w:val="0"/>
                <w:sz w:val="16"/>
              </w:rPr>
              <w:t>1–24, A–P</w:t>
            </w:r>
          </w:p>
        </w:tc>
      </w:tr>
      <w:tr>
        <w:tc>
          <w:tcPr>
            <w:tcW w:type="dxa" w:w="1814"/>
          </w:tcPr>
          <w:p>
            <w:pPr>
              <w:spacing w:after="40"/>
            </w:pPr>
            <w:r>
              <w:rPr>
                <w:sz w:val="16"/>
              </w:rPr>
            </w:r>
            <w:r>
              <w:rPr>
                <w:b w:val="0"/>
                <w:sz w:val="16"/>
              </w:rPr>
              <w:t>View — working</w:t>
            </w:r>
          </w:p>
        </w:tc>
        <w:tc>
          <w:tcPr>
            <w:tcW w:type="dxa" w:w="4876"/>
          </w:tcPr>
          <w:p>
            <w:pPr>
              <w:spacing w:after="40"/>
            </w:pPr>
            <w:r>
              <w:rPr>
                <w:sz w:val="16"/>
              </w:rPr>
            </w:r>
            <w:r>
              <w:rPr>
                <w:b w:val="0"/>
                <w:sz w:val="16"/>
              </w:rPr>
              <w:t>WIP_[Discipline]_[Purpose]_[Level] — not placed on sheets, may be deleted at any time by its owner</w:t>
            </w:r>
          </w:p>
        </w:tc>
        <w:tc>
          <w:tcPr>
            <w:tcW w:type="dxa" w:w="2721"/>
          </w:tcPr>
          <w:p>
            <w:pPr>
              <w:spacing w:after="40"/>
            </w:pPr>
            <w:r>
              <w:rPr>
                <w:sz w:val="16"/>
              </w:rPr>
            </w:r>
            <w:r>
              <w:rPr>
                <w:b w:val="0"/>
                <w:sz w:val="16"/>
              </w:rPr>
              <w:t>WIP_M_Coordination_01</w:t>
            </w:r>
          </w:p>
        </w:tc>
      </w:tr>
      <w:tr>
        <w:tc>
          <w:tcPr>
            <w:tcW w:type="dxa" w:w="1814"/>
          </w:tcPr>
          <w:p>
            <w:pPr>
              <w:spacing w:after="40"/>
            </w:pPr>
            <w:r>
              <w:rPr>
                <w:sz w:val="16"/>
              </w:rPr>
            </w:r>
            <w:r>
              <w:rPr>
                <w:b w:val="0"/>
                <w:sz w:val="16"/>
              </w:rPr>
              <w:t>View — issued</w:t>
            </w:r>
          </w:p>
        </w:tc>
        <w:tc>
          <w:tcPr>
            <w:tcW w:type="dxa" w:w="4876"/>
          </w:tcPr>
          <w:p>
            <w:pPr>
              <w:spacing w:after="40"/>
            </w:pPr>
            <w:r>
              <w:rPr>
                <w:sz w:val="16"/>
              </w:rPr>
            </w:r>
            <w:r>
              <w:rPr>
                <w:b w:val="0"/>
                <w:sz w:val="16"/>
              </w:rPr>
              <w:t>[Discipline]_[Type]_[Level]_[Description] — placed on a sheet, never deleted without checking the sheet</w:t>
            </w:r>
          </w:p>
        </w:tc>
        <w:tc>
          <w:tcPr>
            <w:tcW w:type="dxa" w:w="2721"/>
          </w:tcPr>
          <w:p>
            <w:pPr>
              <w:spacing w:after="40"/>
            </w:pPr>
            <w:r>
              <w:rPr>
                <w:sz w:val="16"/>
              </w:rPr>
            </w:r>
            <w:r>
              <w:rPr>
                <w:b w:val="0"/>
                <w:sz w:val="16"/>
              </w:rPr>
              <w:t>A_GA Plan_GF_Temple</w:t>
            </w:r>
          </w:p>
        </w:tc>
      </w:tr>
      <w:tr>
        <w:tc>
          <w:tcPr>
            <w:tcW w:type="dxa" w:w="1814"/>
          </w:tcPr>
          <w:p>
            <w:pPr>
              <w:spacing w:after="40"/>
            </w:pPr>
            <w:r>
              <w:rPr>
                <w:sz w:val="16"/>
              </w:rPr>
            </w:r>
            <w:r>
              <w:rPr>
                <w:b w:val="0"/>
                <w:sz w:val="16"/>
              </w:rPr>
              <w:t>Loadable family</w:t>
            </w:r>
          </w:p>
        </w:tc>
        <w:tc>
          <w:tcPr>
            <w:tcW w:type="dxa" w:w="4876"/>
          </w:tcPr>
          <w:p>
            <w:pPr>
              <w:spacing w:after="40"/>
            </w:pPr>
            <w:r>
              <w:rPr>
                <w:sz w:val="16"/>
              </w:rPr>
            </w:r>
            <w:r>
              <w:rPr>
                <w:b w:val="0"/>
                <w:sz w:val="16"/>
              </w:rPr>
              <w:t>[Discipline]_[Category]_[Description]</w:t>
            </w:r>
          </w:p>
        </w:tc>
        <w:tc>
          <w:tcPr>
            <w:tcW w:type="dxa" w:w="2721"/>
          </w:tcPr>
          <w:p>
            <w:pPr>
              <w:spacing w:after="40"/>
            </w:pPr>
            <w:r>
              <w:rPr>
                <w:sz w:val="16"/>
              </w:rPr>
            </w:r>
            <w:r>
              <w:rPr>
                <w:b w:val="0"/>
                <w:sz w:val="16"/>
              </w:rPr>
              <w:t>M_AHU_Packaged</w:t>
            </w:r>
          </w:p>
        </w:tc>
      </w:tr>
      <w:tr>
        <w:tc>
          <w:tcPr>
            <w:tcW w:type="dxa" w:w="1814"/>
          </w:tcPr>
          <w:p>
            <w:pPr>
              <w:spacing w:after="40"/>
            </w:pPr>
            <w:r>
              <w:rPr>
                <w:sz w:val="16"/>
              </w:rPr>
            </w:r>
            <w:r>
              <w:rPr>
                <w:b w:val="0"/>
                <w:sz w:val="16"/>
              </w:rPr>
              <w:t>Family type</w:t>
            </w:r>
          </w:p>
        </w:tc>
        <w:tc>
          <w:tcPr>
            <w:tcW w:type="dxa" w:w="4876"/>
          </w:tcPr>
          <w:p>
            <w:pPr>
              <w:spacing w:after="40"/>
            </w:pPr>
            <w:r>
              <w:rPr>
                <w:sz w:val="16"/>
              </w:rPr>
            </w:r>
            <w:r>
              <w:rPr>
                <w:b w:val="0"/>
                <w:sz w:val="16"/>
              </w:rPr>
              <w:t>Manufacturer-neutral until LOD 350; manufacturer and model reference from LOD 400</w:t>
            </w:r>
          </w:p>
        </w:tc>
        <w:tc>
          <w:tcPr>
            <w:tcW w:type="dxa" w:w="2721"/>
          </w:tcPr>
          <w:p>
            <w:pPr>
              <w:spacing w:after="40"/>
            </w:pPr>
            <w:r>
              <w:rPr>
                <w:sz w:val="16"/>
              </w:rPr>
            </w:r>
            <w:r>
              <w:rPr>
                <w:b w:val="0"/>
                <w:sz w:val="16"/>
              </w:rPr>
              <w:t>1200x600, then Daikin FXSQ</w:t>
            </w:r>
          </w:p>
        </w:tc>
      </w:tr>
      <w:tr>
        <w:tc>
          <w:tcPr>
            <w:tcW w:type="dxa" w:w="1814"/>
          </w:tcPr>
          <w:p>
            <w:pPr>
              <w:spacing w:after="40"/>
            </w:pPr>
            <w:r>
              <w:rPr>
                <w:sz w:val="16"/>
              </w:rPr>
            </w:r>
            <w:r>
              <w:rPr>
                <w:b w:val="0"/>
                <w:sz w:val="16"/>
              </w:rPr>
              <w:t>Material</w:t>
            </w:r>
          </w:p>
        </w:tc>
        <w:tc>
          <w:tcPr>
            <w:tcW w:type="dxa" w:w="4876"/>
          </w:tcPr>
          <w:p>
            <w:pPr>
              <w:spacing w:after="40"/>
            </w:pPr>
            <w:r>
              <w:rPr>
                <w:sz w:val="16"/>
              </w:rPr>
            </w:r>
            <w:r>
              <w:rPr>
                <w:b w:val="0"/>
                <w:sz w:val="16"/>
              </w:rPr>
              <w:t>[Class]_[Description]_[Finish]</w:t>
            </w:r>
          </w:p>
        </w:tc>
        <w:tc>
          <w:tcPr>
            <w:tcW w:type="dxa" w:w="2721"/>
          </w:tcPr>
          <w:p>
            <w:pPr>
              <w:spacing w:after="40"/>
            </w:pPr>
            <w:r>
              <w:rPr>
                <w:sz w:val="16"/>
              </w:rPr>
            </w:r>
            <w:r>
              <w:rPr>
                <w:b w:val="0"/>
                <w:sz w:val="16"/>
              </w:rPr>
              <w:t>Concrete_C30_Fair Face</w:t>
            </w:r>
          </w:p>
        </w:tc>
      </w:tr>
      <w:tr>
        <w:tc>
          <w:tcPr>
            <w:tcW w:type="dxa" w:w="1814"/>
          </w:tcPr>
          <w:p>
            <w:pPr>
              <w:spacing w:after="40"/>
            </w:pPr>
            <w:r>
              <w:rPr>
                <w:sz w:val="16"/>
              </w:rPr>
            </w:r>
            <w:r>
              <w:rPr>
                <w:b w:val="0"/>
                <w:sz w:val="16"/>
              </w:rPr>
              <w:t>Sheet</w:t>
            </w:r>
          </w:p>
        </w:tc>
        <w:tc>
          <w:tcPr>
            <w:tcW w:type="dxa" w:w="4876"/>
          </w:tcPr>
          <w:p>
            <w:pPr>
              <w:spacing w:after="40"/>
            </w:pPr>
            <w:r>
              <w:rPr>
                <w:sz w:val="16"/>
              </w:rPr>
            </w:r>
            <w:r>
              <w:rPr>
                <w:b w:val="0"/>
                <w:sz w:val="16"/>
              </w:rPr>
              <w:t>Container name (Section 4.2); the sheet number IS the container number</w:t>
            </w:r>
          </w:p>
        </w:tc>
        <w:tc>
          <w:tcPr>
            <w:tcW w:type="dxa" w:w="2721"/>
          </w:tcPr>
          <w:p>
            <w:pPr>
              <w:spacing w:after="40"/>
            </w:pPr>
            <w:r>
              <w:rPr>
                <w:sz w:val="16"/>
              </w:rPr>
            </w:r>
            <w:r>
              <w:rPr>
                <w:b w:val="0"/>
                <w:sz w:val="16"/>
              </w:rPr>
              <w:t>KUT-…-SH-A-0100</w:t>
            </w:r>
          </w:p>
        </w:tc>
      </w:tr>
      <w:tr>
        <w:tc>
          <w:tcPr>
            <w:tcW w:type="dxa" w:w="1814"/>
          </w:tcPr>
          <w:p>
            <w:pPr>
              <w:spacing w:after="40"/>
            </w:pPr>
            <w:r>
              <w:rPr>
                <w:sz w:val="16"/>
              </w:rPr>
            </w:r>
            <w:r>
              <w:rPr>
                <w:b w:val="0"/>
                <w:sz w:val="16"/>
              </w:rPr>
              <w:t>View template</w:t>
            </w:r>
          </w:p>
        </w:tc>
        <w:tc>
          <w:tcPr>
            <w:tcW w:type="dxa" w:w="4876"/>
          </w:tcPr>
          <w:p>
            <w:pPr>
              <w:spacing w:after="40"/>
            </w:pPr>
            <w:r>
              <w:rPr>
                <w:sz w:val="16"/>
              </w:rPr>
            </w:r>
            <w:r>
              <w:rPr>
                <w:b w:val="0"/>
                <w:sz w:val="16"/>
              </w:rPr>
              <w:t>VT_[Discipline]_[Purpose]</w:t>
            </w:r>
          </w:p>
        </w:tc>
        <w:tc>
          <w:tcPr>
            <w:tcW w:type="dxa" w:w="2721"/>
          </w:tcPr>
          <w:p>
            <w:pPr>
              <w:spacing w:after="40"/>
            </w:pPr>
            <w:r>
              <w:rPr>
                <w:sz w:val="16"/>
              </w:rPr>
            </w:r>
            <w:r>
              <w:rPr>
                <w:b w:val="0"/>
                <w:sz w:val="16"/>
              </w:rPr>
              <w:t>VT_A_GA Plan</w:t>
            </w:r>
          </w:p>
        </w:tc>
      </w:tr>
      <w:tr>
        <w:tc>
          <w:tcPr>
            <w:tcW w:type="dxa" w:w="1814"/>
          </w:tcPr>
          <w:p>
            <w:pPr>
              <w:spacing w:after="40"/>
            </w:pPr>
            <w:r>
              <w:rPr>
                <w:sz w:val="16"/>
              </w:rPr>
            </w:r>
            <w:r>
              <w:rPr>
                <w:b w:val="0"/>
                <w:sz w:val="16"/>
              </w:rPr>
              <w:t>Filter</w:t>
            </w:r>
          </w:p>
        </w:tc>
        <w:tc>
          <w:tcPr>
            <w:tcW w:type="dxa" w:w="4876"/>
          </w:tcPr>
          <w:p>
            <w:pPr>
              <w:spacing w:after="40"/>
            </w:pPr>
            <w:r>
              <w:rPr>
                <w:sz w:val="16"/>
              </w:rPr>
            </w:r>
            <w:r>
              <w:rPr>
                <w:b w:val="0"/>
                <w:sz w:val="16"/>
              </w:rPr>
              <w:t>F_[Discipline]_[Purpose]</w:t>
            </w:r>
          </w:p>
        </w:tc>
        <w:tc>
          <w:tcPr>
            <w:tcW w:type="dxa" w:w="2721"/>
          </w:tcPr>
          <w:p>
            <w:pPr>
              <w:spacing w:after="40"/>
            </w:pPr>
            <w:r>
              <w:rPr>
                <w:sz w:val="16"/>
              </w:rPr>
            </w:r>
            <w:r>
              <w:rPr>
                <w:b w:val="0"/>
                <w:sz w:val="16"/>
              </w:rPr>
              <w:t>F_M_Supply Air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 WITH THE LEAD APPOINTED PARTY</w:t>
            </w:r>
          </w:p>
          <w:p>
            <w:r>
              <w:rPr>
                <w:b w:val="0"/>
                <w:sz w:val="19"/>
              </w:rPr>
              <w:t>These are proposals in this revision. Confirm against Symbion house standards before issue — where the Lead Appointed Party already has a convention its teams know, that convention should prevail. What matters is that one convention exists and is issued in the template, not which one.</w:t>
            </w:r>
          </w:p>
        </w:tc>
      </w:tr>
    </w:tbl>
    <w:p>
      <w:pPr>
        <w:spacing w:after="40"/>
      </w:pPr>
    </w:p>
    <w:p>
      <w:pPr>
        <w:pStyle w:val="Heading2"/>
      </w:pPr>
      <w:r>
        <w:t>4.6  Shared parameters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Ownership</w:t>
            </w:r>
          </w:p>
        </w:tc>
        <w:tc>
          <w:tcPr>
            <w:tcW w:type="dxa" w:w="7483"/>
          </w:tcPr>
          <w:p>
            <w:pPr>
              <w:spacing w:after="40"/>
            </w:pPr>
            <w:r>
              <w:rPr>
                <w:sz w:val="17"/>
              </w:rPr>
            </w:r>
            <w:r>
              <w:rPr>
                <w:b w:val="0"/>
                <w:sz w:val="17"/>
              </w:rPr>
              <w:t>The Information Manager owns the shared parameter file. No appointed party adds, renames or re-GUIDs a shared parameter</w:t>
            </w:r>
          </w:p>
        </w:tc>
      </w:tr>
      <w:tr>
        <w:tc>
          <w:tcPr>
            <w:tcW w:type="dxa" w:w="1928"/>
          </w:tcPr>
          <w:p>
            <w:pPr>
              <w:spacing w:after="40"/>
            </w:pPr>
            <w:r>
              <w:rPr>
                <w:sz w:val="17"/>
              </w:rPr>
            </w:r>
            <w:r>
              <w:rPr>
                <w:b w:val="0"/>
                <w:sz w:val="17"/>
              </w:rPr>
              <w:t>Distribution</w:t>
            </w:r>
          </w:p>
        </w:tc>
        <w:tc>
          <w:tcPr>
            <w:tcW w:type="dxa" w:w="7483"/>
          </w:tcPr>
          <w:p>
            <w:pPr>
              <w:spacing w:after="40"/>
            </w:pPr>
            <w:r>
              <w:rPr>
                <w:sz w:val="17"/>
              </w:rPr>
            </w:r>
            <w:r>
              <w:rPr>
                <w:b w:val="0"/>
                <w:sz w:val="17"/>
              </w:rPr>
              <w:t>Issued with the project template and re-issued whenever it changes</w:t>
            </w:r>
          </w:p>
        </w:tc>
      </w:tr>
      <w:tr>
        <w:tc>
          <w:tcPr>
            <w:tcW w:type="dxa" w:w="1928"/>
          </w:tcPr>
          <w:p>
            <w:pPr>
              <w:spacing w:after="40"/>
            </w:pPr>
            <w:r>
              <w:rPr>
                <w:sz w:val="17"/>
              </w:rPr>
            </w:r>
            <w:r>
              <w:rPr>
                <w:b w:val="0"/>
                <w:sz w:val="17"/>
              </w:rPr>
              <w:t>Requests</w:t>
            </w:r>
          </w:p>
        </w:tc>
        <w:tc>
          <w:tcPr>
            <w:tcW w:type="dxa" w:w="7483"/>
          </w:tcPr>
          <w:p>
            <w:pPr>
              <w:spacing w:after="40"/>
            </w:pPr>
            <w:r>
              <w:rPr>
                <w:sz w:val="17"/>
              </w:rPr>
            </w:r>
            <w:r>
              <w:rPr>
                <w:b w:val="0"/>
                <w:sz w:val="17"/>
              </w:rPr>
              <w:t>A discipline needing a new parameter requests it; it is added centrally and reissued, so every model binds the same GUID</w:t>
            </w:r>
          </w:p>
        </w:tc>
      </w:tr>
      <w:tr>
        <w:tc>
          <w:tcPr>
            <w:tcW w:type="dxa" w:w="1928"/>
          </w:tcPr>
          <w:p>
            <w:pPr>
              <w:spacing w:after="40"/>
            </w:pPr>
            <w:r>
              <w:rPr>
                <w:sz w:val="17"/>
              </w:rPr>
            </w:r>
            <w:r>
              <w:rPr>
                <w:b w:val="0"/>
                <w:sz w:val="17"/>
              </w:rPr>
              <w:t>Why it matters</w:t>
            </w:r>
          </w:p>
        </w:tc>
        <w:tc>
          <w:tcPr>
            <w:tcW w:type="dxa" w:w="7483"/>
          </w:tcPr>
          <w:p>
            <w:pPr>
              <w:spacing w:after="40"/>
            </w:pPr>
            <w:r>
              <w:rPr>
                <w:sz w:val="17"/>
              </w:rPr>
            </w:r>
            <w:r>
              <w:rPr>
                <w:b w:val="0"/>
                <w:sz w:val="17"/>
              </w:rPr>
              <w:t>A parameter added locally has a different GUID. It looks identical in the user interface, schedules separately, and is invisible to every automated check</w:t>
            </w:r>
          </w:p>
        </w:tc>
      </w:tr>
    </w:tbl>
    <w:p>
      <w:pPr>
        <w:spacing w:after="40"/>
      </w:pP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pPr>
        <w:pStyle w:val="Heading2"/>
      </w:pPr>
      <w:r>
        <w:t>5.1  Folder structure</w:t>
      </w:r>
    </w:p>
    <w:p>
      <w:r>
        <w:rPr>
          <w:b w:val="0"/>
          <w:i w:val="0"/>
        </w:rPr>
        <w:t>The state is the top level; volume and discipline divide it. A container lives in exactly one place, and its location matches its name.</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Level</w:t>
            </w:r>
          </w:p>
        </w:tc>
        <w:tc>
          <w:tcPr>
            <w:tcW w:type="dxa" w:w="7030"/>
            <w:shd w:val="clear" w:fill="E8EDF3"/>
          </w:tcPr>
          <w:p>
            <w:r/>
            <w:r>
              <w:rPr>
                <w:b/>
                <w:color w:val="1F3654"/>
                <w:sz w:val="17"/>
              </w:rPr>
              <w:t>Folders</w:t>
            </w:r>
          </w:p>
        </w:tc>
      </w:tr>
      <w:tr>
        <w:tc>
          <w:tcPr>
            <w:tcW w:type="dxa" w:w="2381"/>
          </w:tcPr>
          <w:p>
            <w:pPr>
              <w:spacing w:after="40"/>
            </w:pPr>
            <w:r>
              <w:rPr>
                <w:sz w:val="17"/>
              </w:rPr>
            </w:r>
            <w:r>
              <w:rPr>
                <w:b w:val="0"/>
                <w:sz w:val="17"/>
              </w:rPr>
              <w:t>State</w:t>
            </w:r>
          </w:p>
        </w:tc>
        <w:tc>
          <w:tcPr>
            <w:tcW w:type="dxa" w:w="7030"/>
          </w:tcPr>
          <w:p>
            <w:pPr>
              <w:spacing w:after="40"/>
            </w:pPr>
            <w:r>
              <w:rPr>
                <w:sz w:val="17"/>
              </w:rPr>
            </w:r>
            <w:r>
              <w:rPr>
                <w:b w:val="0"/>
                <w:sz w:val="17"/>
              </w:rPr>
              <w:t>00_WIP · 01_SHARED · 02_PUBLISHED · 03_ARCHIVED</w:t>
            </w:r>
          </w:p>
        </w:tc>
      </w:tr>
      <w:tr>
        <w:tc>
          <w:tcPr>
            <w:tcW w:type="dxa" w:w="2381"/>
          </w:tcPr>
          <w:p>
            <w:pPr>
              <w:spacing w:after="40"/>
            </w:pPr>
            <w:r>
              <w:rPr>
                <w:sz w:val="17"/>
              </w:rPr>
            </w:r>
            <w:r>
              <w:rPr>
                <w:b w:val="0"/>
                <w:sz w:val="17"/>
              </w:rPr>
              <w:t>Within WIP</w:t>
            </w:r>
          </w:p>
        </w:tc>
        <w:tc>
          <w:tcPr>
            <w:tcW w:type="dxa" w:w="7030"/>
          </w:tcPr>
          <w:p>
            <w:pPr>
              <w:spacing w:after="40"/>
            </w:pPr>
            <w:r>
              <w:rPr>
                <w:sz w:val="17"/>
              </w:rPr>
            </w:r>
            <w:r>
              <w:rPr>
                <w:b w:val="0"/>
                <w:sz w:val="17"/>
              </w:rPr>
              <w:t>One folder per appointed party. A party sees only its own WIP folder</w:t>
            </w:r>
          </w:p>
        </w:tc>
      </w:tr>
      <w:tr>
        <w:tc>
          <w:tcPr>
            <w:tcW w:type="dxa" w:w="2381"/>
          </w:tcPr>
          <w:p>
            <w:pPr>
              <w:spacing w:after="40"/>
            </w:pPr>
            <w:r>
              <w:rPr>
                <w:sz w:val="17"/>
              </w:rPr>
            </w:r>
            <w:r>
              <w:rPr>
                <w:b w:val="0"/>
                <w:sz w:val="17"/>
              </w:rPr>
              <w:t>Within SHARED and PUBLISHED</w:t>
            </w:r>
          </w:p>
        </w:tc>
        <w:tc>
          <w:tcPr>
            <w:tcW w:type="dxa" w:w="7030"/>
          </w:tcPr>
          <w:p>
            <w:pPr>
              <w:spacing w:after="40"/>
            </w:pPr>
            <w:r>
              <w:rPr>
                <w:sz w:val="17"/>
              </w:rPr>
            </w:r>
            <w:r>
              <w:rPr>
                <w:b w:val="0"/>
                <w:sz w:val="17"/>
              </w:rPr>
              <w:t>By volume (BLD1 … BLD6, EXT), then by information type (Models · Drawings · Schedules · Documents · Reports)</w:t>
            </w:r>
          </w:p>
        </w:tc>
      </w:tr>
      <w:tr>
        <w:tc>
          <w:tcPr>
            <w:tcW w:type="dxa" w:w="2381"/>
          </w:tcPr>
          <w:p>
            <w:pPr>
              <w:spacing w:after="40"/>
            </w:pPr>
            <w:r>
              <w:rPr>
                <w:sz w:val="17"/>
              </w:rPr>
            </w:r>
            <w:r>
              <w:rPr>
                <w:b w:val="0"/>
                <w:sz w:val="17"/>
              </w:rPr>
              <w:t>Within ARCHIVED</w:t>
            </w:r>
          </w:p>
        </w:tc>
        <w:tc>
          <w:tcPr>
            <w:tcW w:type="dxa" w:w="7030"/>
          </w:tcPr>
          <w:p>
            <w:pPr>
              <w:spacing w:after="40"/>
            </w:pPr>
            <w:r>
              <w:rPr>
                <w:sz w:val="17"/>
              </w:rPr>
            </w:r>
            <w:r>
              <w:rPr>
                <w:b w:val="0"/>
                <w:sz w:val="17"/>
              </w:rPr>
              <w:t>Mirrors PUBLISHED, by issue date</w:t>
            </w:r>
          </w:p>
        </w:tc>
      </w:tr>
      <w:tr>
        <w:tc>
          <w:tcPr>
            <w:tcW w:type="dxa" w:w="2381"/>
          </w:tcPr>
          <w:p>
            <w:pPr>
              <w:spacing w:after="40"/>
            </w:pPr>
            <w:r>
              <w:rPr>
                <w:sz w:val="17"/>
              </w:rPr>
            </w:r>
            <w:r>
              <w:rPr>
                <w:b w:val="0"/>
                <w:sz w:val="17"/>
              </w:rPr>
              <w:t>Outside the states</w:t>
            </w:r>
          </w:p>
        </w:tc>
        <w:tc>
          <w:tcPr>
            <w:tcW w:type="dxa" w:w="7030"/>
          </w:tcPr>
          <w:p>
            <w:pPr>
              <w:spacing w:after="40"/>
            </w:pPr>
            <w:r>
              <w:rPr>
                <w:sz w:val="17"/>
              </w:rPr>
            </w:r>
            <w:r>
              <w:rPr>
                <w:b w:val="0"/>
                <w:sz w:val="17"/>
              </w:rPr>
              <w:t>Incoming (survey, Appointing Party issues) and Templates (project template, family library, title blocks, seed model)</w:t>
            </w:r>
          </w:p>
        </w:tc>
      </w:tr>
    </w:tbl>
    <w:p>
      <w:pPr>
        <w:spacing w:after="40"/>
      </w:pPr>
    </w:p>
    <w:p>
      <w:pPr>
        <w:pStyle w:val="Heading2"/>
      </w:pPr>
      <w:r>
        <w:t>5.2  Permission matrix</w:t>
      </w:r>
    </w:p>
    <w:p>
      <w:r>
        <w:rPr>
          <w:b w:val="0"/>
          <w:i w:val="0"/>
        </w:rPr>
        <w:t>Least privilege. A party that cannot publish cannot publish by accident.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2268"/>
            <w:shd w:val="clear" w:fill="E8EDF3"/>
          </w:tcPr>
          <w:p>
            <w:r/>
            <w:r>
              <w:rPr>
                <w:b/>
                <w:color w:val="1F3654"/>
                <w:sz w:val="16"/>
              </w:rPr>
              <w:t>Role</w:t>
            </w:r>
          </w:p>
        </w:tc>
        <w:tc>
          <w:tcPr>
            <w:tcW w:type="dxa" w:w="1587"/>
            <w:shd w:val="clear" w:fill="E8EDF3"/>
          </w:tcPr>
          <w:p>
            <w:r/>
            <w:r>
              <w:rPr>
                <w:b/>
                <w:color w:val="1F3654"/>
                <w:sz w:val="16"/>
              </w:rPr>
              <w:t>Own WIP</w:t>
            </w:r>
          </w:p>
        </w:tc>
        <w:tc>
          <w:tcPr>
            <w:tcW w:type="dxa" w:w="1361"/>
            <w:shd w:val="clear" w:fill="E8EDF3"/>
          </w:tcPr>
          <w:p>
            <w:r/>
            <w:r>
              <w:rPr>
                <w:b/>
                <w:color w:val="1F3654"/>
                <w:sz w:val="16"/>
              </w:rPr>
              <w:t>Other WIP</w:t>
            </w:r>
          </w:p>
        </w:tc>
        <w:tc>
          <w:tcPr>
            <w:tcW w:type="dxa" w:w="1361"/>
            <w:shd w:val="clear" w:fill="E8EDF3"/>
          </w:tcPr>
          <w:p>
            <w:r/>
            <w:r>
              <w:rPr>
                <w:b/>
                <w:color w:val="1F3654"/>
                <w:sz w:val="16"/>
              </w:rPr>
              <w:t>Shared</w:t>
            </w:r>
          </w:p>
        </w:tc>
        <w:tc>
          <w:tcPr>
            <w:tcW w:type="dxa" w:w="1474"/>
            <w:shd w:val="clear" w:fill="E8EDF3"/>
          </w:tcPr>
          <w:p>
            <w:r/>
            <w:r>
              <w:rPr>
                <w:b/>
                <w:color w:val="1F3654"/>
                <w:sz w:val="16"/>
              </w:rPr>
              <w:t>Published</w:t>
            </w:r>
          </w:p>
        </w:tc>
        <w:tc>
          <w:tcPr>
            <w:tcW w:type="dxa" w:w="1361"/>
            <w:shd w:val="clear" w:fill="E8EDF3"/>
          </w:tcPr>
          <w:p>
            <w:r/>
            <w:r>
              <w:rPr>
                <w:b/>
                <w:color w:val="1F3654"/>
                <w:sz w:val="16"/>
              </w:rPr>
              <w:t>Archived</w:t>
            </w:r>
          </w:p>
        </w:tc>
      </w:tr>
      <w:tr>
        <w:tc>
          <w:tcPr>
            <w:tcW w:type="dxa" w:w="2268"/>
          </w:tcPr>
          <w:p>
            <w:pPr>
              <w:spacing w:after="40"/>
            </w:pPr>
            <w:r>
              <w:rPr>
                <w:sz w:val="16"/>
              </w:rPr>
            </w:r>
            <w:r>
              <w:rPr>
                <w:b w:val="0"/>
                <w:sz w:val="16"/>
              </w:rPr>
              <w:t>Task team member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Task Team Manager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Information Manager</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write</w:t>
            </w:r>
          </w:p>
        </w:tc>
        <w:tc>
          <w:tcPr>
            <w:tcW w:type="dxa" w:w="1361"/>
          </w:tcPr>
          <w:p>
            <w:pPr>
              <w:spacing w:after="40"/>
            </w:pPr>
            <w:r>
              <w:rPr>
                <w:sz w:val="16"/>
              </w:rPr>
            </w:r>
            <w:r>
              <w:rPr>
                <w:b w:val="0"/>
                <w:sz w:val="16"/>
              </w:rPr>
              <w:t>Read / write</w:t>
            </w:r>
          </w:p>
        </w:tc>
      </w:tr>
      <w:tr>
        <w:tc>
          <w:tcPr>
            <w:tcW w:type="dxa" w:w="2268"/>
          </w:tcPr>
          <w:p>
            <w:pPr>
              <w:spacing w:after="40"/>
            </w:pPr>
            <w:r>
              <w:rPr>
                <w:sz w:val="16"/>
              </w:rPr>
            </w:r>
            <w:r>
              <w:rPr>
                <w:b w:val="0"/>
                <w:sz w:val="16"/>
              </w:rPr>
              <w:t>Lead Appointed Party</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approve</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Appointing Party</w:t>
            </w:r>
          </w:p>
        </w:tc>
        <w:tc>
          <w:tcPr>
            <w:tcW w:type="dxa" w:w="1587"/>
          </w:tcPr>
          <w:p>
            <w:pPr>
              <w:spacing w:after="40"/>
            </w:pPr>
            <w:r>
              <w:rPr>
                <w:sz w:val="16"/>
              </w:rPr>
            </w:r>
            <w:r>
              <w:rPr>
                <w:b w:val="0"/>
                <w:sz w:val="16"/>
              </w:rPr>
              <w:t>None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 / accept</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Contractor (from 3.1)</w:t>
            </w:r>
          </w:p>
        </w:tc>
        <w:tc>
          <w:tcPr>
            <w:tcW w:type="dxa" w:w="1587"/>
          </w:tcPr>
          <w:p>
            <w:pPr>
              <w:spacing w:after="40"/>
            </w:pPr>
            <w:r>
              <w:rPr>
                <w:sz w:val="16"/>
              </w:rPr>
            </w:r>
            <w:r>
              <w:rPr>
                <w:b w:val="0"/>
                <w:sz w:val="16"/>
              </w:rPr>
              <w:t>Read / write (own)</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[FILL — other parties]</w:t>
            </w:r>
          </w:p>
        </w:tc>
        <w:tc>
          <w:tcPr>
            <w:tcW w:type="dxa" w:w="1587"/>
          </w:tcPr>
          <w:p>
            <w:pPr>
              <w:spacing w:after="40"/>
            </w:pPr>
            <w:r>
              <w:rPr>
                <w:sz w:val="16"/>
              </w:rPr>
            </w:r>
          </w:p>
        </w:tc>
        <w:tc>
          <w:tcPr>
            <w:tcW w:type="dxa" w:w="1361"/>
          </w:tcPr>
          <w:p>
            <w:pPr>
              <w:spacing w:after="40"/>
            </w:pPr>
            <w:r>
              <w:rPr>
                <w:sz w:val="16"/>
              </w:rPr>
            </w:r>
          </w:p>
        </w:tc>
        <w:tc>
          <w:tcPr>
            <w:tcW w:type="dxa" w:w="1361"/>
          </w:tcPr>
          <w:p>
            <w:pPr>
              <w:spacing w:after="40"/>
            </w:pPr>
            <w:r>
              <w:rPr>
                <w:sz w:val="16"/>
              </w:rPr>
            </w:r>
          </w:p>
        </w:tc>
        <w:tc>
          <w:tcPr>
            <w:tcW w:type="dxa" w:w="1474"/>
          </w:tcPr>
          <w:p>
            <w:pPr>
              <w:spacing w:after="40"/>
            </w:pPr>
            <w:r>
              <w:rPr>
                <w:sz w:val="16"/>
              </w:rPr>
            </w:r>
          </w:p>
        </w:tc>
        <w:tc>
          <w:tcPr>
            <w:tcW w:type="dxa" w:w="1361"/>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DELETION</w:t>
            </w:r>
          </w:p>
          <w:p>
            <w:r>
              <w:rPr>
                <w:b w:val="0"/>
                <w:sz w:val="19"/>
              </w:rPr>
              <w:t>Nobody deletes. Superseded information moves to ARCHIVED and remains retrievable. The ability to delete is withheld from every project role and retained by the platform administrator.</w:t>
            </w:r>
          </w:p>
        </w:tc>
      </w:tr>
    </w:tbl>
    <w:p>
      <w:pPr>
        <w:spacing w:after="40"/>
      </w:pPr>
    </w:p>
    <w:p>
      <w:pPr>
        <w:pStyle w:val="Heading2"/>
      </w:pPr>
      <w:r>
        <w:t>5.3  Retention and archive</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Arrangement</w:t>
            </w:r>
          </w:p>
        </w:tc>
      </w:tr>
      <w:tr>
        <w:tc>
          <w:tcPr>
            <w:tcW w:type="dxa" w:w="2494"/>
          </w:tcPr>
          <w:p>
            <w:pPr>
              <w:spacing w:after="40"/>
            </w:pPr>
            <w:r>
              <w:rPr>
                <w:sz w:val="17"/>
              </w:rPr>
            </w:r>
            <w:r>
              <w:rPr>
                <w:b w:val="0"/>
                <w:sz w:val="17"/>
              </w:rPr>
              <w:t>Retention period</w:t>
            </w:r>
          </w:p>
        </w:tc>
        <w:tc>
          <w:tcPr>
            <w:tcW w:type="dxa" w:w="6917"/>
          </w:tcPr>
          <w:p>
            <w:pPr>
              <w:spacing w:after="40"/>
            </w:pPr>
            <w:r>
              <w:rPr>
                <w:sz w:val="17"/>
              </w:rPr>
            </w:r>
            <w:r>
              <w:rPr>
                <w:b w:val="0"/>
                <w:sz w:val="17"/>
              </w:rPr>
              <w:t>[FILL — from the appointment; state the period after practical completion]</w:t>
            </w:r>
          </w:p>
        </w:tc>
      </w:tr>
      <w:tr>
        <w:tc>
          <w:tcPr>
            <w:tcW w:type="dxa" w:w="2494"/>
          </w:tcPr>
          <w:p>
            <w:pPr>
              <w:spacing w:after="40"/>
            </w:pPr>
            <w:r>
              <w:rPr>
                <w:sz w:val="17"/>
              </w:rPr>
            </w:r>
            <w:r>
              <w:rPr>
                <w:b w:val="0"/>
                <w:sz w:val="17"/>
              </w:rPr>
              <w:t>Archive format</w:t>
            </w:r>
          </w:p>
        </w:tc>
        <w:tc>
          <w:tcPr>
            <w:tcW w:type="dxa" w:w="6917"/>
          </w:tcPr>
          <w:p>
            <w:pPr>
              <w:spacing w:after="40"/>
            </w:pPr>
            <w:r>
              <w:rPr>
                <w:sz w:val="17"/>
              </w:rPr>
            </w:r>
            <w:r>
              <w:rPr>
                <w:b w:val="0"/>
                <w:sz w:val="17"/>
              </w:rPr>
              <w:t>Native and PDF for documents and drawings; native and IFC for models; XLSX for schedules and handover data</w:t>
            </w:r>
          </w:p>
        </w:tc>
      </w:tr>
      <w:tr>
        <w:tc>
          <w:tcPr>
            <w:tcW w:type="dxa" w:w="2494"/>
          </w:tcPr>
          <w:p>
            <w:pPr>
              <w:spacing w:after="40"/>
            </w:pPr>
            <w:r>
              <w:rPr>
                <w:sz w:val="17"/>
              </w:rPr>
            </w:r>
            <w:r>
              <w:rPr>
                <w:b w:val="0"/>
                <w:sz w:val="17"/>
              </w:rPr>
              <w:t>Archive trigger</w:t>
            </w:r>
          </w:p>
        </w:tc>
        <w:tc>
          <w:tcPr>
            <w:tcW w:type="dxa" w:w="6917"/>
          </w:tcPr>
          <w:p>
            <w:pPr>
              <w:spacing w:after="40"/>
            </w:pPr>
            <w:r>
              <w:rPr>
                <w:sz w:val="17"/>
              </w:rPr>
            </w:r>
            <w:r>
              <w:rPr>
                <w:b w:val="0"/>
                <w:sz w:val="17"/>
              </w:rPr>
              <w:t>Each gate, and at project close</w:t>
            </w:r>
          </w:p>
        </w:tc>
      </w:tr>
      <w:tr>
        <w:tc>
          <w:tcPr>
            <w:tcW w:type="dxa" w:w="2494"/>
          </w:tcPr>
          <w:p>
            <w:pPr>
              <w:spacing w:after="40"/>
            </w:pPr>
            <w:r>
              <w:rPr>
                <w:sz w:val="17"/>
              </w:rPr>
            </w:r>
            <w:r>
              <w:rPr>
                <w:b w:val="0"/>
                <w:sz w:val="17"/>
              </w:rPr>
              <w:t>Custody at close</w:t>
            </w:r>
          </w:p>
        </w:tc>
        <w:tc>
          <w:tcPr>
            <w:tcW w:type="dxa" w:w="6917"/>
          </w:tcPr>
          <w:p>
            <w:pPr>
              <w:spacing w:after="40"/>
            </w:pPr>
            <w:r>
              <w:rPr>
                <w:sz w:val="17"/>
              </w:rPr>
            </w:r>
            <w:r>
              <w:rPr>
                <w:b w:val="0"/>
                <w:sz w:val="17"/>
              </w:rPr>
              <w:t>[FILL — who holds the archive, and in what environment, once the CDE subscription ends]</w:t>
            </w:r>
          </w:p>
        </w:tc>
      </w:tr>
      <w:tr>
        <w:tc>
          <w:tcPr>
            <w:tcW w:type="dxa" w:w="2494"/>
          </w:tcPr>
          <w:p>
            <w:pPr>
              <w:spacing w:after="40"/>
            </w:pPr>
            <w:r>
              <w:rPr>
                <w:sz w:val="17"/>
              </w:rPr>
            </w:r>
            <w:r>
              <w:rPr>
                <w:b w:val="0"/>
                <w:sz w:val="17"/>
              </w:rPr>
              <w:t>Handover of the CDE itself</w:t>
            </w:r>
          </w:p>
        </w:tc>
        <w:tc>
          <w:tcPr>
            <w:tcW w:type="dxa" w:w="6917"/>
          </w:tcPr>
          <w:p>
            <w:pPr>
              <w:spacing w:after="40"/>
            </w:pPr>
            <w:r>
              <w:rPr>
                <w:sz w:val="17"/>
              </w:rPr>
            </w:r>
            <w:r>
              <w:rPr>
                <w:b w:val="0"/>
                <w:sz w:val="17"/>
              </w:rPr>
              <w:t>[FILL — whether the Appointing Party takes over the environment or receives an export]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EXIT</w:t>
            </w:r>
          </w:p>
          <w:p>
            <w:r>
              <w:rPr>
                <w:b w:val="0"/>
                <w:sz w:val="19"/>
              </w:rPr>
              <w:t>Decide the exit arrangement at mobilisation, not at close-out. A CDE subscription that lapses with the project information inside it is a real and common way to lose an archive.</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The coordinate system is established once at mobilisation from the site survey and locked thereafter. It is the single setting on this project that cannot be corrected later without re-issuing every model and every drawing, so it is recorded here in full rather than by reference.</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Item</w:t>
            </w:r>
          </w:p>
        </w:tc>
        <w:tc>
          <w:tcPr>
            <w:tcW w:type="dxa" w:w="5783"/>
            <w:shd w:val="clear" w:fill="E8EDF3"/>
          </w:tcPr>
          <w:p>
            <w:r/>
            <w:r>
              <w:rPr>
                <w:b/>
                <w:color w:val="1F3654"/>
                <w:sz w:val="17"/>
              </w:rPr>
              <w:t>Value</w:t>
            </w:r>
          </w:p>
        </w:tc>
      </w:tr>
      <w:tr>
        <w:tc>
          <w:tcPr>
            <w:tcW w:type="dxa" w:w="3628"/>
          </w:tcPr>
          <w:p>
            <w:pPr>
              <w:spacing w:after="40"/>
            </w:pPr>
            <w:r>
              <w:rPr>
                <w:sz w:val="17"/>
              </w:rPr>
            </w:r>
            <w:r>
              <w:rPr>
                <w:b w:val="0"/>
                <w:sz w:val="17"/>
              </w:rPr>
              <w:t>Survey datum</w:t>
            </w:r>
          </w:p>
        </w:tc>
        <w:tc>
          <w:tcPr>
            <w:tcW w:type="dxa" w:w="5783"/>
          </w:tcPr>
          <w:p>
            <w:pPr>
              <w:spacing w:after="40"/>
            </w:pPr>
            <w:r>
              <w:rPr>
                <w:sz w:val="17"/>
              </w:rPr>
            </w:r>
            <w:r>
              <w:rPr>
                <w:b w:val="0"/>
                <w:sz w:val="17"/>
              </w:rPr>
              <w:t>[FILL — vertical datum and its origin, e.g. Uganda national datum, or a stated site benchmark with its reduced level]</w:t>
            </w:r>
          </w:p>
        </w:tc>
      </w:tr>
      <w:tr>
        <w:tc>
          <w:tcPr>
            <w:tcW w:type="dxa" w:w="3628"/>
          </w:tcPr>
          <w:p>
            <w:pPr>
              <w:spacing w:after="40"/>
            </w:pPr>
            <w:r>
              <w:rPr>
                <w:sz w:val="17"/>
              </w:rPr>
            </w:r>
            <w:r>
              <w:rPr>
                <w:b w:val="0"/>
                <w:sz w:val="17"/>
              </w:rPr>
              <w:t>Site benchmark</w:t>
            </w:r>
          </w:p>
        </w:tc>
        <w:tc>
          <w:tcPr>
            <w:tcW w:type="dxa" w:w="5783"/>
          </w:tcPr>
          <w:p>
            <w:pPr>
              <w:spacing w:after="40"/>
            </w:pPr>
            <w:r>
              <w:rPr>
                <w:sz w:val="17"/>
              </w:rPr>
            </w:r>
            <w:r>
              <w:rPr>
                <w:b w:val="0"/>
                <w:sz w:val="17"/>
              </w:rPr>
              <w:t>[FILL — description, location and reduced level]</w:t>
            </w:r>
          </w:p>
        </w:tc>
      </w:tr>
      <w:tr>
        <w:tc>
          <w:tcPr>
            <w:tcW w:type="dxa" w:w="3628"/>
          </w:tcPr>
          <w:p>
            <w:pPr>
              <w:spacing w:after="40"/>
            </w:pPr>
            <w:r>
              <w:rPr>
                <w:sz w:val="17"/>
              </w:rPr>
            </w:r>
            <w:r>
              <w:rPr>
                <w:b w:val="0"/>
                <w:sz w:val="17"/>
              </w:rPr>
              <w:t>Coordinate system / projection</w:t>
            </w:r>
          </w:p>
        </w:tc>
        <w:tc>
          <w:tcPr>
            <w:tcW w:type="dxa" w:w="5783"/>
          </w:tcPr>
          <w:p>
            <w:pPr>
              <w:spacing w:after="40"/>
            </w:pPr>
            <w:r>
              <w:rPr>
                <w:sz w:val="17"/>
              </w:rPr>
            </w:r>
            <w:r>
              <w:rPr>
                <w:b w:val="0"/>
                <w:sz w:val="17"/>
              </w:rPr>
              <w:t>[FILL — e.g. UTM Zone 36N, or a stated site grid]</w:t>
            </w:r>
          </w:p>
        </w:tc>
      </w:tr>
      <w:tr>
        <w:tc>
          <w:tcPr>
            <w:tcW w:type="dxa" w:w="3628"/>
          </w:tcPr>
          <w:p>
            <w:pPr>
              <w:spacing w:after="40"/>
            </w:pPr>
            <w:r>
              <w:rPr>
                <w:sz w:val="17"/>
              </w:rPr>
            </w:r>
            <w:r>
              <w:rPr>
                <w:b w:val="0"/>
                <w:sz w:val="17"/>
              </w:rPr>
              <w:t>Survey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Project base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Angle to true north</w:t>
            </w:r>
          </w:p>
        </w:tc>
        <w:tc>
          <w:tcPr>
            <w:tcW w:type="dxa" w:w="5783"/>
          </w:tcPr>
          <w:p>
            <w:pPr>
              <w:spacing w:after="40"/>
            </w:pPr>
            <w:r>
              <w:rPr>
                <w:sz w:val="17"/>
              </w:rPr>
            </w:r>
            <w:r>
              <w:rPr>
                <w:b w:val="0"/>
                <w:sz w:val="17"/>
              </w:rPr>
              <w:t>[FILL — degrees, and the direction of measurement]</w:t>
            </w:r>
          </w:p>
        </w:tc>
      </w:tr>
      <w:tr>
        <w:tc>
          <w:tcPr>
            <w:tcW w:type="dxa" w:w="3628"/>
          </w:tcPr>
          <w:p>
            <w:pPr>
              <w:spacing w:after="40"/>
            </w:pPr>
            <w:r>
              <w:rPr>
                <w:sz w:val="17"/>
              </w:rPr>
            </w:r>
            <w:r>
              <w:rPr>
                <w:b w:val="0"/>
                <w:sz w:val="17"/>
              </w:rPr>
              <w:t>Internal origin offset</w:t>
            </w:r>
          </w:p>
        </w:tc>
        <w:tc>
          <w:tcPr>
            <w:tcW w:type="dxa" w:w="5783"/>
          </w:tcPr>
          <w:p>
            <w:pPr>
              <w:spacing w:after="40"/>
            </w:pPr>
            <w:r>
              <w:rPr>
                <w:sz w:val="17"/>
              </w:rPr>
            </w:r>
            <w:r>
              <w:rPr>
                <w:b w:val="0"/>
                <w:sz w:val="17"/>
              </w:rPr>
              <w:t>[FILL — must remain within 10 km of the internal origin to avoid geometry and display faults]</w:t>
            </w:r>
          </w:p>
        </w:tc>
      </w:tr>
      <w:tr>
        <w:tc>
          <w:tcPr>
            <w:tcW w:type="dxa" w:w="3628"/>
          </w:tcPr>
          <w:p>
            <w:pPr>
              <w:spacing w:after="40"/>
            </w:pPr>
            <w:r>
              <w:rPr>
                <w:sz w:val="17"/>
              </w:rPr>
            </w:r>
            <w:r>
              <w:rPr>
                <w:b w:val="0"/>
                <w:sz w:val="17"/>
              </w:rPr>
              <w:t>Units</w:t>
            </w:r>
          </w:p>
        </w:tc>
        <w:tc>
          <w:tcPr>
            <w:tcW w:type="dxa" w:w="5783"/>
          </w:tcPr>
          <w:p>
            <w:pPr>
              <w:spacing w:after="40"/>
            </w:pPr>
            <w:r>
              <w:rPr>
                <w:sz w:val="17"/>
              </w:rPr>
            </w:r>
            <w:r>
              <w:rPr>
                <w:b w:val="0"/>
                <w:sz w:val="17"/>
              </w:rPr>
              <w:t>Millimetres. Project units set in the template and not altered</w:t>
            </w:r>
          </w:p>
        </w:tc>
      </w:tr>
      <w:tr>
        <w:tc>
          <w:tcPr>
            <w:tcW w:type="dxa" w:w="3628"/>
          </w:tcPr>
          <w:p>
            <w:pPr>
              <w:spacing w:after="40"/>
            </w:pPr>
            <w:r>
              <w:rPr>
                <w:sz w:val="17"/>
              </w:rPr>
            </w:r>
            <w:r>
              <w:rPr>
                <w:b w:val="0"/>
                <w:sz w:val="17"/>
              </w:rPr>
              <w:t>Source survey</w:t>
            </w:r>
          </w:p>
        </w:tc>
        <w:tc>
          <w:tcPr>
            <w:tcW w:type="dxa" w:w="5783"/>
          </w:tcPr>
          <w:p>
            <w:pPr>
              <w:spacing w:after="40"/>
            </w:pPr>
            <w:r>
              <w:rPr>
                <w:sz w:val="17"/>
              </w:rPr>
            </w:r>
            <w:r>
              <w:rPr>
                <w:b w:val="0"/>
                <w:sz w:val="17"/>
              </w:rPr>
              <w:t>[FILL — surveyor, drawing reference, date]</w:t>
            </w:r>
          </w:p>
        </w:tc>
      </w:tr>
    </w:tbl>
    <w:p>
      <w:pPr>
        <w:spacing w:after="40"/>
      </w:pPr>
    </w:p>
    <w:p>
      <w:pPr>
        <w:pStyle w:val="Heading3"/>
      </w:pPr>
      <w:r>
        <w:t>6.3.1  How coordinates are adopted</w:t>
      </w:r>
    </w:p>
    <w:p>
      <w:pPr>
        <w:spacing w:after="60"/>
        <w:ind w:left="454"/>
      </w:pPr>
      <w:r>
        <w:rPr>
          <w:b/>
        </w:rPr>
        <w:t xml:space="preserve">1. </w:t>
      </w:r>
      <w:r>
        <w:rPr>
          <w:b w:val="0"/>
        </w:rPr>
        <w:t xml:space="preserve">The Information Manager issues a </w:t>
      </w:r>
      <w:r>
        <w:rPr>
          <w:b/>
        </w:rPr>
        <w:t>shared coordinates seed model</w:t>
      </w:r>
      <w:r>
        <w:rPr>
          <w:b w:val="0"/>
        </w:rPr>
        <w:t xml:space="preserve"> containing the survey point, project base point, true north and the levels and grids. It contains no other geometry.</w:t>
      </w:r>
    </w:p>
    <w:p>
      <w:pPr>
        <w:spacing w:after="60"/>
        <w:ind w:left="454"/>
      </w:pPr>
      <w:r>
        <w:rPr>
          <w:b/>
        </w:rPr>
        <w:t xml:space="preserve">2. </w:t>
      </w:r>
      <w:r>
        <w:rPr>
          <w:b w:val="0"/>
        </w:rPr>
        <w:t xml:space="preserve">Each appointed party starts its model from the issued project template and </w:t>
      </w:r>
      <w:r>
        <w:rPr>
          <w:b/>
        </w:rPr>
        <w:t>acquires coordinates</w:t>
      </w:r>
      <w:r>
        <w:rPr>
          <w:b w:val="0"/>
        </w:rPr>
        <w:t xml:space="preserve"> from the seed model. Nobody types coordinates in.</w:t>
      </w:r>
    </w:p>
    <w:p>
      <w:pPr>
        <w:spacing w:after="60"/>
        <w:ind w:left="454"/>
      </w:pPr>
      <w:r>
        <w:rPr>
          <w:b/>
        </w:rPr>
        <w:t xml:space="preserve">3. </w:t>
      </w:r>
      <w:r>
        <w:rPr>
          <w:b w:val="0"/>
        </w:rPr>
        <w:t xml:space="preserve">Models are linked to one another by </w:t>
      </w:r>
      <w:r>
        <w:rPr>
          <w:b/>
        </w:rPr>
        <w:t>shared coordinates</w:t>
      </w:r>
      <w:r>
        <w:rPr>
          <w:b w:val="0"/>
        </w:rPr>
        <w:t>, never by origin-to-origin or by hand positioning.</w:t>
      </w:r>
    </w:p>
    <w:p>
      <w:pPr>
        <w:spacing w:after="60"/>
        <w:ind w:left="454"/>
      </w:pPr>
      <w:r>
        <w:rPr>
          <w:b/>
        </w:rPr>
        <w:t xml:space="preserve">4. </w:t>
      </w:r>
      <w:r>
        <w:rPr>
          <w:b w:val="0"/>
        </w:rPr>
        <w:t xml:space="preserve">The project base point and survey point are </w:t>
      </w:r>
      <w:r>
        <w:rPr>
          <w:b/>
        </w:rPr>
        <w:t>pinned</w:t>
      </w:r>
      <w:r>
        <w:rPr>
          <w:b w:val="0"/>
        </w:rPr>
        <w:t>. Unpinning either is a change requiring the Information Manager’s agreement.</w:t>
      </w:r>
    </w:p>
    <w:p>
      <w:pPr>
        <w:spacing w:after="60"/>
        <w:ind w:left="454"/>
      </w:pPr>
      <w:r>
        <w:rPr>
          <w:b/>
        </w:rPr>
        <w:t xml:space="preserve">5. </w:t>
      </w:r>
      <w:r>
        <w:rPr>
          <w:b w:val="0"/>
        </w:rPr>
        <w:t>A model that reports a different survey point from the seed is rejected at the pre-share check, because every downstream federation and clash result would be wrong by that offset.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w:t>
            </w:r>
          </w:p>
          <w:p>
            <w:r>
              <w:rPr>
                <w:b w:val="0"/>
                <w:sz w:val="19"/>
              </w:rPr>
              <w:t>Do not defer this. A coordinate error found at Deliverable B costs a remodelling exercise across every discipline; found at mobilisation it costs an afternoon.</w:t>
            </w:r>
          </w:p>
        </w:tc>
      </w:tr>
    </w:tbl>
    <w:p>
      <w:pPr>
        <w:spacing w:after="40"/>
      </w:pPr>
    </w:p>
    <w:p>
      <w:pPr>
        <w:pStyle w:val="Heading2"/>
      </w:pPr>
      <w:r>
        <w:t>6.4  Level and grid register</w:t>
      </w:r>
    </w:p>
    <w:p>
      <w:r>
        <w:rPr>
          <w:b w:val="0"/>
          <w:i w:val="0"/>
        </w:rPr>
        <w:t>Levels and grids are issued in the template and in the seed model. Level codes appear in every container name, so a renamed level invalidates issued references.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7"/>
              </w:rPr>
              <w:t>Level code</w:t>
            </w:r>
          </w:p>
        </w:tc>
        <w:tc>
          <w:tcPr>
            <w:tcW w:type="dxa" w:w="2835"/>
            <w:shd w:val="clear" w:fill="E8EDF3"/>
          </w:tcPr>
          <w:p>
            <w:r/>
            <w:r>
              <w:rPr>
                <w:b/>
                <w:color w:val="1F3654"/>
                <w:sz w:val="17"/>
              </w:rPr>
              <w:t>Level name</w:t>
            </w:r>
          </w:p>
        </w:tc>
        <w:tc>
          <w:tcPr>
            <w:tcW w:type="dxa" w:w="2041"/>
            <w:shd w:val="clear" w:fill="E8EDF3"/>
          </w:tcPr>
          <w:p>
            <w:r/>
            <w:r>
              <w:rPr>
                <w:b/>
                <w:color w:val="1F3654"/>
                <w:sz w:val="17"/>
              </w:rPr>
              <w:t>Reduced level (m)</w:t>
            </w:r>
          </w:p>
        </w:tc>
        <w:tc>
          <w:tcPr>
            <w:tcW w:type="dxa" w:w="3061"/>
            <w:shd w:val="clear" w:fill="E8EDF3"/>
          </w:tcPr>
          <w:p>
            <w:r/>
            <w:r>
              <w:rPr>
                <w:b/>
                <w:color w:val="1F3654"/>
                <w:sz w:val="17"/>
              </w:rPr>
              <w:t>Applies to volumes</w:t>
            </w:r>
          </w:p>
        </w:tc>
      </w:tr>
      <w:tr>
        <w:tc>
          <w:tcPr>
            <w:tcW w:type="dxa" w:w="1474"/>
          </w:tcPr>
          <w:p>
            <w:pPr>
              <w:spacing w:after="40"/>
            </w:pPr>
            <w:r>
              <w:rPr>
                <w:sz w:val="17"/>
              </w:rPr>
            </w:r>
            <w:r>
              <w:rPr>
                <w:b w:val="0"/>
                <w:sz w:val="17"/>
              </w:rPr>
              <w:t>[FILL]</w:t>
            </w:r>
          </w:p>
        </w:tc>
        <w:tc>
          <w:tcPr>
            <w:tcW w:type="dxa" w:w="2835"/>
          </w:tcPr>
          <w:p>
            <w:pPr>
              <w:spacing w:after="40"/>
            </w:pPr>
            <w:r>
              <w:rPr>
                <w:sz w:val="17"/>
              </w:rPr>
            </w:r>
            <w:r>
              <w:rPr>
                <w:b w:val="0"/>
                <w:sz w:val="17"/>
              </w:rPr>
              <w:t>[FILL]</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B1</w:t>
            </w:r>
          </w:p>
        </w:tc>
        <w:tc>
          <w:tcPr>
            <w:tcW w:type="dxa" w:w="2835"/>
          </w:tcPr>
          <w:p>
            <w:pPr>
              <w:spacing w:after="40"/>
            </w:pPr>
            <w:r>
              <w:rPr>
                <w:sz w:val="17"/>
              </w:rPr>
            </w:r>
            <w:r>
              <w:rPr>
                <w:b w:val="0"/>
                <w:sz w:val="17"/>
              </w:rPr>
              <w:t>Basement 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GF</w:t>
            </w:r>
          </w:p>
        </w:tc>
        <w:tc>
          <w:tcPr>
            <w:tcW w:type="dxa" w:w="2835"/>
          </w:tcPr>
          <w:p>
            <w:pPr>
              <w:spacing w:after="40"/>
            </w:pPr>
            <w:r>
              <w:rPr>
                <w:sz w:val="17"/>
              </w:rPr>
            </w:r>
            <w:r>
              <w:rPr>
                <w:b w:val="0"/>
                <w:sz w:val="17"/>
              </w:rPr>
              <w:t>Ground Floor</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01</w:t>
            </w:r>
          </w:p>
        </w:tc>
        <w:tc>
          <w:tcPr>
            <w:tcW w:type="dxa" w:w="2835"/>
          </w:tcPr>
          <w:p>
            <w:pPr>
              <w:spacing w:after="40"/>
            </w:pPr>
            <w:r>
              <w:rPr>
                <w:sz w:val="17"/>
              </w:rPr>
            </w:r>
            <w:r>
              <w:rPr>
                <w:b w:val="0"/>
                <w:sz w:val="17"/>
              </w:rPr>
              <w:t>Level 01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RF</w:t>
            </w:r>
          </w:p>
        </w:tc>
        <w:tc>
          <w:tcPr>
            <w:tcW w:type="dxa" w:w="2835"/>
          </w:tcPr>
          <w:p>
            <w:pPr>
              <w:spacing w:after="40"/>
            </w:pPr>
            <w:r>
              <w:rPr>
                <w:sz w:val="17"/>
              </w:rPr>
            </w:r>
            <w:r>
              <w:rPr>
                <w:b w:val="0"/>
                <w:sz w:val="17"/>
              </w:rPr>
              <w:t>Roof</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LEVELS ACROSS VOLUMES</w:t>
            </w:r>
          </w:p>
          <w:p>
            <w:r>
              <w:rPr>
                <w:b w:val="0"/>
                <w:sz w:val="19"/>
              </w:rPr>
              <w:t>Volumes may have different floor-to-floor arrangements. Where a level exists in one volume and not another, it is still named once, project-wide, and simply not used where it does not apply. Two volumes must never use the same level code for different elevations.</w:t>
            </w:r>
          </w:p>
        </w:tc>
      </w:tr>
    </w:tbl>
    <w:p>
      <w:pPr>
        <w:spacing w:after="40"/>
      </w:pPr>
    </w:p>
    <w:p>
      <w:pPr>
        <w:pStyle w:val="Heading2"/>
      </w:pPr>
      <w:r>
        <w:t>6.5  Software and version register</w:t>
      </w:r>
    </w:p>
    <w:p>
      <w:r>
        <w:rPr>
          <w:b w:val="0"/>
          <w:i w:val="0"/>
        </w:rPr>
        <w:t>All appointed parties author in the same major version for the duration of a stage. A version change is made only at a stage boundary and only by agreement, because an upgraded model cannot be reopened in the earlier version.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268"/>
            <w:shd w:val="clear" w:fill="E8EDF3"/>
          </w:tcPr>
          <w:p>
            <w:r/>
            <w:r>
              <w:rPr>
                <w:b/>
                <w:color w:val="1F3654"/>
                <w:sz w:val="17"/>
              </w:rPr>
              <w:t>Function</w:t>
            </w:r>
          </w:p>
        </w:tc>
        <w:tc>
          <w:tcPr>
            <w:tcW w:type="dxa" w:w="4535"/>
            <w:shd w:val="clear" w:fill="E8EDF3"/>
          </w:tcPr>
          <w:p>
            <w:r/>
            <w:r>
              <w:rPr>
                <w:b/>
                <w:color w:val="1F3654"/>
                <w:sz w:val="17"/>
              </w:rPr>
              <w:t>Software and version</w:t>
            </w:r>
          </w:p>
        </w:tc>
        <w:tc>
          <w:tcPr>
            <w:tcW w:type="dxa" w:w="2608"/>
            <w:shd w:val="clear" w:fill="E8EDF3"/>
          </w:tcPr>
          <w:p>
            <w:r/>
            <w:r>
              <w:rPr>
                <w:b/>
                <w:color w:val="1F3654"/>
                <w:sz w:val="17"/>
              </w:rPr>
              <w:t>Party</w:t>
            </w:r>
          </w:p>
        </w:tc>
      </w:tr>
      <w:tr>
        <w:tc>
          <w:tcPr>
            <w:tcW w:type="dxa" w:w="2268"/>
          </w:tcPr>
          <w:p>
            <w:pPr>
              <w:spacing w:after="40"/>
            </w:pPr>
            <w:r>
              <w:rPr>
                <w:sz w:val="17"/>
              </w:rPr>
            </w:r>
            <w:r>
              <w:rPr>
                <w:b w:val="0"/>
                <w:sz w:val="17"/>
              </w:rPr>
              <w:t>Model authoring</w:t>
            </w:r>
          </w:p>
        </w:tc>
        <w:tc>
          <w:tcPr>
            <w:tcW w:type="dxa" w:w="4535"/>
          </w:tcPr>
          <w:p>
            <w:pPr>
              <w:spacing w:after="40"/>
            </w:pPr>
            <w:r>
              <w:rPr>
                <w:sz w:val="17"/>
              </w:rPr>
            </w:r>
            <w:r>
              <w:rPr>
                <w:b w:val="0"/>
                <w:sz w:val="17"/>
              </w:rPr>
              <w:t>[FILL — one Revit version, project-wide]</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Coordination</w:t>
            </w:r>
          </w:p>
        </w:tc>
        <w:tc>
          <w:tcPr>
            <w:tcW w:type="dxa" w:w="4535"/>
          </w:tcPr>
          <w:p>
            <w:pPr>
              <w:spacing w:after="40"/>
            </w:pPr>
            <w:r>
              <w:rPr>
                <w:sz w:val="17"/>
              </w:rPr>
            </w:r>
            <w:r>
              <w:rPr>
                <w:b w:val="0"/>
                <w:sz w:val="17"/>
              </w:rPr>
              <w:t>[FILL — Navisworks version]</w:t>
            </w:r>
          </w:p>
        </w:tc>
        <w:tc>
          <w:tcPr>
            <w:tcW w:type="dxa" w:w="2608"/>
          </w:tcPr>
          <w:p>
            <w:pPr>
              <w:spacing w:after="40"/>
            </w:pPr>
            <w:r>
              <w:rPr>
                <w:sz w:val="17"/>
              </w:rPr>
            </w:r>
            <w:r>
              <w:rPr>
                <w:b w:val="0"/>
                <w:sz w:val="17"/>
              </w:rPr>
              <w:t>Information Manager</w:t>
            </w:r>
          </w:p>
        </w:tc>
      </w:tr>
      <w:tr>
        <w:tc>
          <w:tcPr>
            <w:tcW w:type="dxa" w:w="2268"/>
          </w:tcPr>
          <w:p>
            <w:pPr>
              <w:spacing w:after="40"/>
            </w:pPr>
            <w:r>
              <w:rPr>
                <w:sz w:val="17"/>
              </w:rPr>
            </w:r>
            <w:r>
              <w:rPr>
                <w:b w:val="0"/>
                <w:sz w:val="17"/>
              </w:rPr>
              <w:t>Common Data Environment</w:t>
            </w:r>
          </w:p>
        </w:tc>
        <w:tc>
          <w:tcPr>
            <w:tcW w:type="dxa" w:w="4535"/>
          </w:tcPr>
          <w:p>
            <w:pPr>
              <w:spacing w:after="40"/>
            </w:pPr>
            <w:r>
              <w:rPr>
                <w:sz w:val="17"/>
              </w:rPr>
            </w:r>
            <w:r>
              <w:rPr>
                <w:b w:val="0"/>
                <w:sz w:val="17"/>
              </w:rPr>
              <w:t>Autodesk Construction Cloud (evergreen)</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Design review</w:t>
            </w:r>
          </w:p>
        </w:tc>
        <w:tc>
          <w:tcPr>
            <w:tcW w:type="dxa" w:w="4535"/>
          </w:tcPr>
          <w:p>
            <w:pPr>
              <w:spacing w:after="40"/>
            </w:pPr>
            <w:r>
              <w:rPr>
                <w:sz w:val="17"/>
              </w:rPr>
            </w:r>
            <w:r>
              <w:rPr>
                <w:b w:val="0"/>
                <w:sz w:val="17"/>
              </w:rPr>
              <w:t>Bluebeam [FILL]</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Specifications</w:t>
            </w:r>
          </w:p>
        </w:tc>
        <w:tc>
          <w:tcPr>
            <w:tcW w:type="dxa" w:w="4535"/>
          </w:tcPr>
          <w:p>
            <w:pPr>
              <w:spacing w:after="40"/>
            </w:pPr>
            <w:r>
              <w:rPr>
                <w:sz w:val="17"/>
              </w:rPr>
            </w:r>
            <w:r>
              <w:rPr>
                <w:b w:val="0"/>
                <w:sz w:val="17"/>
              </w:rPr>
              <w:t>RIB SpecLink [FILL]</w:t>
            </w:r>
          </w:p>
        </w:tc>
        <w:tc>
          <w:tcPr>
            <w:tcW w:type="dxa" w:w="2608"/>
          </w:tcPr>
          <w:p>
            <w:pPr>
              <w:spacing w:after="40"/>
            </w:pPr>
            <w:r>
              <w:rPr>
                <w:sz w:val="17"/>
              </w:rPr>
            </w:r>
            <w:r>
              <w:rPr>
                <w:b w:val="0"/>
                <w:sz w:val="17"/>
              </w:rPr>
              <w:t>Specification lead</w:t>
            </w:r>
          </w:p>
        </w:tc>
      </w:tr>
      <w:tr>
        <w:tc>
          <w:tcPr>
            <w:tcW w:type="dxa" w:w="2268"/>
          </w:tcPr>
          <w:p>
            <w:pPr>
              <w:spacing w:after="40"/>
            </w:pPr>
            <w:r>
              <w:rPr>
                <w:sz w:val="17"/>
              </w:rPr>
            </w:r>
            <w:r>
              <w:rPr>
                <w:b w:val="0"/>
                <w:sz w:val="17"/>
              </w:rPr>
              <w:t>FF&amp;E and O&amp;M</w:t>
            </w:r>
          </w:p>
        </w:tc>
        <w:tc>
          <w:tcPr>
            <w:tcW w:type="dxa" w:w="4535"/>
          </w:tcPr>
          <w:p>
            <w:pPr>
              <w:spacing w:after="40"/>
            </w:pPr>
            <w:r>
              <w:rPr>
                <w:sz w:val="17"/>
              </w:rPr>
            </w:r>
            <w:r>
              <w:rPr>
                <w:b w:val="0"/>
                <w:sz w:val="17"/>
              </w:rPr>
              <w:t>Fohlio (evergreen)</w:t>
            </w:r>
          </w:p>
        </w:tc>
        <w:tc>
          <w:tcPr>
            <w:tcW w:type="dxa" w:w="2608"/>
          </w:tcPr>
          <w:p>
            <w:pPr>
              <w:spacing w:after="40"/>
            </w:pPr>
            <w:r>
              <w:rPr>
                <w:sz w:val="17"/>
              </w:rPr>
            </w:r>
            <w:r>
              <w:rPr>
                <w:b w:val="0"/>
                <w:sz w:val="17"/>
              </w:rPr>
              <w:t>Interior Designer</w:t>
            </w:r>
          </w:p>
        </w:tc>
      </w:tr>
      <w:tr>
        <w:tc>
          <w:tcPr>
            <w:tcW w:type="dxa" w:w="2268"/>
          </w:tcPr>
          <w:p>
            <w:pPr>
              <w:spacing w:after="40"/>
            </w:pPr>
            <w:r>
              <w:rPr>
                <w:sz w:val="17"/>
              </w:rPr>
            </w:r>
            <w:r>
              <w:rPr>
                <w:b w:val="0"/>
                <w:sz w:val="17"/>
              </w:rPr>
              <w:t>Building management</w:t>
            </w:r>
          </w:p>
        </w:tc>
        <w:tc>
          <w:tcPr>
            <w:tcW w:type="dxa" w:w="4535"/>
          </w:tcPr>
          <w:p>
            <w:pPr>
              <w:spacing w:after="40"/>
            </w:pPr>
            <w:r>
              <w:rPr>
                <w:sz w:val="17"/>
              </w:rPr>
            </w:r>
            <w:r>
              <w:rPr>
                <w:b w:val="0"/>
                <w:sz w:val="17"/>
              </w:rPr>
              <w:t>Tridium Niagara [FILL]</w:t>
            </w:r>
          </w:p>
        </w:tc>
        <w:tc>
          <w:tcPr>
            <w:tcW w:type="dxa" w:w="2608"/>
          </w:tcPr>
          <w:p>
            <w:pPr>
              <w:spacing w:after="40"/>
            </w:pPr>
            <w:r>
              <w:rPr>
                <w:sz w:val="17"/>
              </w:rPr>
            </w:r>
            <w:r>
              <w:rPr>
                <w:b w:val="0"/>
                <w:sz w:val="17"/>
              </w:rPr>
              <w:t>Controls contractor</w:t>
            </w:r>
          </w:p>
        </w:tc>
      </w:tr>
      <w:tr>
        <w:tc>
          <w:tcPr>
            <w:tcW w:type="dxa" w:w="2268"/>
          </w:tcPr>
          <w:p>
            <w:pPr>
              <w:spacing w:after="40"/>
            </w:pPr>
            <w:r>
              <w:rPr>
                <w:sz w:val="17"/>
              </w:rPr>
            </w:r>
            <w:r>
              <w:rPr>
                <w:b w:val="0"/>
                <w:sz w:val="17"/>
              </w:rPr>
              <w:t>Analysis and calculation</w:t>
            </w:r>
          </w:p>
        </w:tc>
        <w:tc>
          <w:tcPr>
            <w:tcW w:type="dxa" w:w="4535"/>
          </w:tcPr>
          <w:p>
            <w:pPr>
              <w:spacing w:after="40"/>
            </w:pPr>
            <w:r>
              <w:rPr>
                <w:sz w:val="17"/>
              </w:rPr>
            </w:r>
            <w:r>
              <w:rPr>
                <w:b w:val="0"/>
                <w:sz w:val="17"/>
              </w:rPr>
              <w:t>[FILL — per discipline, with the standard each is configured to]</w:t>
            </w:r>
          </w:p>
        </w:tc>
        <w:tc>
          <w:tcPr>
            <w:tcW w:type="dxa" w:w="2608"/>
          </w:tcPr>
          <w:p>
            <w:pPr>
              <w:spacing w:after="40"/>
            </w:pPr>
            <w:r>
              <w:rPr>
                <w:sz w:val="17"/>
              </w:rPr>
            </w:r>
            <w:r>
              <w:rPr>
                <w:b w:val="0"/>
                <w:sz w:val="17"/>
              </w:rPr>
              <w:t>Each discipline</w:t>
            </w:r>
          </w:p>
        </w:tc>
      </w:tr>
    </w:tbl>
    <w:p>
      <w:pPr>
        <w:spacing w:after="40"/>
      </w:pP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2"/>
      </w:pPr>
      <w:r>
        <w:t>7.2  Model breakdown and federation</w:t>
      </w:r>
    </w:p>
    <w:p>
      <w:r>
        <w:rPr>
          <w:b w:val="0"/>
          <w:i w:val="0"/>
        </w:rPr>
        <w:t>How the project is divided into models, and how they are recombined. The division follows the volumes in Section 1.3 and the disciplines in Section 4.2, so that a model can always be identified from its container name alone.</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Division rule</w:t>
            </w:r>
          </w:p>
        </w:tc>
        <w:tc>
          <w:tcPr>
            <w:tcW w:type="dxa" w:w="7257"/>
          </w:tcPr>
          <w:p>
            <w:pPr>
              <w:spacing w:after="40"/>
            </w:pPr>
            <w:r>
              <w:rPr>
                <w:sz w:val="17"/>
              </w:rPr>
            </w:r>
            <w:r>
              <w:rPr>
                <w:b w:val="0"/>
                <w:sz w:val="17"/>
              </w:rPr>
              <w:t>One model per volume per discipline. A discipline covering several volumes produces several models, not one large one</w:t>
            </w:r>
          </w:p>
        </w:tc>
      </w:tr>
      <w:tr>
        <w:tc>
          <w:tcPr>
            <w:tcW w:type="dxa" w:w="2154"/>
          </w:tcPr>
          <w:p>
            <w:pPr>
              <w:spacing w:after="40"/>
            </w:pPr>
            <w:r>
              <w:rPr>
                <w:sz w:val="17"/>
              </w:rPr>
            </w:r>
            <w:r>
              <w:rPr>
                <w:b w:val="0"/>
                <w:sz w:val="17"/>
              </w:rPr>
              <w:t>Naming</w:t>
            </w:r>
          </w:p>
        </w:tc>
        <w:tc>
          <w:tcPr>
            <w:tcW w:type="dxa" w:w="7257"/>
          </w:tcPr>
          <w:p>
            <w:pPr>
              <w:spacing w:after="40"/>
            </w:pPr>
            <w:r>
              <w:rPr>
                <w:sz w:val="17"/>
              </w:rPr>
            </w:r>
            <w:r>
              <w:rPr>
                <w:b w:val="0"/>
                <w:sz w:val="17"/>
              </w:rPr>
              <w:t>Per Section 4.2; the volume and role fields identify the model</w:t>
            </w:r>
          </w:p>
        </w:tc>
      </w:tr>
      <w:tr>
        <w:tc>
          <w:tcPr>
            <w:tcW w:type="dxa" w:w="2154"/>
          </w:tcPr>
          <w:p>
            <w:pPr>
              <w:spacing w:after="40"/>
            </w:pPr>
            <w:r>
              <w:rPr>
                <w:sz w:val="17"/>
              </w:rPr>
            </w:r>
            <w:r>
              <w:rPr>
                <w:b w:val="0"/>
                <w:sz w:val="17"/>
              </w:rPr>
              <w:t>Maximum file size</w:t>
            </w:r>
          </w:p>
        </w:tc>
        <w:tc>
          <w:tcPr>
            <w:tcW w:type="dxa" w:w="7257"/>
          </w:tcPr>
          <w:p>
            <w:pPr>
              <w:spacing w:after="40"/>
            </w:pPr>
            <w:r>
              <w:rPr>
                <w:sz w:val="17"/>
              </w:rPr>
            </w:r>
            <w:r>
              <w:rPr>
                <w:b w:val="0"/>
                <w:sz w:val="17"/>
              </w:rPr>
              <w:t>[FILL — a working ceiling, typically 300 MB. State the action when exceeded: split by level, or by system]</w:t>
            </w:r>
          </w:p>
        </w:tc>
      </w:tr>
      <w:tr>
        <w:tc>
          <w:tcPr>
            <w:tcW w:type="dxa" w:w="2154"/>
          </w:tcPr>
          <w:p>
            <w:pPr>
              <w:spacing w:after="40"/>
            </w:pPr>
            <w:r>
              <w:rPr>
                <w:sz w:val="17"/>
              </w:rPr>
            </w:r>
            <w:r>
              <w:rPr>
                <w:b w:val="0"/>
                <w:sz w:val="17"/>
              </w:rPr>
              <w:t>Linking</w:t>
            </w:r>
          </w:p>
        </w:tc>
        <w:tc>
          <w:tcPr>
            <w:tcW w:type="dxa" w:w="7257"/>
          </w:tcPr>
          <w:p>
            <w:pPr>
              <w:spacing w:after="40"/>
            </w:pPr>
            <w:r>
              <w:rPr>
                <w:sz w:val="17"/>
              </w:rPr>
            </w:r>
            <w:r>
              <w:rPr>
                <w:b w:val="0"/>
                <w:sz w:val="17"/>
              </w:rPr>
              <w:t>By shared coordinates, pinned, never bound into the host</w:t>
            </w:r>
          </w:p>
        </w:tc>
      </w:tr>
      <w:tr>
        <w:tc>
          <w:tcPr>
            <w:tcW w:type="dxa" w:w="2154"/>
          </w:tcPr>
          <w:p>
            <w:pPr>
              <w:spacing w:after="40"/>
            </w:pPr>
            <w:r>
              <w:rPr>
                <w:sz w:val="17"/>
              </w:rPr>
            </w:r>
            <w:r>
              <w:rPr>
                <w:b w:val="0"/>
                <w:sz w:val="17"/>
              </w:rPr>
              <w:t>Site and shared model</w:t>
            </w:r>
          </w:p>
        </w:tc>
        <w:tc>
          <w:tcPr>
            <w:tcW w:type="dxa" w:w="7257"/>
          </w:tcPr>
          <w:p>
            <w:pPr>
              <w:spacing w:after="40"/>
            </w:pPr>
            <w:r>
              <w:rPr>
                <w:sz w:val="17"/>
              </w:rPr>
            </w:r>
            <w:r>
              <w:rPr>
                <w:b w:val="0"/>
                <w:sz w:val="17"/>
              </w:rPr>
              <w:t>The seed model (Section 6.3) carries survey point, levels and grids. Every model links it; nothing else is modelled in it</w:t>
            </w:r>
          </w:p>
        </w:tc>
      </w:tr>
      <w:tr>
        <w:tc>
          <w:tcPr>
            <w:tcW w:type="dxa" w:w="2154"/>
          </w:tcPr>
          <w:p>
            <w:pPr>
              <w:spacing w:after="40"/>
            </w:pPr>
            <w:r>
              <w:rPr>
                <w:sz w:val="17"/>
              </w:rPr>
            </w:r>
            <w:r>
              <w:rPr>
                <w:b w:val="0"/>
                <w:sz w:val="17"/>
              </w:rPr>
              <w:t>Federated model</w:t>
            </w:r>
          </w:p>
        </w:tc>
        <w:tc>
          <w:tcPr>
            <w:tcW w:type="dxa" w:w="7257"/>
          </w:tcPr>
          <w:p>
            <w:pPr>
              <w:spacing w:after="40"/>
            </w:pPr>
            <w:r>
              <w:rPr>
                <w:sz w:val="17"/>
              </w:rPr>
            </w:r>
            <w:r>
              <w:rPr>
                <w:b w:val="0"/>
                <w:sz w:val="17"/>
              </w:rPr>
              <w:t>Assembled by the Information Manager each cycle from the shared models. It is a derived container and is never authored in</w:t>
            </w:r>
          </w:p>
        </w:tc>
      </w:tr>
      <w:tr>
        <w:tc>
          <w:tcPr>
            <w:tcW w:type="dxa" w:w="2154"/>
          </w:tcPr>
          <w:p>
            <w:pPr>
              <w:spacing w:after="40"/>
            </w:pPr>
            <w:r>
              <w:rPr>
                <w:sz w:val="17"/>
              </w:rPr>
            </w:r>
            <w:r>
              <w:rPr>
                <w:b w:val="0"/>
                <w:sz w:val="17"/>
              </w:rPr>
              <w:t>Federation container</w:t>
            </w:r>
          </w:p>
        </w:tc>
        <w:tc>
          <w:tcPr>
            <w:tcW w:type="dxa" w:w="7257"/>
          </w:tcPr>
          <w:p>
            <w:pPr>
              <w:spacing w:after="40"/>
            </w:pPr>
            <w:r>
              <w:rPr>
                <w:sz w:val="17"/>
              </w:rPr>
            </w:r>
            <w:r>
              <w:rPr>
                <w:b w:val="0"/>
                <w:sz w:val="17"/>
              </w:rPr>
              <w:t>KUT-SMB-ZZ-ZZ-M3-Z-0001</w:t>
            </w:r>
          </w:p>
        </w:tc>
      </w:tr>
      <w:tr>
        <w:tc>
          <w:tcPr>
            <w:tcW w:type="dxa" w:w="2154"/>
          </w:tcPr>
          <w:p>
            <w:pPr>
              <w:spacing w:after="40"/>
            </w:pPr>
            <w:r>
              <w:rPr>
                <w:sz w:val="17"/>
              </w:rPr>
            </w:r>
            <w:r>
              <w:rPr>
                <w:b w:val="0"/>
                <w:sz w:val="17"/>
              </w:rPr>
              <w:t>Cross-discipline hosting</w:t>
            </w:r>
          </w:p>
        </w:tc>
        <w:tc>
          <w:tcPr>
            <w:tcW w:type="dxa" w:w="7257"/>
          </w:tcPr>
          <w:p>
            <w:pPr>
              <w:spacing w:after="40"/>
            </w:pPr>
            <w:r>
              <w:rPr>
                <w:sz w:val="17"/>
              </w:rPr>
            </w:r>
            <w:r>
              <w:rPr>
                <w:b w:val="0"/>
                <w:sz w:val="17"/>
              </w:rPr>
              <w:t>An element is hosted in the model of the discipline responsible for it. A discipline does not host elements in another discipline’s model</w:t>
            </w:r>
          </w:p>
        </w:tc>
      </w:tr>
      <w:tr>
        <w:tc>
          <w:tcPr>
            <w:tcW w:type="dxa" w:w="2154"/>
          </w:tcPr>
          <w:p>
            <w:pPr>
              <w:spacing w:after="40"/>
            </w:pPr>
            <w:r>
              <w:rPr>
                <w:sz w:val="17"/>
              </w:rPr>
            </w:r>
            <w:r>
              <w:rPr>
                <w:b w:val="0"/>
                <w:sz w:val="17"/>
              </w:rPr>
              <w:t>Copy/monitor</w:t>
            </w:r>
          </w:p>
        </w:tc>
        <w:tc>
          <w:tcPr>
            <w:tcW w:type="dxa" w:w="7257"/>
          </w:tcPr>
          <w:p>
            <w:pPr>
              <w:spacing w:after="40"/>
            </w:pPr>
            <w:r>
              <w:rPr>
                <w:sz w:val="17"/>
              </w:rPr>
            </w:r>
            <w:r>
              <w:rPr>
                <w:b w:val="0"/>
                <w:sz w:val="17"/>
              </w:rPr>
              <w:t>[FILL — state which elements are copy/monitored between models: levels and grids always; state whether structural elements 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OWNERSHIP OF ELEMENTS</w:t>
            </w:r>
          </w:p>
          <w:p>
            <w:r>
              <w:rPr>
                <w:b w:val="0"/>
                <w:sz w:val="19"/>
              </w:rPr>
              <w:t>The largest cause of unusable federated models is a discipline modelling outside its own container — a mechanical contractor placing builders-work openings in the structural model, for example. Where an element crosses responsibility, the owning discipline models it and the other coordinates against it.</w:t>
            </w:r>
          </w:p>
        </w:tc>
      </w:tr>
    </w:tbl>
    <w:p>
      <w:pPr>
        <w:spacing w:after="40"/>
      </w:pPr>
    </w:p>
    <w:p>
      <w:pPr>
        <w:pStyle w:val="Heading2"/>
      </w:pPr>
      <w:r>
        <w:t>7.3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Section 7.3.1</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Section 7.3.2</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3"/>
      </w:pPr>
      <w:r>
        <w:t>7.3.1  Clash matrix</w:t>
      </w:r>
    </w:p>
    <w:p>
      <w:r>
        <w:rPr>
          <w:b w:val="0"/>
          <w:i w:val="0"/>
        </w:rPr>
        <w:t>Which discipline model is tested against which. **T** = tested every cycle · **G** = tested at gates only · **–** = not tested. Complete at the mobilisation coordination workshop.</w:t>
      </w:r>
    </w:p>
    <w:tbl>
      <w:tblPr>
        <w:tblStyle w:val="TableGrid"/>
        <w:tblW w:type="auto" w:w="0"/>
        <w:jc w:val="left"/>
        <w:tblLook w:firstColumn="1" w:firstRow="1" w:lastColumn="0" w:lastRow="0" w:noHBand="0" w:noVBand="1" w:val="04A0"/>
      </w:tblPr>
      <w:tblGrid>
        <w:gridCol w:w="1046"/>
        <w:gridCol w:w="1046"/>
        <w:gridCol w:w="1046"/>
        <w:gridCol w:w="1046"/>
        <w:gridCol w:w="1046"/>
        <w:gridCol w:w="1046"/>
        <w:gridCol w:w="1046"/>
        <w:gridCol w:w="1046"/>
        <w:gridCol w:w="1046"/>
      </w:tblGrid>
      <w:tr>
        <w:trPr>
          <w:tblHeader/>
        </w:trPr>
        <w:tc>
          <w:tcPr>
            <w:tcW w:type="dxa" w:w="1928"/>
            <w:shd w:val="clear" w:fill="E8EDF3"/>
          </w:tcPr>
          <w:p>
            <w:r/>
            <w:r>
              <w:rPr>
                <w:b/>
                <w:color w:val="1F3654"/>
                <w:sz w:val="16"/>
              </w:rPr>
            </w:r>
          </w:p>
        </w:tc>
        <w:tc>
          <w:tcPr>
            <w:tcW w:type="dxa" w:w="964"/>
            <w:shd w:val="clear" w:fill="E8EDF3"/>
          </w:tcPr>
          <w:p>
            <w:r/>
            <w:r>
              <w:rPr>
                <w:b/>
                <w:color w:val="1F3654"/>
                <w:sz w:val="16"/>
              </w:rPr>
              <w:t>Arch</w:t>
            </w:r>
          </w:p>
        </w:tc>
        <w:tc>
          <w:tcPr>
            <w:tcW w:type="dxa" w:w="964"/>
            <w:shd w:val="clear" w:fill="E8EDF3"/>
          </w:tcPr>
          <w:p>
            <w:r/>
            <w:r>
              <w:rPr>
                <w:b/>
                <w:color w:val="1F3654"/>
                <w:sz w:val="16"/>
              </w:rPr>
              <w:t>Struct</w:t>
            </w:r>
          </w:p>
        </w:tc>
        <w:tc>
          <w:tcPr>
            <w:tcW w:type="dxa" w:w="964"/>
            <w:shd w:val="clear" w:fill="E8EDF3"/>
          </w:tcPr>
          <w:p>
            <w:r/>
            <w:r>
              <w:rPr>
                <w:b/>
                <w:color w:val="1F3654"/>
                <w:sz w:val="16"/>
              </w:rPr>
              <w:t>Mech</w:t>
            </w:r>
          </w:p>
        </w:tc>
        <w:tc>
          <w:tcPr>
            <w:tcW w:type="dxa" w:w="964"/>
            <w:shd w:val="clear" w:fill="E8EDF3"/>
          </w:tcPr>
          <w:p>
            <w:r/>
            <w:r>
              <w:rPr>
                <w:b/>
                <w:color w:val="1F3654"/>
                <w:sz w:val="16"/>
              </w:rPr>
              <w:t>Elec</w:t>
            </w:r>
          </w:p>
        </w:tc>
        <w:tc>
          <w:tcPr>
            <w:tcW w:type="dxa" w:w="964"/>
            <w:shd w:val="clear" w:fill="E8EDF3"/>
          </w:tcPr>
          <w:p>
            <w:r/>
            <w:r>
              <w:rPr>
                <w:b/>
                <w:color w:val="1F3654"/>
                <w:sz w:val="16"/>
              </w:rPr>
              <w:t>PH</w:t>
            </w:r>
          </w:p>
        </w:tc>
        <w:tc>
          <w:tcPr>
            <w:tcW w:type="dxa" w:w="964"/>
            <w:shd w:val="clear" w:fill="E8EDF3"/>
          </w:tcPr>
          <w:p>
            <w:r/>
            <w:r>
              <w:rPr>
                <w:b/>
                <w:color w:val="1F3654"/>
                <w:sz w:val="16"/>
              </w:rPr>
              <w:t>Fire</w:t>
            </w:r>
          </w:p>
        </w:tc>
        <w:tc>
          <w:tcPr>
            <w:tcW w:type="dxa" w:w="907"/>
            <w:shd w:val="clear" w:fill="E8EDF3"/>
          </w:tcPr>
          <w:p>
            <w:r/>
            <w:r>
              <w:rPr>
                <w:b/>
                <w:color w:val="1F3654"/>
                <w:sz w:val="16"/>
              </w:rPr>
              <w:t>LV</w:t>
            </w:r>
          </w:p>
        </w:tc>
        <w:tc>
          <w:tcPr>
            <w:tcW w:type="dxa" w:w="964"/>
            <w:shd w:val="clear" w:fill="E8EDF3"/>
          </w:tcPr>
          <w:p>
            <w:r/>
            <w:r>
              <w:rPr>
                <w:b/>
                <w:color w:val="1F3654"/>
                <w:sz w:val="16"/>
              </w:rPr>
              <w:t>Civil</w:t>
            </w:r>
          </w:p>
        </w:tc>
      </w:tr>
      <w:tr>
        <w:tc>
          <w:tcPr>
            <w:tcW w:type="dxa" w:w="1928"/>
          </w:tcPr>
          <w:p>
            <w:pPr>
              <w:spacing w:after="40"/>
            </w:pPr>
            <w:r>
              <w:rPr>
                <w:sz w:val="16"/>
              </w:rPr>
            </w:r>
            <w:r>
              <w:rPr>
                <w:b w:val="0"/>
                <w:sz w:val="16"/>
              </w:rPr>
              <w:t>Architecture</w:t>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G</w:t>
            </w:r>
          </w:p>
        </w:tc>
      </w:tr>
      <w:tr>
        <w:tc>
          <w:tcPr>
            <w:tcW w:type="dxa" w:w="1928"/>
          </w:tcPr>
          <w:p>
            <w:pPr>
              <w:spacing w:after="40"/>
            </w:pPr>
            <w:r>
              <w:rPr>
                <w:sz w:val="16"/>
              </w:rPr>
            </w:r>
            <w:r>
              <w:rPr>
                <w:b w:val="0"/>
                <w:sz w:val="16"/>
              </w:rPr>
              <w:t>Structure</w:t>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Mechanical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Electrical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Public health</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Fire protection</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Low voltage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Civil and site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p>
        </w:tc>
        <w:tc>
          <w:tcPr>
            <w:tcW w:type="dxa" w:w="964"/>
          </w:tcPr>
          <w:p>
            <w:pPr>
              <w:spacing w:after="40"/>
            </w:pPr>
            <w:r>
              <w:rPr>
                <w:sz w:val="16"/>
              </w:rPr>
            </w:r>
            <w:r>
              <w:rPr>
                <w:b w:val="0"/>
                <w:sz w:val="16"/>
              </w:rPr>
              <w:t>–</w:t>
            </w:r>
          </w:p>
        </w:tc>
      </w:tr>
    </w:tbl>
    <w:p>
      <w:r>
        <w:rPr>
          <w:i/>
          <w:color w:val="7A7A7A"/>
          <w:sz w:val="16"/>
        </w:rPr>
        <w:t>Proposed. [CONFIRM] at the mobilisation coordination workshop — the disciplines decide what is worth testing, not the Information Manager.</w:t>
      </w:r>
    </w:p>
    <w:p>
      <w:pPr>
        <w:spacing w:after="40"/>
      </w:pPr>
    </w:p>
    <w:p>
      <w:pPr>
        <w:pStyle w:val="Heading3"/>
      </w:pPr>
      <w:r>
        <w:t>7.3.2  Clearances and tolerances</w:t>
      </w:r>
    </w:p>
    <w:p>
      <w:r>
        <w:rPr>
          <w:b w:val="0"/>
          <w:i w:val="0"/>
        </w:rPr>
        <w:t>Clash detection needs two numbers per interface: the overlap that counts as a hard clash, and the clear space that must exist even where nothing collides. The second is the one that protects maintainability, and geometry alone will never reveal it.</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6"/>
              </w:rPr>
              <w:t>Interface</w:t>
            </w:r>
          </w:p>
        </w:tc>
        <w:tc>
          <w:tcPr>
            <w:tcW w:type="dxa" w:w="1928"/>
            <w:shd w:val="clear" w:fill="E8EDF3"/>
          </w:tcPr>
          <w:p>
            <w:r/>
            <w:r>
              <w:rPr>
                <w:b/>
                <w:color w:val="1F3654"/>
                <w:sz w:val="16"/>
              </w:rPr>
              <w:t>Hard clash tolerance</w:t>
            </w:r>
          </w:p>
        </w:tc>
        <w:tc>
          <w:tcPr>
            <w:tcW w:type="dxa" w:w="2494"/>
            <w:shd w:val="clear" w:fill="E8EDF3"/>
          </w:tcPr>
          <w:p>
            <w:r/>
            <w:r>
              <w:rPr>
                <w:b/>
                <w:color w:val="1F3654"/>
                <w:sz w:val="16"/>
              </w:rPr>
              <w:t>Required clearance</w:t>
            </w:r>
          </w:p>
        </w:tc>
        <w:tc>
          <w:tcPr>
            <w:tcW w:type="dxa" w:w="2154"/>
            <w:shd w:val="clear" w:fill="E8EDF3"/>
          </w:tcPr>
          <w:p>
            <w:r/>
            <w:r>
              <w:rPr>
                <w:b/>
                <w:color w:val="1F3654"/>
                <w:sz w:val="16"/>
              </w:rPr>
              <w:t>Set by</w:t>
            </w:r>
          </w:p>
        </w:tc>
      </w:tr>
      <w:tr>
        <w:tc>
          <w:tcPr>
            <w:tcW w:type="dxa" w:w="2835"/>
          </w:tcPr>
          <w:p>
            <w:pPr>
              <w:spacing w:after="40"/>
            </w:pPr>
            <w:r>
              <w:rPr>
                <w:sz w:val="16"/>
              </w:rPr>
            </w:r>
            <w:r>
              <w:rPr>
                <w:b w:val="0"/>
                <w:sz w:val="16"/>
              </w:rPr>
              <w:t>Structure to MEP</w:t>
            </w:r>
          </w:p>
        </w:tc>
        <w:tc>
          <w:tcPr>
            <w:tcW w:type="dxa" w:w="1928"/>
          </w:tcPr>
          <w:p>
            <w:pPr>
              <w:spacing w:after="40"/>
            </w:pPr>
            <w:r>
              <w:rPr>
                <w:sz w:val="16"/>
              </w:rPr>
            </w:r>
            <w:r>
              <w:rPr>
                <w:b w:val="0"/>
                <w:sz w:val="16"/>
              </w:rPr>
              <w:t>[FILL — typically 0 mm]</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and MEP leads</w:t>
            </w:r>
          </w:p>
        </w:tc>
      </w:tr>
      <w:tr>
        <w:tc>
          <w:tcPr>
            <w:tcW w:type="dxa" w:w="2835"/>
          </w:tcPr>
          <w:p>
            <w:pPr>
              <w:spacing w:after="40"/>
            </w:pPr>
            <w:r>
              <w:rPr>
                <w:sz w:val="16"/>
              </w:rPr>
            </w:r>
            <w:r>
              <w:rPr>
                <w:b w:val="0"/>
                <w:sz w:val="16"/>
              </w:rPr>
              <w:t>MEP to MEP</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MEP to architecture (ceiling void, risers)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Architecture and MEP leads</w:t>
            </w:r>
          </w:p>
        </w:tc>
      </w:tr>
      <w:tr>
        <w:tc>
          <w:tcPr>
            <w:tcW w:type="dxa" w:w="2835"/>
          </w:tcPr>
          <w:p>
            <w:pPr>
              <w:spacing w:after="40"/>
            </w:pPr>
            <w:r>
              <w:rPr>
                <w:sz w:val="16"/>
              </w:rPr>
            </w:r>
            <w:r>
              <w:rPr>
                <w:b w:val="0"/>
                <w:sz w:val="16"/>
              </w:rPr>
              <w:t>Maintenance access to plant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 — manufacturer requirement, with a stated minimum]</w:t>
            </w:r>
          </w:p>
        </w:tc>
        <w:tc>
          <w:tcPr>
            <w:tcW w:type="dxa" w:w="2154"/>
          </w:tcPr>
          <w:p>
            <w:pPr>
              <w:spacing w:after="40"/>
            </w:pPr>
            <w:r>
              <w:rPr>
                <w:sz w:val="16"/>
              </w:rPr>
            </w:r>
            <w:r>
              <w:rPr>
                <w:b w:val="0"/>
                <w:sz w:val="16"/>
              </w:rPr>
              <w:t>MEP lead, against manufacturer data</w:t>
            </w:r>
          </w:p>
        </w:tc>
      </w:tr>
      <w:tr>
        <w:tc>
          <w:tcPr>
            <w:tcW w:type="dxa" w:w="2835"/>
          </w:tcPr>
          <w:p>
            <w:pPr>
              <w:spacing w:after="40"/>
            </w:pPr>
            <w:r>
              <w:rPr>
                <w:sz w:val="16"/>
              </w:rPr>
            </w:r>
            <w:r>
              <w:rPr>
                <w:b w:val="0"/>
                <w:sz w:val="16"/>
              </w:rPr>
              <w:t>Access for replacement (largest removable part)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Fire compartment penetrations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Fire and MEP leads</w:t>
            </w:r>
          </w:p>
        </w:tc>
      </w:tr>
      <w:tr>
        <w:tc>
          <w:tcPr>
            <w:tcW w:type="dxa" w:w="2835"/>
          </w:tcPr>
          <w:p>
            <w:pPr>
              <w:spacing w:after="40"/>
            </w:pPr>
            <w:r>
              <w:rPr>
                <w:sz w:val="16"/>
              </w:rPr>
            </w:r>
            <w:r>
              <w:rPr>
                <w:b w:val="0"/>
                <w:sz w:val="16"/>
              </w:rPr>
              <w:t>Structural zone reserved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lead</w:t>
            </w:r>
          </w:p>
        </w:tc>
      </w:tr>
      <w:tr>
        <w:tc>
          <w:tcPr>
            <w:tcW w:type="dxa" w:w="2835"/>
          </w:tcPr>
          <w:p>
            <w:pPr>
              <w:spacing w:after="40"/>
            </w:pPr>
            <w:r>
              <w:rPr>
                <w:sz w:val="16"/>
              </w:rPr>
            </w:r>
            <w:r>
              <w:rPr>
                <w:b w:val="0"/>
                <w:sz w:val="16"/>
              </w:rPr>
              <w:t>Services zoning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Per the agreed services zoning drawing [FILL — reference]</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Site services to structures and trees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Civil lead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REQUIRED BEFORE STAGE 2.2</w:t>
            </w:r>
          </w:p>
          <w:p>
            <w:r>
              <w:rPr>
                <w:b/>
                <w:sz w:val="19"/>
              </w:rPr>
              <w:t>Open item, with a deadline.</w:t>
            </w:r>
            <w:r>
              <w:rPr>
                <w:b w:val="0"/>
                <w:sz w:val="19"/>
              </w:rPr>
              <w:t xml:space="preserve"> These are engineering judgements with cost consequences — too tight and the building cannot be maintained, too generous and ceiling void and floor-to-floor height are lost. They must be agreed before the first coordination cycle of Stage 2.2. Until they are, the clash run reports geometric collisions only and nothing about access or maintainability is being checked at all.</w:t>
            </w:r>
          </w:p>
        </w:tc>
      </w:tr>
    </w:tbl>
    <w:p>
      <w:pPr>
        <w:spacing w:after="40"/>
      </w:pPr>
    </w:p>
    <w:p>
      <w:pPr>
        <w:pStyle w:val="Heading2"/>
      </w:pPr>
      <w:r>
        <w:t>7.4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pPr>
        <w:pStyle w:val="Heading2"/>
      </w:pPr>
      <w:r>
        <w:t>8.1  Information classification and access</w:t>
      </w:r>
    </w:p>
    <w:p>
      <w:r>
        <w:rPr>
          <w:b w:val="0"/>
          <w:i w:val="0"/>
        </w:rPr>
        <w:t>Not all project information carries the same sensitivity. Classify it once, and let the classification drive access rather than deciding case by case.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Classification</w:t>
            </w:r>
          </w:p>
        </w:tc>
        <w:tc>
          <w:tcPr>
            <w:tcW w:type="dxa" w:w="2835"/>
            <w:shd w:val="clear" w:fill="E8EDF3"/>
          </w:tcPr>
          <w:p>
            <w:r/>
            <w:r>
              <w:rPr>
                <w:b/>
                <w:color w:val="1F3654"/>
                <w:sz w:val="16"/>
              </w:rPr>
              <w:t>Examples</w:t>
            </w:r>
          </w:p>
        </w:tc>
        <w:tc>
          <w:tcPr>
            <w:tcW w:type="dxa" w:w="2268"/>
            <w:shd w:val="clear" w:fill="E8EDF3"/>
          </w:tcPr>
          <w:p>
            <w:r/>
            <w:r>
              <w:rPr>
                <w:b/>
                <w:color w:val="1F3654"/>
                <w:sz w:val="16"/>
              </w:rPr>
              <w:t>Who may access</w:t>
            </w:r>
          </w:p>
        </w:tc>
        <w:tc>
          <w:tcPr>
            <w:tcW w:type="dxa" w:w="2721"/>
            <w:shd w:val="clear" w:fill="E8EDF3"/>
          </w:tcPr>
          <w:p>
            <w:r/>
            <w:r>
              <w:rPr>
                <w:b/>
                <w:color w:val="1F3654"/>
                <w:sz w:val="16"/>
              </w:rPr>
              <w:t>Handling</w:t>
            </w:r>
          </w:p>
        </w:tc>
      </w:tr>
      <w:tr>
        <w:tc>
          <w:tcPr>
            <w:tcW w:type="dxa" w:w="1587"/>
          </w:tcPr>
          <w:p>
            <w:pPr>
              <w:spacing w:after="40"/>
            </w:pPr>
            <w:r>
              <w:rPr>
                <w:sz w:val="16"/>
              </w:rPr>
            </w:r>
            <w:r>
              <w:rPr>
                <w:b w:val="0"/>
                <w:sz w:val="16"/>
              </w:rPr>
              <w:t>Open</w:t>
            </w:r>
          </w:p>
        </w:tc>
        <w:tc>
          <w:tcPr>
            <w:tcW w:type="dxa" w:w="2835"/>
          </w:tcPr>
          <w:p>
            <w:pPr>
              <w:spacing w:after="40"/>
            </w:pPr>
            <w:r>
              <w:rPr>
                <w:sz w:val="16"/>
              </w:rPr>
            </w:r>
            <w:r>
              <w:rPr>
                <w:b w:val="0"/>
                <w:sz w:val="16"/>
              </w:rPr>
              <w:t>General arrangement drawings, room schedules</w:t>
            </w:r>
          </w:p>
        </w:tc>
        <w:tc>
          <w:tcPr>
            <w:tcW w:type="dxa" w:w="2268"/>
          </w:tcPr>
          <w:p>
            <w:pPr>
              <w:spacing w:after="40"/>
            </w:pPr>
            <w:r>
              <w:rPr>
                <w:sz w:val="16"/>
              </w:rPr>
            </w:r>
            <w:r>
              <w:rPr>
                <w:b w:val="0"/>
                <w:sz w:val="16"/>
              </w:rPr>
              <w:t>All appointed parties</w:t>
            </w:r>
          </w:p>
        </w:tc>
        <w:tc>
          <w:tcPr>
            <w:tcW w:type="dxa" w:w="2721"/>
          </w:tcPr>
          <w:p>
            <w:pPr>
              <w:spacing w:after="40"/>
            </w:pPr>
            <w:r>
              <w:rPr>
                <w:sz w:val="16"/>
              </w:rPr>
            </w:r>
            <w:r>
              <w:rPr>
                <w:b w:val="0"/>
                <w:sz w:val="16"/>
              </w:rPr>
              <w:t>Normal CDE handling</w:t>
            </w:r>
          </w:p>
        </w:tc>
      </w:tr>
      <w:tr>
        <w:tc>
          <w:tcPr>
            <w:tcW w:type="dxa" w:w="1587"/>
          </w:tcPr>
          <w:p>
            <w:pPr>
              <w:spacing w:after="40"/>
            </w:pPr>
            <w:r>
              <w:rPr>
                <w:sz w:val="16"/>
              </w:rPr>
            </w:r>
            <w:r>
              <w:rPr>
                <w:b w:val="0"/>
                <w:sz w:val="16"/>
              </w:rPr>
              <w:t>Restricted</w:t>
            </w:r>
          </w:p>
        </w:tc>
        <w:tc>
          <w:tcPr>
            <w:tcW w:type="dxa" w:w="2835"/>
          </w:tcPr>
          <w:p>
            <w:pPr>
              <w:spacing w:after="40"/>
            </w:pPr>
            <w:r>
              <w:rPr>
                <w:sz w:val="16"/>
              </w:rPr>
            </w:r>
            <w:r>
              <w:rPr>
                <w:b w:val="0"/>
                <w:sz w:val="16"/>
              </w:rPr>
              <w:t>Security system layouts, access control, CCTV coverage, alarm zoning</w:t>
            </w:r>
          </w:p>
        </w:tc>
        <w:tc>
          <w:tcPr>
            <w:tcW w:type="dxa" w:w="2268"/>
          </w:tcPr>
          <w:p>
            <w:pPr>
              <w:spacing w:after="40"/>
            </w:pPr>
            <w:r>
              <w:rPr>
                <w:sz w:val="16"/>
              </w:rPr>
            </w:r>
            <w:r>
              <w:rPr>
                <w:b w:val="0"/>
                <w:sz w:val="16"/>
              </w:rPr>
              <w:t>[FILL — named individuals only]</w:t>
            </w:r>
          </w:p>
        </w:tc>
        <w:tc>
          <w:tcPr>
            <w:tcW w:type="dxa" w:w="2721"/>
          </w:tcPr>
          <w:p>
            <w:pPr>
              <w:spacing w:after="40"/>
            </w:pPr>
            <w:r>
              <w:rPr>
                <w:sz w:val="16"/>
              </w:rPr>
            </w:r>
            <w:r>
              <w:rPr>
                <w:b w:val="0"/>
                <w:sz w:val="16"/>
              </w:rPr>
              <w:t>Separate CDE folder with explicit permissions; not included in the general federated model</w:t>
            </w:r>
          </w:p>
        </w:tc>
      </w:tr>
      <w:tr>
        <w:tc>
          <w:tcPr>
            <w:tcW w:type="dxa" w:w="1587"/>
          </w:tcPr>
          <w:p>
            <w:pPr>
              <w:spacing w:after="40"/>
            </w:pPr>
            <w:r>
              <w:rPr>
                <w:sz w:val="16"/>
              </w:rPr>
            </w:r>
            <w:r>
              <w:rPr>
                <w:b w:val="0"/>
                <w:sz w:val="16"/>
              </w:rPr>
              <w:t>Confidential</w:t>
            </w:r>
          </w:p>
        </w:tc>
        <w:tc>
          <w:tcPr>
            <w:tcW w:type="dxa" w:w="2835"/>
          </w:tcPr>
          <w:p>
            <w:pPr>
              <w:spacing w:after="40"/>
            </w:pPr>
            <w:r>
              <w:rPr>
                <w:sz w:val="16"/>
              </w:rPr>
            </w:r>
            <w:r>
              <w:rPr>
                <w:b w:val="0"/>
                <w:sz w:val="16"/>
              </w:rPr>
              <w:t>[FILL — identify: sacred or ritual spaces, and any area the Appointing Party designates]</w:t>
            </w:r>
          </w:p>
        </w:tc>
        <w:tc>
          <w:tcPr>
            <w:tcW w:type="dxa" w:w="2268"/>
          </w:tcPr>
          <w:p>
            <w:pPr>
              <w:spacing w:after="40"/>
            </w:pPr>
            <w:r>
              <w:rPr>
                <w:sz w:val="16"/>
              </w:rPr>
            </w:r>
            <w:r>
              <w:rPr>
                <w:b w:val="0"/>
                <w:sz w:val="16"/>
              </w:rPr>
              <w:t>[FILL]</w:t>
            </w:r>
          </w:p>
        </w:tc>
        <w:tc>
          <w:tcPr>
            <w:tcW w:type="dxa" w:w="2721"/>
          </w:tcPr>
          <w:p>
            <w:pPr>
              <w:spacing w:after="40"/>
            </w:pPr>
            <w:r>
              <w:rPr>
                <w:sz w:val="16"/>
              </w:rPr>
            </w:r>
            <w:r>
              <w:rPr>
                <w:b w:val="0"/>
                <w:sz w:val="16"/>
              </w:rPr>
              <w:t>[FILL — state whether these are modelled at all, and by whom]</w:t>
            </w:r>
          </w:p>
        </w:tc>
      </w:tr>
      <w:tr>
        <w:tc>
          <w:tcPr>
            <w:tcW w:type="dxa" w:w="1587"/>
          </w:tcPr>
          <w:p>
            <w:pPr>
              <w:spacing w:after="40"/>
            </w:pPr>
            <w:r>
              <w:rPr>
                <w:sz w:val="16"/>
              </w:rPr>
            </w:r>
            <w:r>
              <w:rPr>
                <w:b w:val="0"/>
                <w:sz w:val="16"/>
              </w:rPr>
              <w:t>Personal data</w:t>
            </w:r>
          </w:p>
        </w:tc>
        <w:tc>
          <w:tcPr>
            <w:tcW w:type="dxa" w:w="2835"/>
          </w:tcPr>
          <w:p>
            <w:pPr>
              <w:spacing w:after="40"/>
            </w:pPr>
            <w:r>
              <w:rPr>
                <w:sz w:val="16"/>
              </w:rPr>
            </w:r>
            <w:r>
              <w:rPr>
                <w:b w:val="0"/>
                <w:sz w:val="16"/>
              </w:rPr>
              <w:t>Team contact details, site personnel records</w:t>
            </w:r>
          </w:p>
        </w:tc>
        <w:tc>
          <w:tcPr>
            <w:tcW w:type="dxa" w:w="2268"/>
          </w:tcPr>
          <w:p>
            <w:pPr>
              <w:spacing w:after="40"/>
            </w:pPr>
            <w:r>
              <w:rPr>
                <w:sz w:val="16"/>
              </w:rPr>
            </w:r>
            <w:r>
              <w:rPr>
                <w:b w:val="0"/>
                <w:sz w:val="16"/>
              </w:rPr>
              <w:t>Information Manager and Lead Appointed Party</w:t>
            </w:r>
          </w:p>
        </w:tc>
        <w:tc>
          <w:tcPr>
            <w:tcW w:type="dxa" w:w="2721"/>
          </w:tcPr>
          <w:p>
            <w:pPr>
              <w:spacing w:after="40"/>
            </w:pPr>
            <w:r>
              <w:rPr>
                <w:sz w:val="16"/>
              </w:rPr>
            </w:r>
            <w:r>
              <w:rPr>
                <w:b w:val="0"/>
                <w:sz w:val="16"/>
              </w:rPr>
              <w:t>Not published; retained only as long as needed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TO BE ESTABLISHED BEFORE MODELLING</w:t>
            </w:r>
          </w:p>
          <w:p>
            <w:r>
              <w:rPr>
                <w:b/>
                <w:sz w:val="19"/>
              </w:rPr>
              <w:t>A temple carries sensitivities beyond the usual.</w:t>
            </w:r>
            <w:r>
              <w:rPr>
                <w:b w:val="0"/>
                <w:sz w:val="19"/>
              </w:rPr>
              <w:t xml:space="preserve"> The Appointing Party must state which spaces and systems are restricted before modelling begins, because retrofitting a restriction to information already federated and shared is not achievable. This is an [FILL] that should be closed at the first Appointing Party meeting.</w:t>
            </w:r>
          </w:p>
        </w:tc>
      </w:tr>
    </w:tbl>
    <w:p>
      <w:pPr>
        <w:spacing w:after="40"/>
      </w:pPr>
    </w:p>
    <w:p>
      <w:pPr>
        <w:pStyle w:val="Heading2"/>
      </w:pPr>
      <w:r>
        <w:t>8.2  Publication and personal use</w:t>
      </w:r>
    </w:p>
    <w:p>
      <w:pPr>
        <w:spacing w:after="60"/>
        <w:ind w:left="340"/>
      </w:pPr>
      <w:r>
        <w:rPr>
          <w:b/>
        </w:rPr>
        <w:t xml:space="preserve">• </w:t>
      </w:r>
      <w:r>
        <w:rPr>
          <w:b w:val="0"/>
        </w:rPr>
        <w:t>Project information — including images, plans, renders and visualisations — must not be published, circulated outside the project, or used in promotional or portfolio material without the written permission of the Appointing Party.</w:t>
      </w:r>
    </w:p>
    <w:p>
      <w:pPr>
        <w:spacing w:after="60"/>
        <w:ind w:left="340"/>
      </w:pPr>
      <w:r>
        <w:rPr>
          <w:b/>
        </w:rPr>
        <w:t xml:space="preserve">• </w:t>
      </w:r>
      <w:r>
        <w:rPr>
          <w:b w:val="0"/>
        </w:rPr>
        <w:t>This applies during and after the appointment, and to individuals as well as organisations.</w:t>
      </w:r>
    </w:p>
    <w:p>
      <w:pPr>
        <w:spacing w:after="60"/>
        <w:ind w:left="340"/>
      </w:pPr>
      <w:r>
        <w:rPr>
          <w:b/>
        </w:rPr>
        <w:t xml:space="preserve">• </w:t>
      </w:r>
      <w:r>
        <w:rPr>
          <w:b w:val="0"/>
        </w:rPr>
        <w:t>Site photography is [FILL — permitted / restricted / prohibited], per the Appointing Party.</w:t>
      </w:r>
    </w:p>
    <w:p>
      <w:pPr>
        <w:spacing w:after="60"/>
        <w:ind w:left="340"/>
      </w:pPr>
      <w:r>
        <w:rPr>
          <w:b/>
        </w:rPr>
        <w:t xml:space="preserve">• </w:t>
      </w:r>
      <w:r>
        <w:rPr>
          <w:b w:val="0"/>
        </w:rPr>
        <w:t>Breaches are reported to the Lead Appointed Party within [FILL] hours of discovery.</w:t>
      </w: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issue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M40 to M43</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M45</w:t>
            </w:r>
          </w:p>
        </w:tc>
      </w:tr>
    </w:tbl>
    <w:p>
      <w:pPr>
        <w:spacing w:after="40"/>
      </w:pP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10.4</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Model health thresholds</w:t>
      </w:r>
    </w:p>
    <w:p>
      <w:r>
        <w:rPr>
          <w:b w:val="0"/>
          <w:i w:val="0"/>
        </w:rPr>
        <w:t>"Within tolerance" means nothing without numbers. These are the thresholds a model is measured against at each share; a model outside them is not rejected automatically, but the exceedance is reported and the Task Team Manager states the remedy.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6"/>
              </w:rPr>
              <w:t>Metric</w:t>
            </w:r>
          </w:p>
        </w:tc>
        <w:tc>
          <w:tcPr>
            <w:tcW w:type="dxa" w:w="3742"/>
            <w:shd w:val="clear" w:fill="E8EDF3"/>
          </w:tcPr>
          <w:p>
            <w:r/>
            <w:r>
              <w:rPr>
                <w:b/>
                <w:color w:val="1F3654"/>
                <w:sz w:val="16"/>
              </w:rPr>
              <w:t>Threshold</w:t>
            </w:r>
          </w:p>
        </w:tc>
        <w:tc>
          <w:tcPr>
            <w:tcW w:type="dxa" w:w="2494"/>
            <w:shd w:val="clear" w:fill="E8EDF3"/>
          </w:tcPr>
          <w:p>
            <w:r/>
            <w:r>
              <w:rPr>
                <w:b/>
                <w:color w:val="1F3654"/>
                <w:sz w:val="16"/>
              </w:rPr>
              <w:t>Measured</w:t>
            </w:r>
          </w:p>
        </w:tc>
      </w:tr>
      <w:tr>
        <w:tc>
          <w:tcPr>
            <w:tcW w:type="dxa" w:w="3175"/>
          </w:tcPr>
          <w:p>
            <w:pPr>
              <w:spacing w:after="40"/>
            </w:pPr>
            <w:r>
              <w:rPr>
                <w:sz w:val="16"/>
              </w:rPr>
            </w:r>
            <w:r>
              <w:rPr>
                <w:b w:val="0"/>
                <w:sz w:val="16"/>
              </w:rPr>
              <w:t>File size</w:t>
            </w:r>
          </w:p>
        </w:tc>
        <w:tc>
          <w:tcPr>
            <w:tcW w:type="dxa" w:w="3742"/>
          </w:tcPr>
          <w:p>
            <w:pPr>
              <w:spacing w:after="40"/>
            </w:pPr>
            <w:r>
              <w:rPr>
                <w:sz w:val="16"/>
              </w:rPr>
            </w:r>
            <w:r>
              <w:rPr>
                <w:b w:val="0"/>
                <w:sz w:val="16"/>
              </w:rPr>
              <w:t>[FILL — working ceiling, typically 300 MB]</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total</w:t>
            </w:r>
          </w:p>
        </w:tc>
        <w:tc>
          <w:tcPr>
            <w:tcW w:type="dxa" w:w="3742"/>
          </w:tcPr>
          <w:p>
            <w:pPr>
              <w:spacing w:after="40"/>
            </w:pPr>
            <w:r>
              <w:rPr>
                <w:sz w:val="16"/>
              </w:rPr>
            </w:r>
            <w:r>
              <w:rPr>
                <w:b w:val="0"/>
                <w:sz w:val="16"/>
              </w:rPr>
              <w:t>[FILL — typically 500]</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critical</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 enforced at gates</w:t>
            </w:r>
          </w:p>
        </w:tc>
      </w:tr>
      <w:tr>
        <w:tc>
          <w:tcPr>
            <w:tcW w:type="dxa" w:w="3175"/>
          </w:tcPr>
          <w:p>
            <w:pPr>
              <w:spacing w:after="40"/>
            </w:pPr>
            <w:r>
              <w:rPr>
                <w:sz w:val="16"/>
              </w:rPr>
            </w:r>
            <w:r>
              <w:rPr>
                <w:b w:val="0"/>
                <w:sz w:val="16"/>
              </w:rPr>
              <w:t>Unplaced rooms</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Rooms not enclosed / redundant</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Duplicate elements in the same place</w:t>
            </w:r>
          </w:p>
        </w:tc>
        <w:tc>
          <w:tcPr>
            <w:tcW w:type="dxa" w:w="3742"/>
          </w:tcPr>
          <w:p>
            <w:pPr>
              <w:spacing w:after="40"/>
            </w:pPr>
            <w:r>
              <w:rPr>
                <w:sz w:val="16"/>
              </w:rPr>
            </w:r>
            <w:r>
              <w:rPr>
                <w:b w:val="0"/>
                <w:sz w:val="16"/>
              </w:rPr>
              <w:t>0</w:t>
            </w:r>
          </w:p>
        </w:tc>
        <w:tc>
          <w:tcPr>
            <w:tcW w:type="dxa" w:w="2494"/>
          </w:tcPr>
          <w:p>
            <w:pPr>
              <w:spacing w:after="40"/>
            </w:pPr>
            <w:r>
              <w:rPr>
                <w:sz w:val="16"/>
              </w:rPr>
            </w:r>
            <w:r>
              <w:rPr>
                <w:b w:val="0"/>
                <w:sz w:val="16"/>
              </w:rPr>
              <w:t>Every cycle</w:t>
            </w:r>
          </w:p>
        </w:tc>
      </w:tr>
      <w:tr>
        <w:tc>
          <w:tcPr>
            <w:tcW w:type="dxa" w:w="3175"/>
          </w:tcPr>
          <w:p>
            <w:pPr>
              <w:spacing w:after="40"/>
            </w:pPr>
            <w:r>
              <w:rPr>
                <w:sz w:val="16"/>
              </w:rPr>
            </w:r>
            <w:r>
              <w:rPr>
                <w:b w:val="0"/>
                <w:sz w:val="16"/>
              </w:rPr>
              <w:t>Elements outside the model extents</w:t>
            </w:r>
          </w:p>
        </w:tc>
        <w:tc>
          <w:tcPr>
            <w:tcW w:type="dxa" w:w="3742"/>
          </w:tcPr>
          <w:p>
            <w:pPr>
              <w:spacing w:after="40"/>
            </w:pPr>
            <w:r>
              <w:rPr>
                <w:sz w:val="16"/>
              </w:rPr>
            </w:r>
            <w:r>
              <w:rPr>
                <w:b w:val="0"/>
                <w:sz w:val="16"/>
              </w:rPr>
              <w:t>0 — a stray element inflates extents and slows every open</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In-place families</w:t>
            </w:r>
          </w:p>
        </w:tc>
        <w:tc>
          <w:tcPr>
            <w:tcW w:type="dxa" w:w="3742"/>
          </w:tcPr>
          <w:p>
            <w:pPr>
              <w:spacing w:after="40"/>
            </w:pPr>
            <w:r>
              <w:rPr>
                <w:sz w:val="16"/>
              </w:rPr>
            </w:r>
            <w:r>
              <w:rPr>
                <w:b w:val="0"/>
                <w:sz w:val="16"/>
              </w:rPr>
              <w:t>[FILL — a stated maximum; they do not schedule reliably]</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Imported CAD instances in the model</w:t>
            </w:r>
          </w:p>
        </w:tc>
        <w:tc>
          <w:tcPr>
            <w:tcW w:type="dxa" w:w="3742"/>
          </w:tcPr>
          <w:p>
            <w:pPr>
              <w:spacing w:after="40"/>
            </w:pPr>
            <w:r>
              <w:rPr>
                <w:sz w:val="16"/>
              </w:rPr>
            </w:r>
            <w:r>
              <w:rPr>
                <w:b w:val="0"/>
                <w:sz w:val="16"/>
              </w:rPr>
              <w:t>0 in a shared model; underlays are linked, not imported</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Unused / unpurged content</w:t>
            </w:r>
          </w:p>
        </w:tc>
        <w:tc>
          <w:tcPr>
            <w:tcW w:type="dxa" w:w="3742"/>
          </w:tcPr>
          <w:p>
            <w:pPr>
              <w:spacing w:after="40"/>
            </w:pPr>
            <w:r>
              <w:rPr>
                <w:sz w:val="16"/>
              </w:rPr>
            </w:r>
            <w:r>
              <w:rPr>
                <w:b w:val="0"/>
                <w:sz w:val="16"/>
              </w:rPr>
              <w:t>Purged before every share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Model open time</w:t>
            </w:r>
          </w:p>
        </w:tc>
        <w:tc>
          <w:tcPr>
            <w:tcW w:type="dxa" w:w="3742"/>
          </w:tcPr>
          <w:p>
            <w:pPr>
              <w:spacing w:after="40"/>
            </w:pPr>
            <w:r>
              <w:rPr>
                <w:sz w:val="16"/>
              </w:rPr>
            </w:r>
            <w:r>
              <w:rPr>
                <w:b w:val="0"/>
                <w:sz w:val="16"/>
              </w:rPr>
              <w:t>[FILL — a stated ceiling, as an early warning of a model becoming unworkable]</w:t>
            </w:r>
          </w:p>
        </w:tc>
        <w:tc>
          <w:tcPr>
            <w:tcW w:type="dxa" w:w="2494"/>
          </w:tcPr>
          <w:p>
            <w:pPr>
              <w:spacing w:after="40"/>
            </w:pPr>
            <w:r>
              <w:rPr>
                <w:sz w:val="16"/>
              </w:rPr>
            </w:r>
            <w:r>
              <w:rPr>
                <w:b w:val="0"/>
                <w:sz w:val="16"/>
              </w:rPr>
              <w:t>Monthly</w:t>
            </w:r>
          </w:p>
        </w:tc>
      </w:tr>
      <w:tr>
        <w:tc>
          <w:tcPr>
            <w:tcW w:type="dxa" w:w="3175"/>
          </w:tcPr>
          <w:p>
            <w:pPr>
              <w:spacing w:after="40"/>
            </w:pPr>
            <w:r>
              <w:rPr>
                <w:sz w:val="16"/>
              </w:rPr>
            </w:r>
            <w:r>
              <w:rPr>
                <w:b w:val="0"/>
                <w:sz w:val="16"/>
              </w:rPr>
              <w:t>Workset count and naming</w:t>
            </w:r>
          </w:p>
        </w:tc>
        <w:tc>
          <w:tcPr>
            <w:tcW w:type="dxa" w:w="3742"/>
          </w:tcPr>
          <w:p>
            <w:pPr>
              <w:spacing w:after="40"/>
            </w:pPr>
            <w:r>
              <w:rPr>
                <w:sz w:val="16"/>
              </w:rPr>
            </w:r>
            <w:r>
              <w:rPr>
                <w:b w:val="0"/>
                <w:sz w:val="16"/>
              </w:rPr>
              <w:t>Per Section 4.5</w:t>
            </w:r>
          </w:p>
        </w:tc>
        <w:tc>
          <w:tcPr>
            <w:tcW w:type="dxa" w:w="2494"/>
          </w:tcPr>
          <w:p>
            <w:pPr>
              <w:spacing w:after="40"/>
            </w:pPr>
            <w:r>
              <w:rPr>
                <w:sz w:val="16"/>
              </w:rPr>
            </w:r>
            <w:r>
              <w:rPr>
                <w:b w:val="0"/>
                <w:sz w:val="16"/>
              </w:rPr>
              <w:t>Every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THRESHOLDS ARE USED</w:t>
            </w:r>
          </w:p>
          <w:p>
            <w:r>
              <w:rPr>
                <w:b w:val="0"/>
                <w:sz w:val="19"/>
              </w:rPr>
              <w:t>Thresholds are a conversation trigger, not an automatic rejection. A model 20 per cent over the size ceiling because a volume is genuinely large is fine and stated; the same model at three times the ceiling because nothing has been purged since Deliverable A is not.</w:t>
            </w:r>
          </w:p>
        </w:tc>
      </w:tr>
    </w:tbl>
    <w:p>
      <w:pPr>
        <w:spacing w:after="40"/>
      </w:pPr>
    </w:p>
    <w:p>
      <w:pPr>
        <w:pStyle w:val="Heading2"/>
      </w:pPr>
      <w:r>
        <w:t>10.3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10.4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pPr>
        <w:pStyle w:val="Heading2"/>
      </w:pPr>
      <w:r>
        <w:t>12.1  Capability and capacity assessment</w:t>
      </w:r>
    </w:p>
    <w:p>
      <w:r>
        <w:rPr>
          <w:b w:val="0"/>
          <w:i w:val="0"/>
        </w:rPr>
        <w:t>BS EN ISO 19650-2 expects each prospective appointed party to be assessed for capability and capacity before appointment, and the assessment to be revisited when the team changes. It is recorded here so that a shortfall is addressed by training or resourcing at mobilisation rather than discovered at the first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268"/>
            <w:shd w:val="clear" w:fill="E8EDF3"/>
          </w:tcPr>
          <w:p>
            <w:r/>
            <w:r>
              <w:rPr>
                <w:b/>
                <w:color w:val="1F3654"/>
                <w:sz w:val="16"/>
              </w:rPr>
              <w:t>Assessed</w:t>
            </w:r>
          </w:p>
        </w:tc>
        <w:tc>
          <w:tcPr>
            <w:tcW w:type="dxa" w:w="3288"/>
            <w:shd w:val="clear" w:fill="E8EDF3"/>
          </w:tcPr>
          <w:p>
            <w:r/>
            <w:r>
              <w:rPr>
                <w:b/>
                <w:color w:val="1F3654"/>
                <w:sz w:val="16"/>
              </w:rPr>
              <w:t>Evidence sought</w:t>
            </w:r>
          </w:p>
        </w:tc>
        <w:tc>
          <w:tcPr>
            <w:tcW w:type="dxa" w:w="1814"/>
            <w:shd w:val="clear" w:fill="E8EDF3"/>
          </w:tcPr>
          <w:p>
            <w:r/>
            <w:r>
              <w:rPr>
                <w:b/>
                <w:color w:val="1F3654"/>
                <w:sz w:val="16"/>
              </w:rPr>
              <w:t>Party</w:t>
            </w:r>
          </w:p>
        </w:tc>
        <w:tc>
          <w:tcPr>
            <w:tcW w:type="dxa" w:w="2041"/>
            <w:shd w:val="clear" w:fill="E8EDF3"/>
          </w:tcPr>
          <w:p>
            <w:r/>
            <w:r>
              <w:rPr>
                <w:b/>
                <w:color w:val="1F3654"/>
                <w:sz w:val="16"/>
              </w:rPr>
              <w:t>Outcome</w:t>
            </w:r>
          </w:p>
        </w:tc>
      </w:tr>
      <w:tr>
        <w:tc>
          <w:tcPr>
            <w:tcW w:type="dxa" w:w="2268"/>
          </w:tcPr>
          <w:p>
            <w:pPr>
              <w:spacing w:after="40"/>
            </w:pPr>
            <w:r>
              <w:rPr>
                <w:sz w:val="16"/>
              </w:rPr>
            </w:r>
            <w:r>
              <w:rPr>
                <w:b w:val="0"/>
                <w:sz w:val="16"/>
              </w:rPr>
              <w:t>Authoring capability</w:t>
            </w:r>
          </w:p>
        </w:tc>
        <w:tc>
          <w:tcPr>
            <w:tcW w:type="dxa" w:w="3288"/>
          </w:tcPr>
          <w:p>
            <w:pPr>
              <w:spacing w:after="40"/>
            </w:pPr>
            <w:r>
              <w:rPr>
                <w:sz w:val="16"/>
              </w:rPr>
            </w:r>
            <w:r>
              <w:rPr>
                <w:b w:val="0"/>
                <w:sz w:val="16"/>
              </w:rPr>
              <w:t>Competence in the agreed software version; a sample model to the project conventions</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Capacity</w:t>
            </w:r>
          </w:p>
        </w:tc>
        <w:tc>
          <w:tcPr>
            <w:tcW w:type="dxa" w:w="3288"/>
          </w:tcPr>
          <w:p>
            <w:pPr>
              <w:spacing w:after="40"/>
            </w:pPr>
            <w:r>
              <w:rPr>
                <w:sz w:val="16"/>
              </w:rPr>
            </w:r>
            <w:r>
              <w:rPr>
                <w:b w:val="0"/>
                <w:sz w:val="16"/>
              </w:rPr>
              <w:t>Named individuals, allocated time, and cover for absence</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Information management competence</w:t>
            </w:r>
          </w:p>
        </w:tc>
        <w:tc>
          <w:tcPr>
            <w:tcW w:type="dxa" w:w="3288"/>
          </w:tcPr>
          <w:p>
            <w:pPr>
              <w:spacing w:after="40"/>
            </w:pPr>
            <w:r>
              <w:rPr>
                <w:sz w:val="16"/>
              </w:rPr>
            </w:r>
            <w:r>
              <w:rPr>
                <w:b w:val="0"/>
                <w:sz w:val="16"/>
              </w:rPr>
              <w:t>Understanding of the CDE, suitability codes and the pre-share check</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IT capability</w:t>
            </w:r>
          </w:p>
        </w:tc>
        <w:tc>
          <w:tcPr>
            <w:tcW w:type="dxa" w:w="3288"/>
          </w:tcPr>
          <w:p>
            <w:pPr>
              <w:spacing w:after="40"/>
            </w:pPr>
            <w:r>
              <w:rPr>
                <w:sz w:val="16"/>
              </w:rPr>
            </w:r>
            <w:r>
              <w:rPr>
                <w:b w:val="0"/>
                <w:sz w:val="16"/>
              </w:rPr>
              <w:t>Hardware, network and CDE access adequate for the model sizes in Section 7.2</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Security</w:t>
            </w:r>
          </w:p>
        </w:tc>
        <w:tc>
          <w:tcPr>
            <w:tcW w:type="dxa" w:w="3288"/>
          </w:tcPr>
          <w:p>
            <w:pPr>
              <w:spacing w:after="40"/>
            </w:pPr>
            <w:r>
              <w:rPr>
                <w:sz w:val="16"/>
              </w:rPr>
            </w:r>
            <w:r>
              <w:rPr>
                <w:b w:val="0"/>
                <w:sz w:val="16"/>
              </w:rPr>
              <w:t>Acceptance of the security-minded requirements in Section 8</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CAPABILITY IS ACTUALLY DEMONSTRATED</w:t>
            </w:r>
          </w:p>
          <w:p>
            <w:r>
              <w:rPr>
                <w:b w:val="0"/>
                <w:sz w:val="19"/>
              </w:rPr>
              <w:t>The Stage 0 exit gate — every appointed party produces a test model from the issued template and shares it once — is the practical form of this assessment. A party that cannot complete it has a capability or capacity gap that must be closed before Deliverable A, not during it.</w:t>
            </w:r>
          </w:p>
        </w:tc>
      </w:tr>
    </w:tbl>
    <w:p>
      <w:pPr>
        <w:spacing w:after="40"/>
      </w:pP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10.4)</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Asset data schedule</w:t>
      </w:r>
    </w:p>
    <w:p>
      <w:r>
        <w:rPr>
          <w:b w:val="0"/>
          <w:i w:val="0"/>
        </w:rPr>
        <w:t>This schedule defines the asset information to be captured during construction and delivered with the record model at Deliverable D. It is tiered by what the asset is, because a requirement applied uniformly to every element cannot be met. Requiring a serial number on each of several thousand luminaires produces a register completed to perhaps forty per cent, which the facilities team cannot rely on for any of it. A smaller requirement, met in full, is worth more than a complete one met in part.</w:t>
      </w:r>
    </w:p>
    <w:p>
      <w:r>
        <w:rPr>
          <w:b w:val="0"/>
          <w:i w:val="0"/>
        </w:rPr>
        <w:t>Capture begins at Stage 3.1 and is reported monthly. It is verified at the Deliverable D gate.</w:t>
      </w:r>
    </w:p>
    <w:p>
      <w:pPr>
        <w:pStyle w:val="Heading2"/>
      </w:pPr>
      <w:r>
        <w:t>14.1  Tiers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Tier</w:t>
            </w:r>
          </w:p>
        </w:tc>
        <w:tc>
          <w:tcPr>
            <w:tcW w:type="dxa" w:w="3515"/>
            <w:shd w:val="clear" w:fill="E8EDF3"/>
          </w:tcPr>
          <w:p>
            <w:r/>
            <w:r>
              <w:rPr>
                <w:b/>
                <w:color w:val="1F3654"/>
                <w:sz w:val="17"/>
              </w:rPr>
              <w:t>What it covers</w:t>
            </w:r>
          </w:p>
        </w:tc>
        <w:tc>
          <w:tcPr>
            <w:tcW w:type="dxa" w:w="3969"/>
            <w:shd w:val="clear" w:fill="E8EDF3"/>
          </w:tcPr>
          <w:p>
            <w:r/>
            <w:r>
              <w:rPr>
                <w:b/>
                <w:color w:val="1F3654"/>
                <w:sz w:val="17"/>
              </w:rPr>
              <w:t>Categories</w:t>
            </w:r>
          </w:p>
        </w:tc>
      </w:tr>
      <w:tr>
        <w:tc>
          <w:tcPr>
            <w:tcW w:type="dxa" w:w="1928"/>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equipment carrying a nameplate, held under a service contract or connected to the building management system</w:t>
            </w:r>
          </w:p>
        </w:tc>
        <w:tc>
          <w:tcPr>
            <w:tcW w:type="dxa" w:w="3969"/>
          </w:tcPr>
          <w:p>
            <w:pPr>
              <w:spacing w:after="40"/>
            </w:pPr>
            <w:r>
              <w:rPr>
                <w:sz w:val="17"/>
              </w:rPr>
            </w:r>
            <w:r>
              <w:rPr>
                <w:b w:val="0"/>
                <w:sz w:val="17"/>
              </w:rPr>
              <w:t>Mechanical equipment, electrical equipment, specialty equipment (including baptistry plant, audio-visual equipment and lift equipment)</w:t>
            </w:r>
          </w:p>
        </w:tc>
      </w:tr>
      <w:tr>
        <w:tc>
          <w:tcPr>
            <w:tcW w:type="dxa" w:w="1928"/>
          </w:tcPr>
          <w:p>
            <w:pPr>
              <w:spacing w:after="40"/>
            </w:pPr>
            <w:r>
              <w:rPr>
                <w:sz w:val="17"/>
              </w:rPr>
            </w:r>
            <w:r>
              <w:rPr>
                <w:b w:val="0"/>
                <w:sz w:val="17"/>
              </w:rPr>
              <w:t>B  Maintainable devices</w:t>
            </w:r>
          </w:p>
        </w:tc>
        <w:tc>
          <w:tcPr>
            <w:tcW w:type="dxa" w:w="3515"/>
          </w:tcPr>
          <w:p>
            <w:pPr>
              <w:spacing w:after="40"/>
            </w:pPr>
            <w:r>
              <w:rPr>
                <w:sz w:val="17"/>
              </w:rPr>
            </w:r>
            <w:r>
              <w:rPr>
                <w:b w:val="0"/>
                <w:sz w:val="17"/>
              </w:rPr>
              <w:t>High quantity devices with a maintenance regime but no meaningful individual serial number</w:t>
            </w:r>
          </w:p>
        </w:tc>
        <w:tc>
          <w:tcPr>
            <w:tcW w:type="dxa" w:w="3969"/>
          </w:tcPr>
          <w:p>
            <w:pPr>
              <w:spacing w:after="40"/>
            </w:pPr>
            <w:r>
              <w:rPr>
                <w:sz w:val="17"/>
              </w:rPr>
            </w:r>
            <w:r>
              <w:rPr>
                <w:b w:val="0"/>
                <w:sz w:val="17"/>
              </w:rPr>
              <w:t>Lighting fixtures, plumbing fixtures, air terminals, sprinklers, fire alarm devices, electrical fixtures</w:t>
            </w:r>
          </w:p>
        </w:tc>
      </w:tr>
      <w:tr>
        <w:tc>
          <w:tcPr>
            <w:tcW w:type="dxa" w:w="1928"/>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the Appointing Party will need to claim against</w:t>
            </w:r>
          </w:p>
        </w:tc>
        <w:tc>
          <w:tcPr>
            <w:tcW w:type="dxa" w:w="3969"/>
          </w:tcPr>
          <w:p>
            <w:pPr>
              <w:spacing w:after="40"/>
            </w:pPr>
            <w:r>
              <w:rPr>
                <w:sz w:val="17"/>
              </w:rPr>
            </w:r>
            <w:r>
              <w:rPr>
                <w:b w:val="0"/>
                <w:sz w:val="17"/>
              </w:rPr>
              <w:t>Roofs, curtain panels and mullions, doors, windows, casework and joinery</w:t>
            </w:r>
          </w:p>
        </w:tc>
      </w:tr>
      <w:tr>
        <w:tc>
          <w:tcPr>
            <w:tcW w:type="dxa" w:w="1928"/>
          </w:tcPr>
          <w:p>
            <w:pPr>
              <w:spacing w:after="40"/>
            </w:pPr>
            <w:r>
              <w:rPr>
                <w:sz w:val="17"/>
              </w:rPr>
            </w:r>
            <w:r>
              <w:rPr>
                <w:b w:val="0"/>
                <w:sz w:val="17"/>
              </w:rPr>
              <w:t>FF&amp;E</w:t>
            </w:r>
          </w:p>
        </w:tc>
        <w:tc>
          <w:tcPr>
            <w:tcW w:type="dxa" w:w="3515"/>
          </w:tcPr>
          <w:p>
            <w:pPr>
              <w:spacing w:after="40"/>
            </w:pPr>
            <w:r>
              <w:rPr>
                <w:sz w:val="17"/>
              </w:rPr>
            </w:r>
            <w:r>
              <w:rPr>
                <w:b w:val="0"/>
                <w:sz w:val="17"/>
              </w:rPr>
              <w:t>Furniture and loose equipment, reconciled to the FF&amp;E record</w:t>
            </w:r>
          </w:p>
        </w:tc>
        <w:tc>
          <w:tcPr>
            <w:tcW w:type="dxa" w:w="3969"/>
          </w:tcPr>
          <w:p>
            <w:pPr>
              <w:spacing w:after="40"/>
            </w:pPr>
            <w:r>
              <w:rPr>
                <w:sz w:val="17"/>
              </w:rPr>
            </w:r>
            <w:r>
              <w:rPr>
                <w:b w:val="0"/>
                <w:sz w:val="17"/>
              </w:rPr>
              <w:t>Furniture, furniture systems</w:t>
            </w:r>
          </w:p>
        </w:tc>
      </w:tr>
      <w:tr>
        <w:tc>
          <w:tcPr>
            <w:tcW w:type="dxa" w:w="1928"/>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3969"/>
          </w:tcPr>
          <w:p>
            <w:pPr>
              <w:spacing w:after="40"/>
            </w:pPr>
            <w:r>
              <w:rPr>
                <w:sz w:val="17"/>
              </w:rPr>
            </w:r>
            <w:r>
              <w:rPr>
                <w:b w:val="0"/>
                <w:sz w:val="17"/>
              </w:rPr>
              <w:t>Every other category</w:t>
            </w:r>
          </w:p>
        </w:tc>
      </w:tr>
    </w:tbl>
    <w:p>
      <w:pPr>
        <w:spacing w:after="40"/>
      </w:pPr>
    </w:p>
    <w:p>
      <w:pPr>
        <w:pStyle w:val="Heading2"/>
      </w:pPr>
      <w:r>
        <w:t>14.2  Data required by tier</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3515"/>
            <w:shd w:val="clear" w:fill="E8EDF3"/>
          </w:tcPr>
          <w:p>
            <w:r/>
            <w:r>
              <w:rPr>
                <w:b/>
                <w:color w:val="1F3654"/>
                <w:sz w:val="16"/>
              </w:rPr>
              <w:t>Data</w:t>
            </w:r>
          </w:p>
        </w:tc>
        <w:tc>
          <w:tcPr>
            <w:tcW w:type="dxa" w:w="1247"/>
            <w:shd w:val="clear" w:fill="E8EDF3"/>
          </w:tcPr>
          <w:p>
            <w:r/>
            <w:r>
              <w:rPr>
                <w:b/>
                <w:color w:val="1F3654"/>
                <w:sz w:val="16"/>
              </w:rPr>
              <w:t>A</w:t>
            </w:r>
          </w:p>
        </w:tc>
        <w:tc>
          <w:tcPr>
            <w:tcW w:type="dxa" w:w="2041"/>
            <w:shd w:val="clear" w:fill="E8EDF3"/>
          </w:tcPr>
          <w:p>
            <w:r/>
            <w:r>
              <w:rPr>
                <w:b/>
                <w:color w:val="1F3654"/>
                <w:sz w:val="16"/>
              </w:rPr>
              <w:t>B</w:t>
            </w:r>
          </w:p>
        </w:tc>
        <w:tc>
          <w:tcPr>
            <w:tcW w:type="dxa" w:w="1247"/>
            <w:shd w:val="clear" w:fill="E8EDF3"/>
          </w:tcPr>
          <w:p>
            <w:r/>
            <w:r>
              <w:rPr>
                <w:b/>
                <w:color w:val="1F3654"/>
                <w:sz w:val="16"/>
              </w:rPr>
              <w:t>C</w:t>
            </w:r>
          </w:p>
        </w:tc>
        <w:tc>
          <w:tcPr>
            <w:tcW w:type="dxa" w:w="907"/>
            <w:shd w:val="clear" w:fill="E8EDF3"/>
          </w:tcPr>
          <w:p>
            <w:r/>
            <w:r>
              <w:rPr>
                <w:b/>
                <w:color w:val="1F3654"/>
                <w:sz w:val="16"/>
              </w:rPr>
              <w:t>FF&amp;E</w:t>
            </w:r>
          </w:p>
        </w:tc>
        <w:tc>
          <w:tcPr>
            <w:tcW w:type="dxa" w:w="1361"/>
            <w:shd w:val="clear" w:fill="E8EDF3"/>
          </w:tcPr>
          <w:p>
            <w:r/>
            <w:r>
              <w:rPr>
                <w:b/>
                <w:color w:val="1F3654"/>
                <w:sz w:val="16"/>
              </w:rPr>
              <w:t>D</w:t>
            </w:r>
          </w:p>
        </w:tc>
      </w:tr>
      <w:tr>
        <w:tc>
          <w:tcPr>
            <w:tcW w:type="dxa" w:w="3515"/>
          </w:tcPr>
          <w:p>
            <w:pPr>
              <w:spacing w:after="40"/>
            </w:pPr>
            <w:r>
              <w:rPr>
                <w:sz w:val="16"/>
              </w:rPr>
            </w:r>
            <w:r>
              <w:rPr>
                <w:b w:val="0"/>
                <w:sz w:val="16"/>
              </w:rPr>
              <w:t>Asset identifier (the eight-field tag)</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Yes</w:t>
            </w:r>
          </w:p>
        </w:tc>
      </w:tr>
      <w:tr>
        <w:tc>
          <w:tcPr>
            <w:tcW w:type="dxa" w:w="3515"/>
          </w:tcPr>
          <w:p>
            <w:pPr>
              <w:spacing w:after="40"/>
            </w:pPr>
            <w:r>
              <w:rPr>
                <w:sz w:val="16"/>
              </w:rPr>
            </w:r>
            <w:r>
              <w:rPr>
                <w:b w:val="0"/>
                <w:sz w:val="16"/>
              </w:rPr>
              <w:t>Product code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350</w:t>
            </w:r>
          </w:p>
        </w:tc>
      </w:tr>
      <w:tr>
        <w:tc>
          <w:tcPr>
            <w:tcW w:type="dxa" w:w="3515"/>
          </w:tcPr>
          <w:p>
            <w:pPr>
              <w:spacing w:after="40"/>
            </w:pPr>
            <w:r>
              <w:rPr>
                <w:sz w:val="16"/>
              </w:rPr>
            </w:r>
            <w:r>
              <w:rPr>
                <w:b w:val="0"/>
                <w:sz w:val="16"/>
              </w:rPr>
              <w:t>Manufacturer and model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400</w:t>
            </w:r>
          </w:p>
        </w:tc>
      </w:tr>
      <w:tr>
        <w:tc>
          <w:tcPr>
            <w:tcW w:type="dxa" w:w="3515"/>
          </w:tcPr>
          <w:p>
            <w:pPr>
              <w:spacing w:after="40"/>
            </w:pPr>
            <w:r>
              <w:rPr>
                <w:sz w:val="16"/>
              </w:rPr>
            </w:r>
            <w:r>
              <w:rPr>
                <w:b w:val="0"/>
                <w:sz w:val="16"/>
              </w:rPr>
              <w:t>Unique asset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Serial number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Loop and address</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Fire alarm devices only</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Installation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Supplier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guarantor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duration</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expiry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Expected service life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Maintenance interval</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Recommended spares</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Commissioning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FF&amp;E reference</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any future maintenance actually use; a device serial number is not used by anyone once the device is installed.</w:t>
            </w:r>
          </w:p>
        </w:tc>
      </w:tr>
    </w:tbl>
    <w:p>
      <w:pPr>
        <w:spacing w:after="40"/>
      </w:pPr>
    </w:p>
    <w:p>
      <w:pPr>
        <w:pStyle w:val="Heading2"/>
      </w:pPr>
      <w:r>
        <w:t>14.3  Conventions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Date format</w:t>
            </w:r>
          </w:p>
        </w:tc>
        <w:tc>
          <w:tcPr>
            <w:tcW w:type="dxa" w:w="7143"/>
          </w:tcPr>
          <w:p>
            <w:pPr>
              <w:spacing w:after="40"/>
            </w:pPr>
            <w:r>
              <w:rPr>
                <w:sz w:val="17"/>
              </w:rPr>
            </w:r>
            <w:r>
              <w:rPr>
                <w:b w:val="0"/>
                <w:sz w:val="17"/>
              </w:rPr>
              <w:t>YYYY-MM-DD throughout. Date fields are held as text, so nothing enforces the format automatically; a mixed convention is only discovered at close-out</w:t>
            </w:r>
          </w:p>
        </w:tc>
      </w:tr>
      <w:tr>
        <w:tc>
          <w:tcPr>
            <w:tcW w:type="dxa" w:w="2268"/>
          </w:tcPr>
          <w:p>
            <w:pPr>
              <w:spacing w:after="40"/>
            </w:pPr>
            <w:r>
              <w:rPr>
                <w:sz w:val="17"/>
              </w:rPr>
            </w:r>
            <w:r>
              <w:rPr>
                <w:b w:val="0"/>
                <w:sz w:val="17"/>
              </w:rPr>
              <w:t>Warranty duration</w:t>
            </w:r>
          </w:p>
        </w:tc>
        <w:tc>
          <w:tcPr>
            <w:tcW w:type="dxa" w:w="7143"/>
          </w:tcPr>
          <w:p>
            <w:pPr>
              <w:spacing w:after="40"/>
            </w:pPr>
            <w:r>
              <w:rPr>
                <w:sz w:val="17"/>
              </w:rPr>
            </w:r>
            <w:r>
              <w:rPr>
                <w:b w:val="0"/>
                <w:sz w:val="17"/>
              </w:rPr>
              <w:t>Whole years. Where parts and labour differ, both are recorded</w:t>
            </w:r>
          </w:p>
        </w:tc>
      </w:tr>
      <w:tr>
        <w:tc>
          <w:tcPr>
            <w:tcW w:type="dxa" w:w="2268"/>
          </w:tcPr>
          <w:p>
            <w:pPr>
              <w:spacing w:after="40"/>
            </w:pPr>
            <w:r>
              <w:rPr>
                <w:sz w:val="17"/>
              </w:rPr>
            </w:r>
            <w:r>
              <w:rPr>
                <w:b w:val="0"/>
                <w:sz w:val="17"/>
              </w:rPr>
              <w:t>Warranty expiry</w:t>
            </w:r>
          </w:p>
        </w:tc>
        <w:tc>
          <w:tcPr>
            <w:tcW w:type="dxa" w:w="7143"/>
          </w:tcPr>
          <w:p>
            <w:pPr>
              <w:spacing w:after="40"/>
            </w:pPr>
            <w:r>
              <w:rPr>
                <w:sz w:val="17"/>
              </w:rPr>
            </w:r>
            <w:r>
              <w:rPr>
                <w:b w:val="0"/>
                <w:sz w:val="17"/>
              </w:rPr>
              <w:t>The date the warranty period ends. Expiry rather than start is recorded because it is the date that triggers action, and the duration is captured alongside it so the start remains derivable</w:t>
            </w:r>
          </w:p>
        </w:tc>
      </w:tr>
      <w:tr>
        <w:tc>
          <w:tcPr>
            <w:tcW w:type="dxa" w:w="2268"/>
          </w:tcPr>
          <w:p>
            <w:pPr>
              <w:spacing w:after="40"/>
            </w:pPr>
            <w:r>
              <w:rPr>
                <w:sz w:val="17"/>
              </w:rPr>
            </w:r>
            <w:r>
              <w:rPr>
                <w:b w:val="0"/>
                <w:sz w:val="17"/>
              </w:rPr>
              <w:t>Expected service life</w:t>
            </w:r>
          </w:p>
        </w:tc>
        <w:tc>
          <w:tcPr>
            <w:tcW w:type="dxa" w:w="7143"/>
          </w:tcPr>
          <w:p>
            <w:pPr>
              <w:spacing w:after="40"/>
            </w:pPr>
            <w:r>
              <w:rPr>
                <w:sz w:val="17"/>
              </w:rPr>
            </w:r>
            <w:r>
              <w:rPr>
                <w:b w:val="0"/>
                <w:sz w:val="17"/>
              </w:rPr>
              <w:t>Whole years, as stated by the manufacturer</w:t>
            </w:r>
          </w:p>
        </w:tc>
      </w:tr>
      <w:tr>
        <w:tc>
          <w:tcPr>
            <w:tcW w:type="dxa" w:w="2268"/>
          </w:tcPr>
          <w:p>
            <w:pPr>
              <w:spacing w:after="40"/>
            </w:pPr>
            <w:r>
              <w:rPr>
                <w:sz w:val="17"/>
              </w:rPr>
            </w:r>
            <w:r>
              <w:rPr>
                <w:b w:val="0"/>
                <w:sz w:val="17"/>
              </w:rPr>
              <w:t>Maintenance interval</w:t>
            </w:r>
          </w:p>
        </w:tc>
        <w:tc>
          <w:tcPr>
            <w:tcW w:type="dxa" w:w="7143"/>
          </w:tcPr>
          <w:p>
            <w:pPr>
              <w:spacing w:after="40"/>
            </w:pPr>
            <w:r>
              <w:rPr>
                <w:sz w:val="17"/>
              </w:rPr>
            </w:r>
            <w:r>
              <w:rPr>
                <w:b w:val="0"/>
                <w:sz w:val="17"/>
              </w:rPr>
              <w:t>Whole months</w:t>
            </w:r>
          </w:p>
        </w:tc>
      </w:tr>
      <w:tr>
        <w:tc>
          <w:tcPr>
            <w:tcW w:type="dxa" w:w="2268"/>
          </w:tcPr>
          <w:p>
            <w:pPr>
              <w:spacing w:after="40"/>
            </w:pPr>
            <w:r>
              <w:rPr>
                <w:sz w:val="17"/>
              </w:rPr>
            </w:r>
            <w:r>
              <w:rPr>
                <w:b w:val="0"/>
                <w:sz w:val="17"/>
              </w:rPr>
              <w:t>Unique asset reference</w:t>
            </w:r>
          </w:p>
        </w:tc>
        <w:tc>
          <w:tcPr>
            <w:tcW w:type="dxa" w:w="7143"/>
          </w:tcPr>
          <w:p>
            <w:pPr>
              <w:spacing w:after="40"/>
            </w:pPr>
            <w:r>
              <w:rPr>
                <w:sz w:val="17"/>
              </w:rPr>
            </w:r>
            <w:r>
              <w:rPr>
                <w:b w:val="0"/>
                <w:sz w:val="17"/>
              </w:rPr>
              <w:t>Allocated by the Appointing Party numbering convention where one is issued; otherwise the asset identifier is used</w:t>
            </w:r>
          </w:p>
        </w:tc>
      </w:tr>
      <w:tr>
        <w:tc>
          <w:tcPr>
            <w:tcW w:type="dxa" w:w="2268"/>
          </w:tcPr>
          <w:p>
            <w:pPr>
              <w:spacing w:after="40"/>
            </w:pPr>
            <w:r>
              <w:rPr>
                <w:sz w:val="17"/>
              </w:rPr>
            </w:r>
            <w:r>
              <w:rPr>
                <w:b w:val="0"/>
                <w:sz w:val="17"/>
              </w:rPr>
              <w:t>Responsibility</w:t>
            </w:r>
          </w:p>
        </w:tc>
        <w:tc>
          <w:tcPr>
            <w:tcW w:type="dxa" w:w="7143"/>
          </w:tcPr>
          <w:p>
            <w:pPr>
              <w:spacing w:after="40"/>
            </w:pPr>
            <w:r>
              <w:rPr>
                <w:sz w:val="17"/>
              </w:rPr>
            </w:r>
            <w:r>
              <w:rPr>
                <w:b w:val="0"/>
                <w:sz w:val="17"/>
              </w:rPr>
              <w:t>The Contractor captures the data at installation and commissioning. The Information Manager verifies completeness monthly and at the gate</w:t>
            </w:r>
          </w:p>
        </w:tc>
      </w:tr>
    </w:tbl>
    <w:p>
      <w:pPr>
        <w:spacing w:after="40"/>
      </w:pPr>
    </w:p>
    <w:p>
      <w:pPr>
        <w:pStyle w:val="Heading2"/>
      </w:pPr>
      <w:r>
        <w:t>14.4  Reporting</w:t>
      </w:r>
    </w:p>
    <w:p>
      <w:r>
        <w:rPr>
          <w:b w:val="0"/>
          <w:i w:val="0"/>
        </w:rPr>
        <w:t>Completeness is reported monthly from the first month of construction, by tier and by volume, so a shortfall is visible while the installer is still on site. A tier reported below ninety-five per cent at the Deliverable D gate is a gate failure, not an observation.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STATUS</w:t>
            </w:r>
          </w:p>
          <w:p>
            <w:r>
              <w:rPr>
                <w:b w:val="0"/>
                <w:sz w:val="19"/>
              </w:rPr>
              <w:t>This schedule is the project position pending issue of the Appointing Party asset information requirements. On receipt, it is reconciled against them and reissued. It is deliberately narrower than the standard corporate requirement, which applies serial numbers to categories where they cannot realistically be captured.</w:t>
            </w:r>
          </w:p>
        </w:tc>
      </w:tr>
    </w:tbl>
    <w:p>
      <w:pPr>
        <w:spacing w:after="40"/>
      </w:pPr>
    </w:p>
    <w:p>
      <w:r>
        <w:br w:type="page"/>
      </w:r>
    </w:p>
    <w:p>
      <w:pPr>
        <w:pStyle w:val="Heading1"/>
        <w:pBdr>
          <w:bottom w:val="single" w:sz="8" w:space="4" w:color="1F3654"/>
        </w:pBdr>
      </w:pPr>
      <w:r>
        <w:t>15  Mobilisation checklist</w:t>
      </w:r>
    </w:p>
    <w:p>
      <w:r>
        <w:rPr>
          <w:b w:val="0"/>
          <w:i w:val="0"/>
        </w:rPr>
        <w:t>Everything that must exist before the project can proceed, and the order it must exist in. An item marked OPEN is a live dependency: work downstream of it is either blocked or is being done on an assumption that may have to be undone.</w:t>
      </w:r>
    </w:p>
    <w:p>
      <w:pPr>
        <w:pStyle w:val="Heading2"/>
      </w:pPr>
      <w:r>
        <w:t>15.1  Before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w:t>
            </w:r>
          </w:p>
        </w:tc>
        <w:tc>
          <w:tcPr>
            <w:tcW w:type="dxa" w:w="3742"/>
          </w:tcPr>
          <w:p>
            <w:pPr>
              <w:spacing w:after="40"/>
            </w:pPr>
            <w:r>
              <w:rPr>
                <w:sz w:val="16"/>
              </w:rPr>
            </w:r>
            <w:r>
              <w:rPr>
                <w:b w:val="0"/>
                <w:sz w:val="16"/>
              </w:rPr>
              <w:t>Exchange information requirements received</w:t>
            </w:r>
          </w:p>
        </w:tc>
        <w:tc>
          <w:tcPr>
            <w:tcW w:type="dxa" w:w="1928"/>
          </w:tcPr>
          <w:p>
            <w:pPr>
              <w:spacing w:after="40"/>
            </w:pPr>
            <w:r>
              <w:rPr>
                <w:sz w:val="16"/>
              </w:rPr>
            </w:r>
            <w:r>
              <w:rPr>
                <w:b w:val="0"/>
                <w:sz w:val="16"/>
              </w:rPr>
              <w:t>Section 3.1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w:t>
            </w:r>
          </w:p>
        </w:tc>
        <w:tc>
          <w:tcPr>
            <w:tcW w:type="dxa" w:w="3742"/>
          </w:tcPr>
          <w:p>
            <w:pPr>
              <w:spacing w:after="40"/>
            </w:pPr>
            <w:r>
              <w:rPr>
                <w:sz w:val="16"/>
              </w:rPr>
            </w:r>
            <w:r>
              <w:rPr>
                <w:b w:val="0"/>
                <w:sz w:val="16"/>
              </w:rPr>
              <w:t>Originator register issued</w:t>
            </w:r>
          </w:p>
        </w:tc>
        <w:tc>
          <w:tcPr>
            <w:tcW w:type="dxa" w:w="1928"/>
          </w:tcPr>
          <w:p>
            <w:pPr>
              <w:spacing w:after="40"/>
            </w:pPr>
            <w:r>
              <w:rPr>
                <w:sz w:val="16"/>
              </w:rPr>
            </w:r>
            <w:r>
              <w:rPr>
                <w:b w:val="0"/>
                <w:sz w:val="16"/>
              </w:rPr>
              <w:t>Section 4.2.1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3</w:t>
            </w:r>
          </w:p>
        </w:tc>
        <w:tc>
          <w:tcPr>
            <w:tcW w:type="dxa" w:w="3742"/>
          </w:tcPr>
          <w:p>
            <w:pPr>
              <w:spacing w:after="40"/>
            </w:pPr>
            <w:r>
              <w:rPr>
                <w:sz w:val="16"/>
              </w:rPr>
            </w:r>
            <w:r>
              <w:rPr>
                <w:b w:val="0"/>
                <w:sz w:val="16"/>
              </w:rPr>
              <w:t>Standards hierarchy confirmed</w:t>
            </w:r>
          </w:p>
        </w:tc>
        <w:tc>
          <w:tcPr>
            <w:tcW w:type="dxa" w:w="1928"/>
          </w:tcPr>
          <w:p>
            <w:pPr>
              <w:spacing w:after="40"/>
            </w:pPr>
            <w:r>
              <w:rPr>
                <w:sz w:val="16"/>
              </w:rPr>
            </w:r>
            <w:r>
              <w:rPr>
                <w:b w:val="0"/>
                <w:sz w:val="16"/>
              </w:rPr>
              <w:t>Section 4.1.1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4</w:t>
            </w:r>
          </w:p>
        </w:tc>
        <w:tc>
          <w:tcPr>
            <w:tcW w:type="dxa" w:w="3742"/>
          </w:tcPr>
          <w:p>
            <w:pPr>
              <w:spacing w:after="40"/>
            </w:pPr>
            <w:r>
              <w:rPr>
                <w:sz w:val="16"/>
              </w:rPr>
            </w:r>
            <w:r>
              <w:rPr>
                <w:b w:val="0"/>
                <w:sz w:val="16"/>
              </w:rPr>
              <w:t>Coordinate system established and seed model issued</w:t>
            </w:r>
          </w:p>
        </w:tc>
        <w:tc>
          <w:tcPr>
            <w:tcW w:type="dxa" w:w="1928"/>
          </w:tcPr>
          <w:p>
            <w:pPr>
              <w:spacing w:after="40"/>
            </w:pPr>
            <w:r>
              <w:rPr>
                <w:sz w:val="16"/>
              </w:rPr>
            </w:r>
            <w:r>
              <w:rPr>
                <w:b w:val="0"/>
                <w:sz w:val="16"/>
              </w:rPr>
              <w:t>Section 6.3</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 — needs the survey]</w:t>
            </w:r>
          </w:p>
        </w:tc>
      </w:tr>
      <w:tr>
        <w:tc>
          <w:tcPr>
            <w:tcW w:type="dxa" w:w="567"/>
          </w:tcPr>
          <w:p>
            <w:pPr>
              <w:spacing w:after="40"/>
            </w:pPr>
            <w:r>
              <w:rPr>
                <w:sz w:val="16"/>
              </w:rPr>
            </w:r>
            <w:r>
              <w:rPr>
                <w:b w:val="0"/>
                <w:sz w:val="16"/>
              </w:rPr>
              <w:t>5</w:t>
            </w:r>
          </w:p>
        </w:tc>
        <w:tc>
          <w:tcPr>
            <w:tcW w:type="dxa" w:w="3742"/>
          </w:tcPr>
          <w:p>
            <w:pPr>
              <w:spacing w:after="40"/>
            </w:pPr>
            <w:r>
              <w:rPr>
                <w:sz w:val="16"/>
              </w:rPr>
            </w:r>
            <w:r>
              <w:rPr>
                <w:b w:val="0"/>
                <w:sz w:val="16"/>
              </w:rPr>
              <w:t>Level and grid register agreed</w:t>
            </w:r>
          </w:p>
        </w:tc>
        <w:tc>
          <w:tcPr>
            <w:tcW w:type="dxa" w:w="1928"/>
          </w:tcPr>
          <w:p>
            <w:pPr>
              <w:spacing w:after="40"/>
            </w:pPr>
            <w:r>
              <w:rPr>
                <w:sz w:val="16"/>
              </w:rPr>
            </w:r>
            <w:r>
              <w:rPr>
                <w:b w:val="0"/>
                <w:sz w:val="16"/>
              </w:rPr>
              <w:t>Section 6.4</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6</w:t>
            </w:r>
          </w:p>
        </w:tc>
        <w:tc>
          <w:tcPr>
            <w:tcW w:type="dxa" w:w="3742"/>
          </w:tcPr>
          <w:p>
            <w:pPr>
              <w:spacing w:after="40"/>
            </w:pPr>
            <w:r>
              <w:rPr>
                <w:sz w:val="16"/>
              </w:rPr>
            </w:r>
            <w:r>
              <w:rPr>
                <w:b w:val="0"/>
                <w:sz w:val="16"/>
              </w:rPr>
              <w:t>Software versions agreed and recorded</w:t>
            </w:r>
          </w:p>
        </w:tc>
        <w:tc>
          <w:tcPr>
            <w:tcW w:type="dxa" w:w="1928"/>
          </w:tcPr>
          <w:p>
            <w:pPr>
              <w:spacing w:after="40"/>
            </w:pPr>
            <w:r>
              <w:rPr>
                <w:sz w:val="16"/>
              </w:rPr>
            </w:r>
            <w:r>
              <w:rPr>
                <w:b w:val="0"/>
                <w:sz w:val="16"/>
              </w:rPr>
              <w:t>Section 6.5</w:t>
            </w:r>
          </w:p>
        </w:tc>
        <w:tc>
          <w:tcPr>
            <w:tcW w:type="dxa" w:w="1928"/>
          </w:tcPr>
          <w:p>
            <w:pPr>
              <w:spacing w:after="40"/>
            </w:pPr>
            <w:r>
              <w:rPr>
                <w:sz w:val="16"/>
              </w:rPr>
            </w:r>
            <w:r>
              <w:rPr>
                <w:b w:val="0"/>
                <w:sz w:val="16"/>
              </w:rPr>
              <w:t>All parties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7</w:t>
            </w:r>
          </w:p>
        </w:tc>
        <w:tc>
          <w:tcPr>
            <w:tcW w:type="dxa" w:w="3742"/>
          </w:tcPr>
          <w:p>
            <w:pPr>
              <w:spacing w:after="40"/>
            </w:pPr>
            <w:r>
              <w:rPr>
                <w:sz w:val="16"/>
              </w:rPr>
            </w:r>
            <w:r>
              <w:rPr>
                <w:b w:val="0"/>
                <w:sz w:val="16"/>
              </w:rPr>
              <w:t>Volume and workset convention decided</w:t>
            </w:r>
          </w:p>
        </w:tc>
        <w:tc>
          <w:tcPr>
            <w:tcW w:type="dxa" w:w="1928"/>
          </w:tcPr>
          <w:p>
            <w:pPr>
              <w:spacing w:after="40"/>
            </w:pPr>
            <w:r>
              <w:rPr>
                <w:sz w:val="16"/>
              </w:rPr>
            </w:r>
            <w:r>
              <w:rPr>
                <w:b w:val="0"/>
                <w:sz w:val="16"/>
              </w:rPr>
              <w:t>Sections 1.3 and 4.5</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8</w:t>
            </w:r>
          </w:p>
        </w:tc>
        <w:tc>
          <w:tcPr>
            <w:tcW w:type="dxa" w:w="3742"/>
          </w:tcPr>
          <w:p>
            <w:pPr>
              <w:spacing w:after="40"/>
            </w:pPr>
            <w:r>
              <w:rPr>
                <w:sz w:val="16"/>
              </w:rPr>
            </w:r>
            <w:r>
              <w:rPr>
                <w:b w:val="0"/>
                <w:sz w:val="16"/>
              </w:rPr>
              <w:t>Project template, family library and title blocks issued</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9</w:t>
            </w:r>
          </w:p>
        </w:tc>
        <w:tc>
          <w:tcPr>
            <w:tcW w:type="dxa" w:w="3742"/>
          </w:tcPr>
          <w:p>
            <w:pPr>
              <w:spacing w:after="40"/>
            </w:pPr>
            <w:r>
              <w:rPr>
                <w:sz w:val="16"/>
              </w:rPr>
            </w:r>
            <w:r>
              <w:rPr>
                <w:b w:val="0"/>
                <w:sz w:val="16"/>
              </w:rPr>
              <w:t>CDE provisioned, folders created, permissions applied</w:t>
            </w:r>
          </w:p>
        </w:tc>
        <w:tc>
          <w:tcPr>
            <w:tcW w:type="dxa" w:w="1928"/>
          </w:tcPr>
          <w:p>
            <w:pPr>
              <w:spacing w:after="40"/>
            </w:pPr>
            <w:r>
              <w:rPr>
                <w:sz w:val="16"/>
              </w:rPr>
            </w:r>
            <w:r>
              <w:rPr>
                <w:b w:val="0"/>
                <w:sz w:val="16"/>
              </w:rPr>
              <w:t>Sections 5.1 and 5.2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10</w:t>
            </w:r>
          </w:p>
        </w:tc>
        <w:tc>
          <w:tcPr>
            <w:tcW w:type="dxa" w:w="3742"/>
          </w:tcPr>
          <w:p>
            <w:pPr>
              <w:spacing w:after="40"/>
            </w:pPr>
            <w:r>
              <w:rPr>
                <w:sz w:val="16"/>
              </w:rPr>
            </w:r>
            <w:r>
              <w:rPr>
                <w:b w:val="0"/>
                <w:sz w:val="16"/>
              </w:rPr>
              <w:t>Restricted information classified</w:t>
            </w:r>
          </w:p>
        </w:tc>
        <w:tc>
          <w:tcPr>
            <w:tcW w:type="dxa" w:w="1928"/>
          </w:tcPr>
          <w:p>
            <w:pPr>
              <w:spacing w:after="40"/>
            </w:pPr>
            <w:r>
              <w:rPr>
                <w:sz w:val="16"/>
              </w:rPr>
            </w:r>
            <w:r>
              <w:rPr>
                <w:b w:val="0"/>
                <w:sz w:val="16"/>
              </w:rPr>
              <w:t>Section 8.1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11</w:t>
            </w:r>
          </w:p>
        </w:tc>
        <w:tc>
          <w:tcPr>
            <w:tcW w:type="dxa" w:w="3742"/>
          </w:tcPr>
          <w:p>
            <w:pPr>
              <w:spacing w:after="40"/>
            </w:pPr>
            <w:r>
              <w:rPr>
                <w:sz w:val="16"/>
              </w:rPr>
            </w:r>
            <w:r>
              <w:rPr>
                <w:b w:val="0"/>
                <w:sz w:val="16"/>
              </w:rPr>
              <w:t>This plan and the Project Delivery Playbook issued</w:t>
            </w:r>
          </w:p>
        </w:tc>
        <w:tc>
          <w:tcPr>
            <w:tcW w:type="dxa" w:w="1928"/>
          </w:tcPr>
          <w:p>
            <w:pPr>
              <w:spacing w:after="40"/>
            </w:pPr>
            <w:r>
              <w:rPr>
                <w:sz w:val="16"/>
              </w:rPr>
            </w:r>
            <w:r>
              <w:rPr>
                <w:b w:val="0"/>
                <w:sz w:val="16"/>
              </w:rPr>
              <w:t>—</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15.2  At or immediately after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12</w:t>
            </w:r>
          </w:p>
        </w:tc>
        <w:tc>
          <w:tcPr>
            <w:tcW w:type="dxa" w:w="3742"/>
          </w:tcPr>
          <w:p>
            <w:pPr>
              <w:spacing w:after="40"/>
            </w:pPr>
            <w:r>
              <w:rPr>
                <w:sz w:val="16"/>
              </w:rPr>
            </w:r>
            <w:r>
              <w:rPr>
                <w:b w:val="0"/>
                <w:sz w:val="16"/>
              </w:rPr>
              <w:t>Clash matrix agreed</w:t>
            </w:r>
          </w:p>
        </w:tc>
        <w:tc>
          <w:tcPr>
            <w:tcW w:type="dxa" w:w="1928"/>
          </w:tcPr>
          <w:p>
            <w:pPr>
              <w:spacing w:after="40"/>
            </w:pPr>
            <w:r>
              <w:rPr>
                <w:sz w:val="16"/>
              </w:rPr>
            </w:r>
            <w:r>
              <w:rPr>
                <w:b w:val="0"/>
                <w:sz w:val="16"/>
              </w:rPr>
              <w:t>Section 7.3.1</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13</w:t>
            </w:r>
          </w:p>
        </w:tc>
        <w:tc>
          <w:tcPr>
            <w:tcW w:type="dxa" w:w="3742"/>
          </w:tcPr>
          <w:p>
            <w:pPr>
              <w:spacing w:after="40"/>
            </w:pPr>
            <w:r>
              <w:rPr>
                <w:sz w:val="16"/>
              </w:rPr>
            </w:r>
            <w:r>
              <w:rPr>
                <w:b w:val="0"/>
                <w:sz w:val="16"/>
              </w:rPr>
              <w:t>Clearances and tolerances agreed</w:t>
            </w:r>
          </w:p>
        </w:tc>
        <w:tc>
          <w:tcPr>
            <w:tcW w:type="dxa" w:w="1928"/>
          </w:tcPr>
          <w:p>
            <w:pPr>
              <w:spacing w:after="40"/>
            </w:pPr>
            <w:r>
              <w:rPr>
                <w:sz w:val="16"/>
              </w:rPr>
            </w:r>
            <w:r>
              <w:rPr>
                <w:b w:val="0"/>
                <w:sz w:val="16"/>
              </w:rPr>
              <w:t>Section 7.3.2</w:t>
            </w:r>
          </w:p>
        </w:tc>
        <w:tc>
          <w:tcPr>
            <w:tcW w:type="dxa" w:w="1928"/>
          </w:tcPr>
          <w:p>
            <w:pPr>
              <w:spacing w:after="40"/>
            </w:pPr>
            <w:r>
              <w:rPr>
                <w:sz w:val="16"/>
              </w:rPr>
            </w:r>
            <w:r>
              <w:rPr>
                <w:b w:val="0"/>
                <w:sz w:val="16"/>
              </w:rPr>
              <w:t>MEP and structural leads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14</w:t>
            </w:r>
          </w:p>
        </w:tc>
        <w:tc>
          <w:tcPr>
            <w:tcW w:type="dxa" w:w="3742"/>
          </w:tcPr>
          <w:p>
            <w:pPr>
              <w:spacing w:after="40"/>
            </w:pPr>
            <w:r>
              <w:rPr>
                <w:sz w:val="16"/>
              </w:rPr>
            </w:r>
            <w:r>
              <w:rPr>
                <w:b w:val="0"/>
                <w:sz w:val="16"/>
              </w:rPr>
              <w:t>Model health thresholds set</w:t>
            </w:r>
          </w:p>
        </w:tc>
        <w:tc>
          <w:tcPr>
            <w:tcW w:type="dxa" w:w="1928"/>
          </w:tcPr>
          <w:p>
            <w:pPr>
              <w:spacing w:after="40"/>
            </w:pPr>
            <w:r>
              <w:rPr>
                <w:sz w:val="16"/>
              </w:rPr>
            </w:r>
            <w:r>
              <w:rPr>
                <w:b w:val="0"/>
                <w:sz w:val="16"/>
              </w:rPr>
              <w:t>Section 10.2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15</w:t>
            </w:r>
          </w:p>
        </w:tc>
        <w:tc>
          <w:tcPr>
            <w:tcW w:type="dxa" w:w="3742"/>
          </w:tcPr>
          <w:p>
            <w:pPr>
              <w:spacing w:after="40"/>
            </w:pPr>
            <w:r>
              <w:rPr>
                <w:sz w:val="16"/>
              </w:rPr>
            </w:r>
            <w:r>
              <w:rPr>
                <w:b w:val="0"/>
                <w:sz w:val="16"/>
              </w:rPr>
              <w:t>TIDPs returned by every appointed party</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Task Team Managers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16</w:t>
            </w:r>
          </w:p>
        </w:tc>
        <w:tc>
          <w:tcPr>
            <w:tcW w:type="dxa" w:w="3742"/>
          </w:tcPr>
          <w:p>
            <w:pPr>
              <w:spacing w:after="40"/>
            </w:pPr>
            <w:r>
              <w:rPr>
                <w:sz w:val="16"/>
              </w:rPr>
            </w:r>
            <w:r>
              <w:rPr>
                <w:b w:val="0"/>
                <w:sz w:val="16"/>
              </w:rPr>
              <w:t>MIDP baselined from the TIDPs</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17</w:t>
            </w:r>
          </w:p>
        </w:tc>
        <w:tc>
          <w:tcPr>
            <w:tcW w:type="dxa" w:w="3742"/>
          </w:tcPr>
          <w:p>
            <w:pPr>
              <w:spacing w:after="40"/>
            </w:pPr>
            <w:r>
              <w:rPr>
                <w:sz w:val="16"/>
              </w:rPr>
            </w:r>
            <w:r>
              <w:rPr>
                <w:b w:val="0"/>
                <w:sz w:val="16"/>
              </w:rPr>
              <w:t>Capability and capacity assessed</w:t>
            </w:r>
          </w:p>
        </w:tc>
        <w:tc>
          <w:tcPr>
            <w:tcW w:type="dxa" w:w="1928"/>
          </w:tcPr>
          <w:p>
            <w:pPr>
              <w:spacing w:after="40"/>
            </w:pPr>
            <w:r>
              <w:rPr>
                <w:sz w:val="16"/>
              </w:rPr>
            </w:r>
            <w:r>
              <w:rPr>
                <w:b w:val="0"/>
                <w:sz w:val="16"/>
              </w:rPr>
              <w:t>Section 12.1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w:t>
            </w:r>
          </w:p>
        </w:tc>
        <w:tc>
          <w:tcPr>
            <w:tcW w:type="dxa" w:w="3742"/>
          </w:tcPr>
          <w:p>
            <w:pPr>
              <w:spacing w:after="40"/>
            </w:pPr>
            <w:r>
              <w:rPr>
                <w:sz w:val="16"/>
              </w:rPr>
            </w:r>
            <w:r>
              <w:rPr>
                <w:b w:val="0"/>
                <w:sz w:val="16"/>
              </w:rPr>
              <w:t>Standards reconciliation schedule opened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bl>
    <w:p>
      <w:pPr>
        <w:spacing w:after="40"/>
      </w:pPr>
    </w:p>
    <w:p>
      <w:pPr>
        <w:pStyle w:val="Heading2"/>
      </w:pPr>
      <w:r>
        <w:t>15.3  Before the first coordination share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19</w:t>
            </w:r>
          </w:p>
        </w:tc>
        <w:tc>
          <w:tcPr>
            <w:tcW w:type="dxa" w:w="3742"/>
          </w:tcPr>
          <w:p>
            <w:pPr>
              <w:spacing w:after="40"/>
            </w:pPr>
            <w:r>
              <w:rPr>
                <w:sz w:val="16"/>
              </w:rPr>
            </w:r>
            <w:r>
              <w:rPr>
                <w:b w:val="0"/>
                <w:sz w:val="16"/>
              </w:rPr>
              <w:t>Every party has produced a test model and shared it once</w:t>
            </w:r>
          </w:p>
        </w:tc>
        <w:tc>
          <w:tcPr>
            <w:tcW w:type="dxa" w:w="1928"/>
          </w:tcPr>
          <w:p>
            <w:pPr>
              <w:spacing w:after="40"/>
            </w:pPr>
            <w:r>
              <w:rPr>
                <w:sz w:val="16"/>
              </w:rPr>
            </w:r>
            <w:r>
              <w:rPr>
                <w:b w:val="0"/>
                <w:sz w:val="16"/>
              </w:rPr>
              <w:t>Stage 0 gate</w:t>
            </w:r>
          </w:p>
        </w:tc>
        <w:tc>
          <w:tcPr>
            <w:tcW w:type="dxa" w:w="1928"/>
          </w:tcPr>
          <w:p>
            <w:pPr>
              <w:spacing w:after="40"/>
            </w:pPr>
            <w:r>
              <w:rPr>
                <w:sz w:val="16"/>
              </w:rPr>
            </w:r>
            <w:r>
              <w:rPr>
                <w:b w:val="0"/>
                <w:sz w:val="16"/>
              </w:rPr>
              <w:t>Task teams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20</w:t>
            </w:r>
          </w:p>
        </w:tc>
        <w:tc>
          <w:tcPr>
            <w:tcW w:type="dxa" w:w="3742"/>
          </w:tcPr>
          <w:p>
            <w:pPr>
              <w:spacing w:after="40"/>
            </w:pPr>
            <w:r>
              <w:rPr>
                <w:sz w:val="16"/>
              </w:rPr>
            </w:r>
            <w:r>
              <w:rPr>
                <w:b w:val="0"/>
                <w:sz w:val="16"/>
              </w:rPr>
              <w:t>Every model verified against the seed coordinates</w:t>
            </w:r>
          </w:p>
        </w:tc>
        <w:tc>
          <w:tcPr>
            <w:tcW w:type="dxa" w:w="1928"/>
          </w:tcPr>
          <w:p>
            <w:pPr>
              <w:spacing w:after="40"/>
            </w:pPr>
            <w:r>
              <w:rPr>
                <w:sz w:val="16"/>
              </w:rPr>
            </w:r>
            <w:r>
              <w:rPr>
                <w:b w:val="0"/>
                <w:sz w:val="16"/>
              </w:rPr>
              <w:t>Section 6.3.1</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21</w:t>
            </w:r>
          </w:p>
        </w:tc>
        <w:tc>
          <w:tcPr>
            <w:tcW w:type="dxa" w:w="3742"/>
          </w:tcPr>
          <w:p>
            <w:pPr>
              <w:spacing w:after="40"/>
            </w:pPr>
            <w:r>
              <w:rPr>
                <w:sz w:val="16"/>
              </w:rPr>
            </w:r>
            <w:r>
              <w:rPr>
                <w:b w:val="0"/>
                <w:sz w:val="16"/>
              </w:rPr>
              <w:t>IFC export configuration issued</w:t>
            </w:r>
          </w:p>
        </w:tc>
        <w:tc>
          <w:tcPr>
            <w:tcW w:type="dxa" w:w="1928"/>
          </w:tcPr>
          <w:p>
            <w:pPr>
              <w:spacing w:after="40"/>
            </w:pPr>
            <w:r>
              <w:rPr>
                <w:sz w:val="16"/>
              </w:rPr>
            </w:r>
            <w:r>
              <w:rPr>
                <w:b w:val="0"/>
                <w:sz w:val="16"/>
              </w:rPr>
              <w:t>Section 6.2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22</w:t>
            </w:r>
          </w:p>
        </w:tc>
        <w:tc>
          <w:tcPr>
            <w:tcW w:type="dxa" w:w="3742"/>
          </w:tcPr>
          <w:p>
            <w:pPr>
              <w:spacing w:after="40"/>
            </w:pPr>
            <w:r>
              <w:rPr>
                <w:sz w:val="16"/>
              </w:rPr>
            </w:r>
            <w:r>
              <w:rPr>
                <w:b w:val="0"/>
                <w:sz w:val="16"/>
              </w:rPr>
              <w:t>Rooms placed in every architectural model</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Architecture</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23</w:t>
            </w:r>
          </w:p>
        </w:tc>
        <w:tc>
          <w:tcPr>
            <w:tcW w:type="dxa" w:w="3742"/>
          </w:tcPr>
          <w:p>
            <w:pPr>
              <w:spacing w:after="40"/>
            </w:pPr>
            <w:r>
              <w:rPr>
                <w:sz w:val="16"/>
              </w:rPr>
            </w:r>
            <w:r>
              <w:rPr>
                <w:b w:val="0"/>
                <w:sz w:val="16"/>
              </w:rPr>
              <w:t>Shared parameter file issued and bound</w:t>
            </w:r>
          </w:p>
        </w:tc>
        <w:tc>
          <w:tcPr>
            <w:tcW w:type="dxa" w:w="1928"/>
          </w:tcPr>
          <w:p>
            <w:pPr>
              <w:spacing w:after="40"/>
            </w:pPr>
            <w:r>
              <w:rPr>
                <w:sz w:val="16"/>
              </w:rPr>
            </w:r>
            <w:r>
              <w:rPr>
                <w:b w:val="0"/>
                <w:sz w:val="16"/>
              </w:rPr>
              <w:t>Section 4.6</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15.4  Before Technical Design (Stage 2.3)</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24</w:t>
            </w:r>
          </w:p>
        </w:tc>
        <w:tc>
          <w:tcPr>
            <w:tcW w:type="dxa" w:w="3742"/>
          </w:tcPr>
          <w:p>
            <w:pPr>
              <w:spacing w:after="40"/>
            </w:pPr>
            <w:r>
              <w:rPr>
                <w:sz w:val="16"/>
              </w:rPr>
            </w:r>
            <w:r>
              <w:rPr>
                <w:b w:val="0"/>
                <w:sz w:val="16"/>
              </w:rPr>
              <w:t>Standards reconciliation schedule CLOSED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 — blocks detailed calculation]</w:t>
            </w:r>
          </w:p>
        </w:tc>
      </w:tr>
      <w:tr>
        <w:tc>
          <w:tcPr>
            <w:tcW w:type="dxa" w:w="567"/>
          </w:tcPr>
          <w:p>
            <w:pPr>
              <w:spacing w:after="40"/>
            </w:pPr>
            <w:r>
              <w:rPr>
                <w:sz w:val="16"/>
              </w:rPr>
            </w:r>
            <w:r>
              <w:rPr>
                <w:b w:val="0"/>
                <w:sz w:val="16"/>
              </w:rPr>
              <w:t>25</w:t>
            </w:r>
          </w:p>
        </w:tc>
        <w:tc>
          <w:tcPr>
            <w:tcW w:type="dxa" w:w="3742"/>
          </w:tcPr>
          <w:p>
            <w:pPr>
              <w:spacing w:after="40"/>
            </w:pPr>
            <w:r>
              <w:rPr>
                <w:sz w:val="16"/>
              </w:rPr>
            </w:r>
            <w:r>
              <w:rPr>
                <w:b w:val="0"/>
                <w:sz w:val="16"/>
              </w:rPr>
              <w:t>Product equivalence route agreed</w:t>
            </w:r>
          </w:p>
        </w:tc>
        <w:tc>
          <w:tcPr>
            <w:tcW w:type="dxa" w:w="1928"/>
          </w:tcPr>
          <w:p>
            <w:pPr>
              <w:spacing w:after="40"/>
            </w:pPr>
            <w:r>
              <w:rPr>
                <w:sz w:val="16"/>
              </w:rPr>
            </w:r>
            <w:r>
              <w:rPr>
                <w:b w:val="0"/>
                <w:sz w:val="16"/>
              </w:rPr>
              <w:t>Section 4.1.3 row SR-10</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26</w:t>
            </w:r>
          </w:p>
        </w:tc>
        <w:tc>
          <w:tcPr>
            <w:tcW w:type="dxa" w:w="3742"/>
          </w:tcPr>
          <w:p>
            <w:pPr>
              <w:spacing w:after="40"/>
            </w:pPr>
            <w:r>
              <w:rPr>
                <w:sz w:val="16"/>
              </w:rPr>
            </w:r>
            <w:r>
              <w:rPr>
                <w:b w:val="0"/>
                <w:sz w:val="16"/>
              </w:rPr>
              <w:t>Asset data capture method agreed with the contractor</w:t>
            </w:r>
          </w:p>
        </w:tc>
        <w:tc>
          <w:tcPr>
            <w:tcW w:type="dxa" w:w="1928"/>
          </w:tcPr>
          <w:p>
            <w:pPr>
              <w:spacing w:after="40"/>
            </w:pPr>
            <w:r>
              <w:rPr>
                <w:sz w:val="16"/>
              </w:rPr>
            </w:r>
            <w:r>
              <w:rPr>
                <w:b w:val="0"/>
                <w:sz w:val="16"/>
              </w:rPr>
              <w:t>Section 14</w:t>
            </w:r>
          </w:p>
        </w:tc>
        <w:tc>
          <w:tcPr>
            <w:tcW w:type="dxa" w:w="1928"/>
          </w:tcPr>
          <w:p>
            <w:pPr>
              <w:spacing w:after="40"/>
            </w:pPr>
            <w:r>
              <w:rPr>
                <w:sz w:val="16"/>
              </w:rPr>
            </w:r>
            <w:r>
              <w:rPr>
                <w:b w:val="0"/>
                <w:sz w:val="16"/>
              </w:rPr>
              <w:t>Contractor</w:t>
            </w:r>
          </w:p>
        </w:tc>
        <w:tc>
          <w:tcPr>
            <w:tcW w:type="dxa" w:w="1247"/>
          </w:tcPr>
          <w:p>
            <w:pPr>
              <w:spacing w:after="40"/>
            </w:pPr>
            <w:r>
              <w:rPr>
                <w:sz w:val="16"/>
              </w:rPr>
            </w:r>
            <w:r>
              <w:rPr>
                <w:b w:val="0"/>
                <w:sz w:val="16"/>
              </w:rPr>
              <w:t>[OPEN — Stage 3.1]</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 MATTERS</w:t>
            </w:r>
          </w:p>
          <w:p>
            <w:r>
              <w:rPr>
                <w:b w:val="0"/>
                <w:sz w:val="19"/>
              </w:rPr>
              <w:t>Items 1 to 11 gate the kickoff itself. Attempting to train a team on standards that are not yet decided produces a team that has to be retrained, and models that have to be redone.</w:t>
            </w:r>
          </w:p>
        </w:tc>
      </w:tr>
    </w:tbl>
    <w:p>
      <w:pPr>
        <w:spacing w:after="40"/>
      </w:pPr>
    </w:p>
    <w:p>
      <w:r>
        <w:br w:type="page"/>
      </w:r>
    </w:p>
    <w:p>
      <w:pPr>
        <w:pStyle w:val="Heading1"/>
        <w:pBdr>
          <w:bottom w:val="single" w:sz="8" w:space="4" w:color="1F3654"/>
        </w:pBdr>
      </w:pPr>
      <w:r>
        <w:t>16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(KUT-SMB-ZZ-ZZ-RP-Z-0002)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r>
        <w:tc>
          <w:tcPr>
            <w:tcW w:type="dxa" w:w="1247"/>
          </w:tcPr>
          <w:p>
            <w:pPr>
              <w:spacing w:after="40"/>
            </w:pPr>
            <w:r>
              <w:rPr>
                <w:sz w:val="17"/>
              </w:rPr>
            </w:r>
            <w:r>
              <w:rPr>
                <w:b w:val="0"/>
                <w:sz w:val="17"/>
              </w:rPr>
              <w:t>H</w:t>
            </w:r>
          </w:p>
        </w:tc>
        <w:tc>
          <w:tcPr>
            <w:tcW w:type="dxa" w:w="5896"/>
          </w:tcPr>
          <w:p>
            <w:pPr>
              <w:spacing w:after="40"/>
            </w:pPr>
            <w:r>
              <w:rPr>
                <w:sz w:val="17"/>
              </w:rPr>
            </w:r>
            <w:r>
              <w:rPr>
                <w:b w:val="0"/>
                <w:sz w:val="17"/>
              </w:rPr>
              <w:t>Appointing Party asset information requirements</w:t>
            </w:r>
          </w:p>
        </w:tc>
        <w:tc>
          <w:tcPr>
            <w:tcW w:type="dxa" w:w="2268"/>
          </w:tcPr>
          <w:p>
            <w:pPr>
              <w:spacing w:after="40"/>
            </w:pPr>
            <w:r>
              <w:rPr>
                <w:sz w:val="17"/>
              </w:rPr>
            </w:r>
            <w:r>
              <w:rPr>
                <w:b w:val="0"/>
                <w:sz w:val="17"/>
              </w:rPr>
              <w:t>Awaited — see Section 14.4</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Issued through the Common Data Environment. Uncontrolled when printed. Generated by tools/build_bep.py; do not hand-edit - regenerate. parts-sha256:a67df3a520d24f14202a29de407085291b3f58773982f835948f50babf90d2fa inputs-sha256:87cd98dd4f4b11434c35589ce7cd3ded3a889f68f0a4f6902838f706116bde6d</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