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KUT-SMB-ZZ-ZZ-RP-Z-0004</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From</w:t>
            </w:r>
          </w:p>
        </w:tc>
        <w:tc>
          <w:tcPr>
            <w:tcW w:type="dxa" w:w="6576"/>
            <w:shd w:val="clear" w:fill="F4F6F9"/>
          </w:tcPr>
          <w:p>
            <w:r>
              <w:rPr>
                <w:sz w:val="18"/>
              </w:rPr>
              <w:t>Mayanja Davis, Information Management</w:t>
            </w:r>
          </w:p>
        </w:tc>
      </w:tr>
      <w:tr>
        <w:tc>
          <w:tcPr>
            <w:tcW w:type="dxa" w:w="2835"/>
            <w:shd w:val="clear" w:fill="E8EDF3"/>
          </w:tcPr>
          <w:p>
            <w:r>
              <w:rPr>
                <w:b/>
                <w:color w:val="444F5C"/>
                <w:sz w:val="18"/>
              </w:rPr>
              <w:t>To</w:t>
            </w:r>
          </w:p>
        </w:tc>
        <w:tc>
          <w:tcPr>
            <w:tcW w:type="dxa" w:w="6576"/>
            <w:shd w:val="clear" w:fill="F4F6F9"/>
          </w:tcPr>
          <w:p>
            <w:r>
              <w:rPr>
                <w:sz w:val="18"/>
              </w:rPr>
              <w:t>[FILL — name], Symbion Consulting Group Studios (Lead Appointed Party)</w:t>
            </w:r>
          </w:p>
        </w:tc>
      </w:tr>
      <w:tr>
        <w:tc>
          <w:tcPr>
            <w:tcW w:type="dxa" w:w="2835"/>
            <w:shd w:val="clear" w:fill="E8EDF3"/>
          </w:tcPr>
          <w:p>
            <w:r>
              <w:rPr>
                <w:b/>
                <w:color w:val="444F5C"/>
                <w:sz w:val="18"/>
              </w:rPr>
              <w:t>Copied to</w:t>
            </w:r>
          </w:p>
        </w:tc>
        <w:tc>
          <w:tcPr>
            <w:tcW w:type="dxa" w:w="6576"/>
            <w:shd w:val="clear" w:fill="F4F6F9"/>
          </w:tcPr>
          <w:p>
            <w:r>
              <w:rPr>
                <w:sz w:val="18"/>
              </w:rPr>
              <w:t>[FILL]</w:t>
            </w:r>
          </w:p>
        </w:tc>
      </w:tr>
      <w:tr>
        <w:tc>
          <w:tcPr>
            <w:tcW w:type="dxa" w:w="2835"/>
            <w:shd w:val="clear" w:fill="E8EDF3"/>
          </w:tcPr>
          <w:p>
            <w:r>
              <w:rPr>
                <w:b/>
                <w:color w:val="444F5C"/>
                <w:sz w:val="18"/>
              </w:rPr>
              <w:t>Date</w:t>
            </w:r>
          </w:p>
        </w:tc>
        <w:tc>
          <w:tcPr>
            <w:tcW w:type="dxa" w:w="6576"/>
            <w:shd w:val="clear" w:fill="F4F6F9"/>
          </w:tcPr>
          <w:p>
            <w:r>
              <w:rPr>
                <w:sz w:val="18"/>
              </w:rPr>
              <w:t>[FILL]</w:t>
            </w:r>
          </w:p>
        </w:tc>
      </w:tr>
      <w:tr>
        <w:tc>
          <w:tcPr>
            <w:tcW w:type="dxa" w:w="2835"/>
            <w:shd w:val="clear" w:fill="E8EDF3"/>
          </w:tcPr>
          <w:p>
            <w:r>
              <w:rPr>
                <w:b/>
                <w:color w:val="444F5C"/>
                <w:sz w:val="18"/>
              </w:rPr>
              <w:t>Response requested by</w:t>
            </w:r>
          </w:p>
        </w:tc>
        <w:tc>
          <w:tcPr>
            <w:tcW w:type="dxa" w:w="6576"/>
            <w:shd w:val="clear" w:fill="F4F6F9"/>
          </w:tcPr>
          <w:p>
            <w:r>
              <w:rPr>
                <w:sz w:val="18"/>
              </w:rPr>
              <w:t>[FILL — suggest five working days]</w:t>
            </w:r>
          </w:p>
        </w:tc>
      </w:tr>
    </w:tbl>
    <w:p/>
    <w:p>
      <w:r>
        <w:rPr>
          <w:i/>
          <w:color w:val="7A7A7A"/>
          <w:sz w:val="16"/>
        </w:rPr>
        <w:t>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pPr>
        <w:pStyle w:val="Heading1"/>
        <w:pBdr>
          <w:bottom w:val="single" w:sz="8" w:space="4" w:color="1F3654"/>
        </w:pBdr>
      </w:pPr>
      <w:r>
        <w:t>1  Purpose</w:t>
      </w:r>
    </w:p>
    <w:p>
      <w:r>
        <w:rPr>
          <w:b w:val="0"/>
          <w:i w:val="0"/>
        </w:rPr>
        <w:t>The mobilisation set is drafted and ready to issue: the BIM Execution Plan, the Project Delivery Playbook, the Document Control Standard and the Master Information Delivery Plan.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Those eleven items are asked for here as nine requests — several of them are answered by the same document, and asking twice for one answer wastes your time. Section 5 lists the nine and what each unblocks. Where an answer sits with the Appointing Party rather than the Lead Appointed Party, it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volumes are correct and complete: Temple, Meetinghouse, Housing and ancillary, Grounds building, Utility building, Guard house, Site-wide and external works</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r>
        <w:tc>
          <w:tcPr>
            <w:tcW w:type="dxa" w:w="4195"/>
          </w:tcPr>
          <w:p>
            <w:pPr>
              <w:spacing w:after="40"/>
            </w:pPr>
            <w:r>
              <w:rPr>
                <w:sz w:val="17"/>
              </w:rPr>
            </w:r>
            <w:r>
              <w:rPr>
                <w:b w:val="0"/>
                <w:sz w:val="17"/>
              </w:rPr>
              <w:t>Sheet number banding — the first digit of a sheet number carries meaning. Three schemes were in use across earlier drafts and one must be adopted</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Document Control Standard 3</w:t>
            </w:r>
          </w:p>
        </w:tc>
      </w:tr>
      <w:tr>
        <w:tc>
          <w:tcPr>
            <w:tcW w:type="dxa" w:w="4195"/>
          </w:tcPr>
          <w:p>
            <w:pPr>
              <w:spacing w:after="40"/>
            </w:pPr>
            <w:r>
              <w:rPr>
                <w:sz w:val="17"/>
              </w:rPr>
            </w:r>
            <w:r>
              <w:rPr>
                <w:b w:val="0"/>
                <w:sz w:val="17"/>
              </w:rPr>
              <w:t>FF&amp;E catalogue scope — which categories are procured and specified through the catalogue, which sets what must be linked at handover</w:t>
            </w:r>
          </w:p>
        </w:tc>
        <w:tc>
          <w:tcPr>
            <w:tcW w:type="dxa" w:w="3402"/>
          </w:tcPr>
          <w:p>
            <w:pPr>
              <w:spacing w:after="40"/>
            </w:pPr>
            <w:r>
              <w:rPr>
                <w:sz w:val="17"/>
              </w:rPr>
            </w:r>
            <w:r>
              <w:rPr>
                <w:b w:val="0"/>
                <w:sz w:val="17"/>
              </w:rPr>
              <w:t>Interior designer, Appointing Party</w:t>
            </w:r>
          </w:p>
        </w:tc>
        <w:tc>
          <w:tcPr>
            <w:tcW w:type="dxa" w:w="1814"/>
          </w:tcPr>
          <w:p>
            <w:pPr>
              <w:spacing w:after="40"/>
            </w:pPr>
            <w:r>
              <w:rPr>
                <w:sz w:val="17"/>
              </w:rPr>
            </w:r>
            <w:r>
              <w:rPr>
                <w:b w:val="0"/>
                <w:sz w:val="17"/>
              </w:rPr>
              <w:t>BEP 15.2 item 18a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THAT BLOCKS DRAWING PRODUCTION</w:t>
            </w:r>
          </w:p>
          <w:p>
            <w:r>
              <w:rPr>
                <w:b/>
                <w:sz w:val="19"/>
              </w:rPr>
              <w:t>No sheet numbers can be allocated until the banding is settled.</w:t>
            </w:r>
            <w:r>
              <w:rPr>
                <w:b w:val="0"/>
                <w:sz w:val="19"/>
              </w:rPr>
              <w:t xml:space="preserve"> A sheet renumbered after issue invalidates every drawing reference, every transmittal and every register row that names it. It is a five-minute decision at the kickoff and an expensive one afterwards.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 DRAFT. Not yet issued through the Common Data Environment. Uncontrolled when printed. Generated by tools/build_symbion_request.py; do not hand-edit - regenerate. parts-sha256:b6c0c8e43cced7f6e896387661db4fa83686a80353af31d79f763b4d334d18da inputs-sha256:2e7ea5c39a0477f5cdc48609d706d65f8b5c90924cb108523d4f762e097a3fc0</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