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KUT-SMB-ZZ-ZZ-RP-Z-0002</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Prepared by</w:t>
            </w:r>
          </w:p>
        </w:tc>
        <w:tc>
          <w:tcPr>
            <w:tcW w:type="dxa" w:w="6576"/>
            <w:shd w:val="clear" w:fill="F4F6F9"/>
          </w:tcPr>
          <w:p>
            <w:r>
              <w:rPr>
                <w:sz w:val="18"/>
              </w:rPr>
              <w:t>Symbion Consulting Group Studios</w:t>
            </w:r>
          </w:p>
        </w:tc>
      </w:tr>
      <w:tr>
        <w:tc>
          <w:tcPr>
            <w:tcW w:type="dxa" w:w="2835"/>
            <w:shd w:val="clear" w:fill="E8EDF3"/>
          </w:tcPr>
          <w:p>
            <w:r>
              <w:rPr>
                <w:b/>
                <w:color w:val="444F5C"/>
                <w:sz w:val="18"/>
              </w:rPr>
              <w:t>Role</w:t>
            </w:r>
          </w:p>
        </w:tc>
        <w:tc>
          <w:tcPr>
            <w:tcW w:type="dxa" w:w="6576"/>
            <w:shd w:val="clear" w:fill="F4F6F9"/>
          </w:tcPr>
          <w:p>
            <w:r>
              <w:rPr>
                <w:sz w:val="18"/>
              </w:rPr>
              <w:t>Information Manager</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Prepared for the Kampala Uganda Temple project on behalf of the Lead Appointed Party. 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PLN</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 to 2</w:t>
            </w:r>
          </w:p>
        </w:tc>
        <w:tc>
          <w:tcPr>
            <w:tcW w:type="dxa" w:w="4762"/>
          </w:tcPr>
          <w:p>
            <w:pPr>
              <w:spacing w:after="40"/>
            </w:pPr>
            <w:r>
              <w:rPr>
                <w:sz w:val="17"/>
              </w:rPr>
            </w:r>
            <w:r>
              <w:rPr>
                <w:b w:val="0"/>
                <w:sz w:val="17"/>
              </w:rPr>
              <w:t>The discipline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The automated check enforces an originator code of exactly three characters. Two options are available: issue three-character codes to every organisation, or extend the permitted range to three to six characters, which is closer to general ISO 19650 practice. The Appointing Party register determines which applies. No container may be numbered until this is confirmed in writing, because renumbering after Deliverable A affects every issued document.</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Role code (Section 4.3)</w:t>
            </w:r>
          </w:p>
        </w:tc>
        <w:tc>
          <w:tcPr>
            <w:tcW w:type="dxa" w:w="4309"/>
          </w:tcPr>
          <w:p>
            <w:pPr>
              <w:spacing w:after="40"/>
            </w:pPr>
            <w:r>
              <w:rPr>
                <w:sz w:val="17"/>
              </w:rPr>
            </w:r>
            <w:r>
              <w:rPr>
                <w:b w:val="0"/>
                <w:sz w:val="17"/>
              </w:rPr>
              <w:t>Element category and discipline</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KUT-XXX-01-GF-SH-A-0100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 DRAFT. Not yet issued through the Common Data Environment. Uncontrolled when printed. Generated by tools/build_team_playbook.py; do not hand-edit - regenerate. parts-sha256:94c07e5c2767be883f939ecaf336c99533f0a70a79e8f144df1cfcf1b0981406 inputs-sha256:11f6374979d4145bf114542c172f118ec3fec86fcd690f2aa32d474df90a4208</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