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KUT-SMB-ZZ-ZZ-RP-Z-0002</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SMB</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w:t>
            </w:r>
          </w:p>
        </w:tc>
        <w:tc>
          <w:tcPr>
            <w:tcW w:type="dxa" w:w="4762"/>
          </w:tcPr>
          <w:p>
            <w:pPr>
              <w:spacing w:after="40"/>
            </w:pPr>
            <w:r>
              <w:rPr>
                <w:sz w:val="17"/>
              </w:rPr>
            </w:r>
            <w:r>
              <w:rPr>
                <w:b w:val="0"/>
                <w:sz w:val="17"/>
              </w:rPr>
              <w:t>The discipline of the originating organisation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Originator codes are exactly 3 characters, allocated to every organisation in the originator register issued by the Lead Appointed Party. No container may be numbered until the register is issued, because renumbering after Deliverable A affects every issued document. The examples in this section use SMB.</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KUT-XXX-01-GF-DR-A-0100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parts-sha256:746e30a988f939b1d8ac94bd7a6d9497bcbe3c3b6ce1aa8e9ecd099308d9bda9 inputs-sha256:f4b338ade852aba072a4703021faa55092a630c622944f2af237385b0f4cde06</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