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A237E"/>
          <w:sz w:val="40"/>
          <w:szCs w:val="40"/>
        </w:rPr>
        <w:t xml:space="preserve">Revit Smoke-Test Checklist</w:t>
      </w:r>
    </w:p>
    <w:p>
      <w:pPr>
        <w:spacing w:after="200" w:before="0" w:line="264"/>
      </w:pPr>
      <w:r>
        <w:rPr>
          <w:rFonts w:ascii="Calibri" w:cs="Calibri" w:eastAsia="Calibri" w:hAnsi="Calibri"/>
          <w:color w:val="5F6368"/>
          <w:sz w:val="24"/>
          <w:szCs w:val="24"/>
        </w:rPr>
        <w:t xml:space="preserve">Kampala Uganda Temple (KUT)  ·  STINGTOOLS Phase 192 pack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Project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Kampala Uganda Temple — LDS Church Special Projects</w:t>
            </w:r>
          </w:p>
        </w:tc>
      </w:tr>
      <w:t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Scope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Phase 192 KUT alignment pack: LOD gates, Owner standards, Fohlio, SpecLink/CSI, Bluebeam, Niagara, ACC</w:t>
            </w:r>
          </w:p>
        </w:tc>
      </w:tr>
      <w:t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Verified against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commit 87f39f1 (branch claude/session-8tl9ga)</w:t>
            </w:r>
          </w:p>
        </w:tc>
      </w:tr>
      <w:t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Checklist issued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2026-08-05</w:t>
            </w:r>
          </w:p>
        </w:tc>
      </w:tr>
      <w:t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Tester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used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Revit version</w:t>
            </w:r>
          </w:p>
        </w:tc>
        <w:tc>
          <w:tcPr>
            <w:tcW w:type="dxa" w:w="7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200" w:before="0" w:line="264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1A237E" w:sz="18"/>
              <w:bottom w:val="none" w:color="FFFFFF" w:sz="0"/>
              <w:right w:val="none" w:color="FFFFFF" w:sz="0"/>
            </w:tcBorders>
            <w:shd w:fill="EEF1F7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70" w:before="0" w:line="264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1"/>
                <w:szCs w:val="21"/>
              </w:rPr>
              <w:t xml:space="preserve">Why this document exists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command in the Phase 192 pack builds clean, but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none has been exercised in Revit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the pack was authored in a Linux sandbox with no Revit API. This checklist is that first session.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 offline pre-flight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tools/kut_preflight.py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85 assertions, run in CI) has already cleared the wiring and data contracts: parameter registration and category scoping, command dispatch and workflow resolution, JSON-to-POCO key binding, regex compilation, and fixture columns.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 executes no command and replaces no step.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Steps marked "Pre-cleared offline" therefore start from a known-good configuration — you are testing behaviour, not wiring.</w:t>
            </w:r>
          </w:p>
        </w:tc>
      </w:tr>
    </w:tbl>
    <w:p>
      <w:pPr>
        <w:spacing w:after="160" w:before="0" w:line="264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1A237E" w:sz="18"/>
              <w:bottom w:val="none" w:color="FFFFFF" w:sz="0"/>
              <w:right w:val="none" w:color="FFFFFF" w:sz="0"/>
            </w:tcBorders>
            <w:shd w:fill="FFF7E6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70" w:before="0" w:line="264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1"/>
                <w:szCs w:val="21"/>
              </w:rPr>
              <w:t xml:space="preserve">How to work through it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 in order.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Two chains matter: step 15 needs step 14 (SpecLink Reconcile reads the CSI params that CSI Assign writes), and step 18 needs step 17 (Fohlio Audit compares against the snapshot Import stores).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Stop on step 3 if anything looks wrong.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parameter-binding failure there makes every later audit report plausible-looking zeroes rather than an error.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 each failure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the command, the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StingTools.log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excerpt and the model context, in the table at the end.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Until this list is green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keep the "verify in Revit before merge" caveat on the Phase 192 CHANGELOG blocks.</w:t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0.  Setup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20"/>
        <w:gridCol w:w="8606"/>
      </w:tblGrid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 the build (DLL +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data/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StingTools.addin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start Revit 2025; open a KUT model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with rooms placed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STING dock panel loads, no startup errors in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StingTools.log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Copy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docs/examples/KUT/{project_config.json, tag_schemes.json, climate_data.json}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into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&lt;project&gt;/_BIM_COORD/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On Project Information set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PRJ_ORG_PROJECT_CODE_TXT = KUT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originator + an address containing "Kampala".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Files in place.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Deployment pack is complete and Kampala resolves in the climate registry.</w:t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1.  Parameters and tag scheme  (Part A)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20"/>
        <w:gridCol w:w="8606"/>
      </w:tblGrid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3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Load Params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(TAGS · Setup).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Binds without error. In Manage → Shared Parameters confirm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ASS_TAG_SCHEME_TXT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ASS_LOD_VERIFIED_TXT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CSI_SECTION_TXT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CSI_TITLE_TXT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FOHLIO_REF_TXT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LTG_HOIST_WEIGHT_KG / _MOTOR_TXT / _DROP_MM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 </w:t>
            </w:r>
            <w:r>
              <w:rPr>
                <w:rFonts w:ascii="Calibri" w:cs="Calibri" w:eastAsia="Calibri" w:hAnsi="Calibri"/>
                <w:b/>
                <w:bCs/>
                <w:color w:val="B71C1C"/>
                <w:sz w:val="20"/>
                <w:szCs w:val="20"/>
              </w:rPr>
              <w:t xml:space="preserve">Also confirm the three LTG_HOIST_* appear on Lighting Fixtures and Generic Models ONLY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that binding was corrected on 2026-08-05 and this is its first live test.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All 8 params registered across four registries, no duplicate GUID, category scoping present.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4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Scheme Inspect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TagScheme_Inspect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TAGS · SCHEME TAGS).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kut-temple-example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shows ● enabled + valid.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Scheme JSON parses, segments use canonical tokens, target param registered.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5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Batch Tag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sample area.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Elements get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ASS_TAG_1_TXT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new tags get a scheme string automatically.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6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Render Scheme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TagScheme_Render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Back-fills scheme strings on existing tags; stamp updates.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7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Scheme 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TagScheme_Audit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0 mismatches after render.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8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Token Confidence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TokenConfidenceAudit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TAGS · QA).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Medium / Low bands + silent-BLD1 count; CSV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STING_TokenConfidence_Audit.csv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Confirm a site element inside a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STING-LOC::BLD2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scope box reads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LOC_SOURCE=ScopeBox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(High).  </w:t>
            </w:r>
            <w:r>
              <w:rPr>
                <w:rFonts w:ascii="Calibri" w:cs="Calibri" w:eastAsia="Calibri" w:hAnsi="Calibri"/>
                <w:b/>
                <w:bCs/>
                <w:color w:val="B71C1C"/>
                <w:sz w:val="20"/>
                <w:szCs w:val="20"/>
              </w:rPr>
              <w:t xml:space="preserve">Draw STING-LOC scope boxes unrotated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they are stored as axis-aligned plan extents; where boxes nest, the smallest containing box wins.</w:t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2.  LOD and Owner-standards gates  (Part B)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20"/>
        <w:gridCol w:w="8606"/>
      </w:tblGrid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9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LOD Verify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LOD_Verify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BIM · LOD VERIFICATION) → pick "Deliverable B".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TaskDialog %, CSV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STING_LOD_deliverable-b_Audit.csv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JSON in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_BIM_COORD/lod_reports/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Milestone ids, checks keys, inherit chains and all 95 referenced params resolve; every category name is real, so no rule silently falls through to the "*" default and false-passes.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10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LOD Stamp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LOD_Stamp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→ same milestone.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Passing elements get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ASS_LOD_VERIFIED_TXT = deliverable-b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11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Program 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Program_Audit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→ pick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Tests/fixtures/kut/program_template_sample.xlsx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Summary (compliant / over / under / missing / extra); XLSX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STING_ProgramAudit_&lt;date&gt;.xlsx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a Status column.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Fixture headers present. The join itself needs placed rooms.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12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Owner Standards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OwnerStandards_Audit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 summary; CSV + JSON in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_BIM_COORD/owner_standards_reports/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Confirm the workset-prefix and required-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PRJ_ORG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rules fire as expected.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Rule types have evaluator cases, severities valid, every regex compiles.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13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Devices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DeviceCoord_Audit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BIM · SPATIAL VALIDATION).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Per-room findings; CSV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STING_DeviceCoord_Audit_&lt;date&gt;.csv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Sanity-check that a deliberately mis-placed switch behind a door swing is flagged.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Rule severities valid; no rule has an empty deviceCategories list.</w:t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3.  Platform round-trips  (Part C)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20"/>
        <w:gridCol w:w="8606"/>
      </w:tblGrid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14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CSI Assign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CSI_Assign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BIM · CSI / SPECLINK) → "Fill empty only".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CSI_SECTION_TXT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CSI_TITLE_TXT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written; unmapped-category list reported.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Map column order matches the positional loader and every regex compiles — the loader swallows a bad regex, which would otherwise assign the WRONG section rather than failing.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15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SpecLink Reconcile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SpecLink_Reconcile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→ pick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Tests/fixtures/kut/speclink_toc_sample.csv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Spec-gap / over-spec / title-mismatch counts; XLSX report.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Fixture headers present. Run this AFTER step 14 — it needs CSI params assigned.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16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Fohlio Export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Fohlio_Export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BIM · FOHLIO FF&amp;E).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FF&amp;E CSV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STING_Fohlio_Export_&lt;date&gt;.csv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the mapped columns.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Map columns reference real params; write-back targets are all writable.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17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Fohlio Import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Fohlio_Import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→ re-pick that CSV, or an edited copy with a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Fohlio Ref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column.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Preview / diff dialog before any write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on Apply,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FOHLIO_REF_TXT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fields written; ES snapshot stored.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18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Fohlio 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Fohlio_Audit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Linked % + missing-ref + stale counts per category. Edit a model value, re-run → that row reads stale.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19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Review Comments Import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ReviewComments_Import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BIM · REVIEW COMMENTS) → pick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Tests/fixtures/kut/bluebeam_comments_sample.csv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gate "Deliverable B".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Upserts into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_BIM_COORD/review_comments.json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close-out rate shown.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Fixture carries every column the header-forgiving parser looks for.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20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Review Dashboard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ReviewComments_Dashboard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KPI Export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ReviewComments_Export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Grid of comments; KPI CSV with per-gate close-out %.</w:t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4.  US standards and engineering  (Parts D, E)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20"/>
        <w:gridCol w:w="8606"/>
      </w:tblGrid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21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ComCheck export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Lite_ComCheck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Electrical panel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LPD card).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Per-space CSV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STING_ComCheck_Lighting_&lt;date&gt;.csv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allowed-vs-proposed summary; dialog states the paste-into-COMcheck workflow.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22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Life-cycle cost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Hvac_LifeCycleCompare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HVAC panel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· RPRT).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Year-by-year XLSX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STING_HVAC_LCC_&lt;date&gt;.xlsx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(Summary + per-option sheets, nominal + NPV); crossover year reported.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23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Prototype Drift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PrototypeDrift_Report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BIM · CARBON and CHANGE TRACKING) → load the prototype as a link or open it, then pick it.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Type-level diff XLSX grouped by discipline.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24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LPS Full Report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(LPS panel) with a US-context address.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includes the EN 62305-vs-NFPA 780 INFO note.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25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Gate Audit workflow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run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WORKFLOW_GateAudit.json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Chains ValidateTags → TokenConfidenceAudit → LOD_Verify → CompletenessDashboard → TagScheme_Audit without an unknown-tag error.</w:t>
            </w:r>
          </w:p>
          <w:p>
            <w:pPr>
              <w:spacing w:after="0" w:line="240"/>
              <w:ind w:left="0"/>
            </w:pPr>
            <w:r>
              <w:rPr>
                <w:rFonts w:ascii="Calibri" w:cs="Calibri" w:eastAsia="Calibri" w:hAnsi="Calibri"/>
                <w:b/>
                <w:bCs/>
                <w:color w:val="1B5E20"/>
                <w:sz w:val="15"/>
                <w:szCs w:val="15"/>
              </w:rPr>
              <w:t xml:space="preserve">Pre-cleared offline  </w:t>
            </w:r>
            <w:r>
              <w:rPr>
                <w:rFonts w:ascii="Calibri" w:cs="Calibri" w:eastAsia="Calibri" w:hAnsi="Calibri"/>
                <w:i/>
                <w:iCs/>
                <w:color w:val="5F6368"/>
                <w:sz w:val="17"/>
                <w:szCs w:val="17"/>
              </w:rPr>
              <w:t xml:space="preserve">Every commandTag in all six KUT presets resolves in WorkflowEngine.ResolveCommand.</w:t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5.  Schedules and seeds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20"/>
        <w:gridCol w:w="8606"/>
      </w:tblGrid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26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MEP Lighting Schedule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(Temp · Schedules).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Hoist Load / Hoist Motor / Hoist Drop columns appear.  </w:t>
            </w:r>
            <w:r>
              <w:rPr>
                <w:rFonts w:ascii="Calibri" w:cs="Calibri" w:eastAsia="Calibri" w:hAnsi="Calibri"/>
                <w:b/>
                <w:bCs/>
                <w:color w:val="B71C1C"/>
                <w:sz w:val="20"/>
                <w:szCs w:val="20"/>
              </w:rPr>
              <w:t xml:space="preserve">This is the step that exercises the LTG_HOIST_* binding fix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pair it with step 3.</w:t>
            </w:r>
          </w:p>
        </w:tc>
      </w:tr>
      <w:tr>
        <w:tc>
          <w:tcPr>
            <w:tcW w:type="dxa" w:w="5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37E"/>
                <w:sz w:val="22"/>
                <w:szCs w:val="22"/>
              </w:rPr>
              <w:t xml:space="preserve">27</w:t>
            </w:r>
          </w:p>
        </w:tc>
        <w:tc>
          <w:tcPr>
            <w:tcW w:type="dxa" w:w="860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Do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Build Seeds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(Symbols) on a scratch project.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16"/>
                <w:szCs w:val="16"/>
              </w:rPr>
              <w:t xml:space="preserve">Expect  </w:t>
            </w:r>
            <w:r>
              <w:rPr>
                <w:rFonts w:ascii="Consolas" w:cs="Consolas" w:eastAsia="Consolas" w:hAnsi="Consolas"/>
                <w:color w:val="1565C0"/>
                <w:sz w:val="18"/>
                <w:szCs w:val="18"/>
              </w:rPr>
              <w:t xml:space="preserve">STING_SEED_BaptismalFont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builds with DCW / DHW / SAN + recirculation connectors.</w:t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Failure log</w:t>
      </w:r>
    </w:p>
    <w:p>
      <w:pPr>
        <w:spacing w:after="120" w:before="0" w:line="264"/>
      </w:pPr>
      <w:r>
        <w:rPr>
          <w:rFonts w:ascii="Calibri" w:cs="Calibri" w:eastAsia="Calibri" w:hAnsi="Calibri"/>
          <w:color w:val="5F6368"/>
          <w:sz w:val="20"/>
          <w:szCs w:val="20"/>
        </w:rPr>
        <w:t xml:space="preserve">One row per failed step. Attach the </w:t>
      </w:r>
      <w:r>
        <w:rPr>
          <w:rFonts w:ascii="Consolas" w:cs="Consolas" w:eastAsia="Consolas" w:hAnsi="Consolas"/>
          <w:color w:val="1565C0"/>
          <w:sz w:val="18"/>
          <w:szCs w:val="18"/>
        </w:rPr>
        <w:t xml:space="preserve">StingTools.log</w:t>
      </w:r>
      <w:r>
        <w:rPr>
          <w:rFonts w:ascii="Calibri" w:cs="Calibri" w:eastAsia="Calibri" w:hAnsi="Calibri"/>
          <w:color w:val="5F6368"/>
          <w:sz w:val="20"/>
          <w:szCs w:val="20"/>
        </w:rPr>
        <w:t xml:space="preserve"> excerpt.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5146"/>
        <w:gridCol w:w="1600"/>
      </w:tblGrid>
      <w:tr>
        <w:trPr>
          <w:tblHeader/>
        </w:trPr>
        <w:tc>
          <w:tcPr>
            <w:tcW w:type="dxa" w:w="7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23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Command / tag</w:t>
            </w:r>
          </w:p>
        </w:tc>
        <w:tc>
          <w:tcPr>
            <w:tcW w:type="dxa" w:w="5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happened</w:t>
            </w:r>
          </w:p>
        </w:tc>
        <w:tc>
          <w:tcPr>
            <w:tcW w:type="dxa" w:w="1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rPr>
          <w:trHeight w:val="460" w:hRule="atLeast"/>
        </w:trPr>
        <w:tc>
          <w:tcPr>
            <w:tcW w:type="dxa" w:w="7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1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pBdr>
          <w:bottom w:val="single" w:color="1A237E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A237E"/>
          <w:sz w:val="24"/>
          <w:szCs w:val="24"/>
        </w:rPr>
        <w:t xml:space="preserve">Sign-off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546"/>
      </w:tblGrid>
      <w:tr>
        <w:trPr>
          <w:tblHeader/>
        </w:trPr>
        <w:tc>
          <w:tcPr>
            <w:tcW w:type="dxa" w:w="30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Outcome</w:t>
            </w:r>
          </w:p>
        </w:tc>
        <w:tc>
          <w:tcPr>
            <w:tcW w:type="dxa" w:w="12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dxa" w:w="55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Steps passed</w:t>
            </w:r>
          </w:p>
        </w:tc>
        <w:tc>
          <w:tcPr>
            <w:tcW w:type="dxa" w:w="12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5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Steps failed</w:t>
            </w:r>
          </w:p>
        </w:tc>
        <w:tc>
          <w:tcPr>
            <w:tcW w:type="dxa" w:w="12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5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Steps blocked / not run</w:t>
            </w:r>
          </w:p>
        </w:tc>
        <w:tc>
          <w:tcPr>
            <w:tcW w:type="dxa" w:w="12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5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Cleared for merge to main?</w:t>
            </w:r>
          </w:p>
        </w:tc>
        <w:tc>
          <w:tcPr>
            <w:tcW w:type="dxa" w:w="12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55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200" w:before="0" w:line="264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046"/>
        <w:gridCol w:w="1500"/>
      </w:tblGrid>
      <w:tr>
        <w:trPr>
          <w:tblHeader/>
        </w:trPr>
        <w:tc>
          <w:tcPr>
            <w:tcW w:type="dxa" w:w="24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30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Signature</w:t>
            </w:r>
          </w:p>
        </w:tc>
        <w:tc>
          <w:tcPr>
            <w:tcW w:type="dxa" w:w="15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shd w:fill="1A237E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Tester</w:t>
            </w:r>
          </w:p>
        </w:tc>
        <w:tc>
          <w:tcPr>
            <w:tcW w:type="dxa" w:w="28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0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4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BIM Manager</w:t>
            </w:r>
          </w:p>
        </w:tc>
        <w:tc>
          <w:tcPr>
            <w:tcW w:type="dxa" w:w="28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3046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8CDD6" w:sz="2"/>
              <w:left w:val="single" w:color="C8CDD6" w:sz="2"/>
              <w:bottom w:val="single" w:color="C8CDD6" w:sz="2"/>
              <w:right w:val="single" w:color="C8CDD6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368"/>
        <w:sz w:val="16"/>
        <w:szCs w:val="16"/>
      </w:rPr>
      <w:t xml:space="preserve">Page </w:t>
    </w:r>
    <w:r>
      <w:rPr>
        <w:color w:val="5F636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F6368"/>
        <w:sz w:val="16"/>
        <w:szCs w:val="16"/>
      </w:rPr>
      <w:t xml:space="preserve"> of </w:t>
    </w:r>
    <w:r>
      <w:rPr>
        <w:color w:val="5F636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DD6" w:sz="4" w:space="6"/>
      </w:pBdr>
      <w:tabs>
        <w:tab w:val="right" w:pos="9026"/>
      </w:tabs>
      <w:spacing w:after="60"/>
    </w:pPr>
    <w:r>
      <w:rPr>
        <w:rFonts w:ascii="Calibri" w:cs="Calibri" w:eastAsia="Calibri" w:hAnsi="Calibri"/>
        <w:color w:val="5F6368"/>
        <w:sz w:val="17"/>
        <w:szCs w:val="17"/>
      </w:rPr>
      <w:t xml:space="preserve">Kampala Uganda Temple  ·  STINGTOOLS Phase 192</w:t>
    </w:r>
    <w:r>
      <w:rPr>
        <w:rFonts w:ascii="Calibri" w:cs="Calibri" w:eastAsia="Calibri" w:hAnsi="Calibri"/>
        <w:sz w:val="20"/>
        <w:szCs w:val="20"/>
      </w:rPr>
      <w:t xml:space="preserve">	</w:t>
    </w:r>
    <w:r>
      <w:rPr>
        <w:rFonts w:ascii="Calibri" w:cs="Calibri" w:eastAsia="Calibri" w:hAnsi="Calibri"/>
        <w:color w:val="5F6368"/>
        <w:sz w:val="17"/>
        <w:szCs w:val="17"/>
      </w:rPr>
      <w:t xml:space="preserve">Revit Smoke-Test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KUT — Revit Smoke-Test Checklist (Phase 192)</dc:title>
  <dc:creator>Planscape Consulting Engineers</dc:creator>
  <dc:description>Ordered manual verification checklist for the STINGTOOLS Phase 192 KUT pack.</dc:description>
  <cp:lastModifiedBy>Un-named</cp:lastModifiedBy>
  <cp:revision>1</cp:revision>
  <dcterms:created xsi:type="dcterms:W3CDTF">2026-08-05T12:08:49.260Z</dcterms:created>
  <dcterms:modified xsi:type="dcterms:W3CDTF">2026-08-05T12:08:49.260Z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