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KUT BIM Manager Playbook — Internal (with STINGTOOLS)</w:t>
      </w:r>
    </w:p>
    <w:p>
      <w:pPr>
        <w:pStyle w:val="Author"/>
      </w:pPr>
      <w:r>
        <w:t xml:space="preserve">Author</w:t>
      </w:r>
    </w:p>
    <w:p>
      <w:pPr>
        <w:pStyle w:val="Heading1"/>
      </w:pPr>
      <w:bookmarkStart w:id="20" w:name="X1e77fe08f504d4929b8946a18034b6587d84c9b"/>
      <w:r>
        <w:t xml:space="preserve">KUT BIM Manager Playbook — INTERNAL version (with STINGTOOLS)</w:t>
      </w:r>
      <w:bookmarkEnd w:id="20"/>
    </w:p>
    <w:p>
      <w:pPr>
        <w:pStyle w:val="BlockText"/>
      </w:pPr>
      <w:r>
        <w:rPr>
          <w:b/>
        </w:rPr>
        <w:t xml:space="preserve">PRIVATE — do not share with the client, Symbion or the consultant teams.</w:t>
      </w:r>
      <w:r>
        <w:t xml:space="preserve"> </w:t>
      </w:r>
      <w:r>
        <w:t xml:space="preserve">This is your personal companion to the clean</w:t>
      </w:r>
      <w:r>
        <w:t xml:space="preserve"> </w:t>
      </w:r>
      <w:r>
        <w:rPr>
          <w:rStyle w:val="VerbatimChar"/>
        </w:rPr>
        <w:t xml:space="preserve">KUT_BIM_MANAGER_PLAYBOOK.md</w:t>
      </w:r>
      <w:r>
        <w:t xml:space="preserve">. It records how you use</w:t>
      </w:r>
      <w:r>
        <w:t xml:space="preserve"> </w:t>
      </w:r>
      <w:r>
        <w:rPr>
          <w:b/>
        </w:rPr>
        <w:t xml:space="preserve">STINGTOOLS</w:t>
      </w:r>
      <w:r>
        <w:t xml:space="preserve"> </w:t>
      </w:r>
      <w:r>
        <w:t xml:space="preserve">— your own accelerator — to produce the standard templates, tags, drawings, registers and automations the team and client receive. They only ever see</w:t>
      </w:r>
      <w:r>
        <w:t xml:space="preserve"> </w:t>
      </w:r>
      <w:r>
        <w:rPr>
          <w:b/>
        </w:rPr>
        <w:t xml:space="preserve">standard Revit content and standard outputs</w:t>
      </w:r>
      <w:r>
        <w:t xml:space="preserve"> </w:t>
      </w:r>
      <w:r>
        <w:t xml:space="preserve">(families, PDFs, schedules, registers). STINGTOOLS is never named in a project document, an email or a meeting.</w:t>
      </w:r>
    </w:p>
    <w:p>
      <w:pPr>
        <w:pStyle w:val="BlockText"/>
      </w:pPr>
      <w:r>
        <w:t xml:space="preserve">Read the clean playbook for the process and the ISO 19650 rules. Read</w:t>
      </w:r>
      <w:r>
        <w:t xml:space="preserve"> </w:t>
      </w:r>
      <w:r>
        <w:rPr>
          <w:b/>
        </w:rPr>
        <w:t xml:space="preserve">this</w:t>
      </w:r>
      <w:r>
        <w:t xml:space="preserve"> </w:t>
      </w:r>
      <w:r>
        <w:t xml:space="preserve">for</w:t>
      </w:r>
      <w:r>
        <w:t xml:space="preserve"> </w:t>
      </w:r>
      <w:r>
        <w:rPr>
          <w:i/>
        </w:rPr>
        <w:t xml:space="preserve">which STINGTOOLS command to run, where, and when</w:t>
      </w:r>
      <w:r>
        <w:t xml:space="preserve">, how to set the team up with templates and tags, and how to carry the Interior Designer’s Fohlio work and the other disciplines’ automations.</w:t>
      </w:r>
    </w:p>
    <w:p>
      <w:r>
        <w:pict>
          <v:rect style="width:0;height:1.5pt" o:hralign="center" o:hrstd="t" o:hr="t"/>
        </w:pict>
      </w:r>
    </w:p>
    <w:p>
      <w:pPr>
        <w:pStyle w:val="Heading2"/>
      </w:pPr>
      <w:bookmarkStart w:id="21" w:name="X55cc7b0b5bf3c773c15cef26a2d3b9d88d65170"/>
      <w:r>
        <w:t xml:space="preserve">The principle: STINGTOOLS is your private factory</w:t>
      </w:r>
      <w:bookmarkEnd w:id="21"/>
    </w:p>
    <w:p>
      <w:pPr>
        <w:pStyle w:val="FirstParagraph"/>
      </w:pPr>
      <w:r>
        <w:t xml:space="preserve">You use STINGTOOLS for two jobs:</w:t>
      </w:r>
    </w:p>
    <w:p>
      <w:pPr>
        <w:numPr>
          <w:ilvl w:val="0"/>
          <w:numId w:val="1001"/>
        </w:numPr>
        <w:pStyle w:val="Compact"/>
      </w:pPr>
      <w:r>
        <w:rPr>
          <w:b/>
        </w:rPr>
        <w:t xml:space="preserve">Build the kit once, at mobilisation</w:t>
      </w:r>
      <w:r>
        <w:t xml:space="preserve"> </w:t>
      </w:r>
      <w:r>
        <w:t xml:space="preserve">— the Revit template, the shared parameters, the tag families, the title blocks, the drawing types, the schedules and the KUT standards overlay. You hand the team the</w:t>
      </w:r>
      <w:r>
        <w:t xml:space="preserve"> </w:t>
      </w:r>
      <w:r>
        <w:rPr>
          <w:i/>
        </w:rPr>
        <w:t xml:space="preserve">resulting Revit content</w:t>
      </w:r>
      <w:r>
        <w:t xml:space="preserve"> </w:t>
      </w:r>
      <w:r>
        <w:t xml:space="preserve">(template + families + title blocks), so their models come out standardised</w:t>
      </w:r>
      <w:r>
        <w:t xml:space="preserve"> </w:t>
      </w:r>
      <w:r>
        <w:rPr>
          <w:b/>
        </w:rPr>
        <w:t xml:space="preserve">without them running anything</w:t>
      </w:r>
      <w:r>
        <w:t xml:space="preserve">.</w:t>
      </w:r>
    </w:p>
    <w:p>
      <w:pPr>
        <w:numPr>
          <w:ilvl w:val="0"/>
          <w:numId w:val="1001"/>
        </w:numPr>
        <w:pStyle w:val="Compact"/>
      </w:pPr>
      <w:r>
        <w:rPr>
          <w:b/>
        </w:rPr>
        <w:t xml:space="preserve">Run the production and QA each cycle</w:t>
      </w:r>
      <w:r>
        <w:t xml:space="preserve"> </w:t>
      </w:r>
      <w:r>
        <w:t xml:space="preserve">on the shared and federated models — tagging, naming and data audits, clash, drawings, registers, transmittals, BOQ, COBie, the Fohlio round-trip, the KPI report and the Niagara work — fast, repeatable and audit-ready.</w:t>
      </w:r>
    </w:p>
    <w:p>
      <w:pPr>
        <w:pStyle w:val="FirstParagraph"/>
      </w:pPr>
      <w:r>
        <w:rPr>
          <w:b/>
        </w:rPr>
        <w:t xml:space="preserve">Two deployment choices</w:t>
      </w:r>
      <w:r>
        <w:t xml:space="preserve"> </w:t>
      </w:r>
      <w:r>
        <w:t xml:space="preserve">(see the cautions in Part F before you decide):</w:t>
      </w:r>
      <w:r>
        <w:t xml:space="preserve"> </w:t>
      </w:r>
      <w:r>
        <w:t xml:space="preserve">-</w:t>
      </w:r>
      <w:r>
        <w:t xml:space="preserve"> </w:t>
      </w:r>
      <w:r>
        <w:rPr>
          <w:b/>
        </w:rPr>
        <w:t xml:space="preserve">Central — recommended for a first job.</w:t>
      </w:r>
      <w:r>
        <w:t xml:space="preserve"> </w:t>
      </w:r>
      <w:r>
        <w:t xml:space="preserve">STINGTOOLS runs only on your workstation. You give the team the pre-built template and families; you tag and QA the models they share. Maximum control, minimum support burden.</w:t>
      </w:r>
      <w:r>
        <w:t xml:space="preserve"> </w:t>
      </w:r>
      <w:r>
        <w:t xml:space="preserve">-</w:t>
      </w:r>
      <w:r>
        <w:t xml:space="preserve"> </w:t>
      </w:r>
      <w:r>
        <w:rPr>
          <w:b/>
        </w:rPr>
        <w:t xml:space="preserve">Distributed.</w:t>
      </w:r>
      <w:r>
        <w:t xml:space="preserve"> </w:t>
      </w:r>
      <w:r>
        <w:t xml:space="preserve">STINGTOOLS is copied into each consultant’s Revit so they auto-tag and self-check before sharing. More continuous data, but more training, support and exposure. Move here only once you are settled.</w:t>
      </w:r>
    </w:p>
    <w:p>
      <w:pPr>
        <w:pStyle w:val="BlockText"/>
      </w:pPr>
      <w:r>
        <w:t xml:space="preserve">The team sees a Revit template, a family library, A1/A3 title blocks, standard schedules, the naming and tag scheme, and the LOD matrix.</w:t>
      </w:r>
      <w:r>
        <w:t xml:space="preserve"> </w:t>
      </w:r>
      <w:r>
        <w:rPr>
          <w:b/>
        </w:rPr>
        <w:t xml:space="preserve">You</w:t>
      </w:r>
      <w:r>
        <w:t xml:space="preserve"> </w:t>
      </w:r>
      <w:r>
        <w:t xml:space="preserve">keep STINGTOOLS and how you built and run it.</w:t>
      </w:r>
    </w:p>
    <w:p>
      <w:r>
        <w:pict>
          <v:rect style="width:0;height:1.5pt" o:hralign="center" o:hrstd="t" o:hr="t"/>
        </w:pict>
      </w:r>
    </w:p>
    <w:p>
      <w:pPr>
        <w:pStyle w:val="Heading2"/>
      </w:pPr>
      <w:bookmarkStart w:id="22" w:name="X0669932d183932ce2024d26a1d459244405d59f"/>
      <w:r>
        <w:t xml:space="preserve">PART A — The master map: which command, where, when</w:t>
      </w:r>
      <w:bookmarkEnd w:id="22"/>
    </w:p>
    <w:p>
      <w:pPr>
        <w:pStyle w:val="FirstParagraph"/>
      </w:pPr>
      <w:r>
        <w:t xml:space="preserve">Commands below are STINGTOOLS dock-panel button tags (exact labels live on the panel). This table is the answer to</w:t>
      </w:r>
      <w:r>
        <w:t xml:space="preserve"> </w:t>
      </w:r>
      <w:r>
        <w:t xml:space="preserve">“</w:t>
      </w:r>
      <w:r>
        <w:t xml:space="preserve">which tool, where, at what time.</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STINGTOOLS command(s)</w:t>
            </w:r>
          </w:p>
        </w:tc>
      </w:tr>
      <w:tr>
        <w:tc>
          <w:p>
            <w:pPr>
              <w:pStyle w:val="Compact"/>
              <w:jc w:val="left"/>
            </w:pPr>
            <w:r>
              <w:rPr>
                <w:b/>
              </w:rPr>
              <w:t xml:space="preserve">Mobilisation</w:t>
            </w:r>
          </w:p>
        </w:tc>
        <w:tc>
          <w:p>
            <w:pPr>
              <w:pStyle w:val="Compact"/>
              <w:jc w:val="left"/>
            </w:pPr>
            <w:r>
              <w:t xml:space="preserve">Stand up the Revit project</w:t>
            </w:r>
          </w:p>
        </w:tc>
        <w:tc>
          <w:p>
            <w:pPr>
              <w:pStyle w:val="Compact"/>
              <w:jc w:val="left"/>
            </w:pPr>
            <w:r>
              <w:rPr>
                <w:b/>
              </w:rPr>
              <w:t xml:space="preserve">Project Setup Wizard</w:t>
            </w:r>
            <w:r>
              <w:t xml:space="preserve"> </w:t>
            </w:r>
            <w:r>
              <w:t xml:space="preserve">/</w:t>
            </w:r>
            <w:r>
              <w:t xml:space="preserve"> </w:t>
            </w:r>
            <w:r>
              <w:rPr>
                <w:b/>
              </w:rPr>
              <w:t xml:space="preserve">Master Setup</w:t>
            </w:r>
            <w:r>
              <w:t xml:space="preserve"> </w:t>
            </w:r>
            <w:r>
              <w:t xml:space="preserve">— coords, levels, grids, worksets, filters, view templates, line patterns, phases</w:t>
            </w:r>
          </w:p>
        </w:tc>
      </w:tr>
      <w:tr>
        <w:tc>
          <w:p>
            <w:pPr>
              <w:pStyle w:val="Compact"/>
              <w:jc w:val="left"/>
            </w:pPr>
            <w:r>
              <w:t xml:space="preserve">Mobilisation</w:t>
            </w:r>
          </w:p>
        </w:tc>
        <w:tc>
          <w:p>
            <w:pPr>
              <w:pStyle w:val="Compact"/>
              <w:jc w:val="left"/>
            </w:pPr>
            <w:r>
              <w:t xml:space="preserve">Bind the data schema (incl. the 8-segment tag params)</w:t>
            </w:r>
          </w:p>
        </w:tc>
        <w:tc>
          <w:p>
            <w:pPr>
              <w:pStyle w:val="Compact"/>
              <w:jc w:val="left"/>
            </w:pPr>
            <w:r>
              <w:rPr>
                <w:b/>
              </w:rPr>
              <w:t xml:space="preserve">Create Parameters</w:t>
            </w:r>
            <w:r>
              <w:t xml:space="preserve"> </w:t>
            </w:r>
            <w:r>
              <w:t xml:space="preserve">+</w:t>
            </w:r>
            <w:r>
              <w:t xml:space="preserve"> </w:t>
            </w:r>
            <w:r>
              <w:rPr>
                <w:b/>
              </w:rPr>
              <w:t xml:space="preserve">Load Params</w:t>
            </w:r>
            <w:r>
              <w:t xml:space="preserve"> </w:t>
            </w:r>
            <w:r>
              <w:t xml:space="preserve">(2-pass shared-parameter binding)</w:t>
            </w:r>
          </w:p>
        </w:tc>
      </w:tr>
      <w:tr>
        <w:tc>
          <w:p>
            <w:pPr>
              <w:pStyle w:val="Compact"/>
              <w:jc w:val="left"/>
            </w:pPr>
            <w:r>
              <w:t xml:space="preserve">Mobilisation</w:t>
            </w:r>
          </w:p>
        </w:tc>
        <w:tc>
          <w:p>
            <w:pPr>
              <w:pStyle w:val="Compact"/>
              <w:jc w:val="left"/>
            </w:pPr>
            <w:r>
              <w:t xml:space="preserve">Apply the KUT standards</w:t>
            </w:r>
          </w:p>
        </w:tc>
        <w:tc>
          <w:p>
            <w:pPr>
              <w:pStyle w:val="Compact"/>
              <w:jc w:val="left"/>
            </w:pPr>
            <w:r>
              <w:t xml:space="preserve">drop the</w:t>
            </w:r>
            <w:r>
              <w:t xml:space="preserve"> </w:t>
            </w:r>
            <w:r>
              <w:rPr>
                <w:rStyle w:val="VerbatimChar"/>
                <w:b/>
              </w:rPr>
              <w:t xml:space="preserve">_BIM_COORD</w:t>
            </w:r>
            <w:r>
              <w:rPr>
                <w:b/>
              </w:rPr>
              <w:t xml:space="preserve"> </w:t>
            </w:r>
            <w:r>
              <w:rPr>
                <w:b/>
              </w:rPr>
              <w:t xml:space="preserve">overlay</w:t>
            </w:r>
            <w:r>
              <w:t xml:space="preserve"> </w:t>
            </w:r>
            <w:r>
              <w:t xml:space="preserve">(the whole folder: owner_standards / lod_matrix / tag_schemes / fohlio_map / project_config / sting_classification)</w:t>
            </w:r>
          </w:p>
        </w:tc>
      </w:tr>
      <w:tr>
        <w:tc>
          <w:p>
            <w:pPr>
              <w:pStyle w:val="Compact"/>
              <w:jc w:val="left"/>
            </w:pPr>
            <w:r>
              <w:t xml:space="preserve">Mobilisation</w:t>
            </w:r>
          </w:p>
        </w:tc>
        <w:tc>
          <w:p>
            <w:pPr>
              <w:pStyle w:val="Compact"/>
              <w:jc w:val="left"/>
            </w:pPr>
            <w:r>
              <w:t xml:space="preserve">Build the tag families (the team’s tags)</w:t>
            </w:r>
          </w:p>
        </w:tc>
        <w:tc>
          <w:p>
            <w:pPr>
              <w:pStyle w:val="Compact"/>
              <w:jc w:val="left"/>
            </w:pPr>
            <w:r>
              <w:rPr>
                <w:b/>
              </w:rPr>
              <w:t xml:space="preserve">Tag Family Creator</w:t>
            </w:r>
            <w:r>
              <w:t xml:space="preserve"> </w:t>
            </w:r>
            <w:r>
              <w:t xml:space="preserve">→</w:t>
            </w:r>
            <w:r>
              <w:t xml:space="preserve"> </w:t>
            </w:r>
            <w:r>
              <w:rPr>
                <w:b/>
              </w:rPr>
              <w:t xml:space="preserve">Configure Tag Labels</w:t>
            </w:r>
            <w:r>
              <w:t xml:space="preserve"> </w:t>
            </w:r>
            <w:r>
              <w:t xml:space="preserve">→</w:t>
            </w:r>
            <w:r>
              <w:t xml:space="preserve"> </w:t>
            </w:r>
            <w:r>
              <w:rPr>
                <w:b/>
              </w:rPr>
              <w:t xml:space="preserve">Audit Tag Families</w:t>
            </w:r>
            <w:r>
              <w:t xml:space="preserve"> </w:t>
            </w:r>
            <w:r>
              <w:t xml:space="preserve">(~50 categories)</w:t>
            </w:r>
          </w:p>
        </w:tc>
      </w:tr>
      <w:tr>
        <w:tc>
          <w:p>
            <w:pPr>
              <w:pStyle w:val="Compact"/>
              <w:jc w:val="left"/>
            </w:pPr>
            <w:r>
              <w:t xml:space="preserve">Mobilisation</w:t>
            </w:r>
          </w:p>
        </w:tc>
        <w:tc>
          <w:p>
            <w:pPr>
              <w:pStyle w:val="Compact"/>
              <w:jc w:val="left"/>
            </w:pPr>
            <w:r>
              <w:t xml:space="preserve">Make families carry the data</w:t>
            </w:r>
          </w:p>
        </w:tc>
        <w:tc>
          <w:p>
            <w:pPr>
              <w:pStyle w:val="Compact"/>
              <w:jc w:val="left"/>
            </w:pPr>
            <w:r>
              <w:rPr>
                <w:b/>
              </w:rPr>
              <w:t xml:space="preserve">Family Parameter Processor</w:t>
            </w:r>
            <w:r>
              <w:t xml:space="preserve"> </w:t>
            </w:r>
            <w:r>
              <w:t xml:space="preserve">/</w:t>
            </w:r>
            <w:r>
              <w:t xml:space="preserve"> </w:t>
            </w:r>
            <w:r>
              <w:rPr>
                <w:b/>
              </w:rPr>
              <w:t xml:space="preserve">Batch Add Family Params</w:t>
            </w:r>
            <w:r>
              <w:t xml:space="preserve"> </w:t>
            </w:r>
            <w:r>
              <w:t xml:space="preserve">(inject shared params into the .rfa library)</w:t>
            </w:r>
          </w:p>
        </w:tc>
      </w:tr>
      <w:tr>
        <w:tc>
          <w:p>
            <w:pPr>
              <w:pStyle w:val="Compact"/>
              <w:jc w:val="left"/>
            </w:pPr>
            <w:r>
              <w:t xml:space="preserve">Mobilisation</w:t>
            </w:r>
          </w:p>
        </w:tc>
        <w:tc>
          <w:p>
            <w:pPr>
              <w:pStyle w:val="Compact"/>
              <w:jc w:val="left"/>
            </w:pPr>
            <w:r>
              <w:t xml:space="preserve">Build the A1/A3 title blocks</w:t>
            </w:r>
          </w:p>
        </w:tc>
        <w:tc>
          <w:p>
            <w:pPr>
              <w:pStyle w:val="Compact"/>
              <w:jc w:val="left"/>
            </w:pPr>
            <w:r>
              <w:rPr>
                <w:b/>
              </w:rPr>
              <w:t xml:space="preserve">Title Blocks → Factory</w:t>
            </w:r>
            <w:r>
              <w:t xml:space="preserve"> </w:t>
            </w:r>
            <w:r>
              <w:t xml:space="preserve">(parameter-bound cells)</w:t>
            </w:r>
          </w:p>
        </w:tc>
      </w:tr>
      <w:tr>
        <w:tc>
          <w:p>
            <w:pPr>
              <w:pStyle w:val="Compact"/>
              <w:jc w:val="left"/>
            </w:pPr>
            <w:r>
              <w:t xml:space="preserve">Mobilisation</w:t>
            </w:r>
          </w:p>
        </w:tc>
        <w:tc>
          <w:p>
            <w:pPr>
              <w:pStyle w:val="Compact"/>
              <w:jc w:val="left"/>
            </w:pPr>
            <w:r>
              <w:t xml:space="preserve">Build the sheet + schedule standards</w:t>
            </w:r>
          </w:p>
        </w:tc>
        <w:tc>
          <w:p>
            <w:pPr>
              <w:pStyle w:val="Compact"/>
              <w:jc w:val="left"/>
            </w:pPr>
            <w:r>
              <w:rPr>
                <w:b/>
              </w:rPr>
              <w:t xml:space="preserve">Drawing Template Manager</w:t>
            </w:r>
            <w:r>
              <w:t xml:space="preserve"> </w:t>
            </w:r>
            <w:r>
              <w:t xml:space="preserve">(drawing types, view style packs, AEC filters) +</w:t>
            </w:r>
            <w:r>
              <w:t xml:space="preserve"> </w:t>
            </w:r>
            <w:r>
              <w:rPr>
                <w:b/>
              </w:rPr>
              <w:t xml:space="preserve">Batch Create Schedules</w:t>
            </w:r>
          </w:p>
        </w:tc>
      </w:tr>
      <w:tr>
        <w:tc>
          <w:p>
            <w:pPr>
              <w:pStyle w:val="Compact"/>
              <w:jc w:val="left"/>
            </w:pPr>
            <w:r>
              <w:t xml:space="preserve">Mobilisation</w:t>
            </w:r>
          </w:p>
        </w:tc>
        <w:tc>
          <w:p>
            <w:pPr>
              <w:pStyle w:val="Compact"/>
              <w:jc w:val="left"/>
            </w:pPr>
            <w:r>
              <w:t xml:space="preserve">Check the config before authoring</w:t>
            </w:r>
          </w:p>
        </w:tc>
        <w:tc>
          <w:p>
            <w:pPr>
              <w:pStyle w:val="Compact"/>
              <w:jc w:val="left"/>
            </w:pPr>
            <w:r>
              <w:rPr>
                <w:rStyle w:val="VerbatimChar"/>
                <w:b/>
              </w:rPr>
              <w:t xml:space="preserve">validate_tag_config.py</w:t>
            </w:r>
            <w:r>
              <w:t xml:space="preserve"> </w:t>
            </w:r>
            <w:r>
              <w:t xml:space="preserve">+</w:t>
            </w:r>
            <w:r>
              <w:t xml:space="preserve"> </w:t>
            </w:r>
            <w:r>
              <w:rPr>
                <w:b/>
              </w:rPr>
              <w:t xml:space="preserve">Family Conformance Check</w:t>
            </w:r>
          </w:p>
        </w:tc>
      </w:tr>
      <w:tr>
        <w:tc>
          <w:p>
            <w:pPr>
              <w:pStyle w:val="Compact"/>
              <w:jc w:val="left"/>
            </w:pPr>
            <w:r>
              <w:rPr>
                <w:b/>
              </w:rPr>
              <w:t xml:space="preserve">Daily</w:t>
            </w:r>
            <w:r>
              <w:t xml:space="preserve"> </w:t>
            </w:r>
            <w:r>
              <w:t xml:space="preserve">(if distributed)</w:t>
            </w:r>
          </w:p>
        </w:tc>
        <w:tc>
          <w:p>
            <w:pPr>
              <w:pStyle w:val="Compact"/>
              <w:jc w:val="left"/>
            </w:pPr>
            <w:r>
              <w:t xml:space="preserve">Tag on placement</w:t>
            </w:r>
          </w:p>
        </w:tc>
        <w:tc>
          <w:p>
            <w:pPr>
              <w:pStyle w:val="Compact"/>
              <w:jc w:val="left"/>
            </w:pPr>
            <w:r>
              <w:rPr>
                <w:b/>
              </w:rPr>
              <w:t xml:space="preserve">Auto Tagger</w:t>
            </w:r>
            <w:r>
              <w:t xml:space="preserve"> </w:t>
            </w:r>
            <w:r>
              <w:t xml:space="preserve">(background) +</w:t>
            </w:r>
            <w:r>
              <w:t xml:space="preserve"> </w:t>
            </w:r>
            <w:r>
              <w:rPr>
                <w:b/>
              </w:rPr>
              <w:t xml:space="preserve">Stale Marker</w:t>
            </w:r>
          </w:p>
        </w:tc>
      </w:tr>
      <w:tr>
        <w:tc>
          <w:p>
            <w:pPr>
              <w:pStyle w:val="Compact"/>
              <w:jc w:val="left"/>
            </w:pPr>
            <w:r>
              <w:rPr>
                <w:b/>
              </w:rPr>
              <w:t xml:space="preserve">Each cycle</w:t>
            </w:r>
          </w:p>
        </w:tc>
        <w:tc>
          <w:p>
            <w:pPr>
              <w:pStyle w:val="Compact"/>
              <w:jc w:val="left"/>
            </w:pPr>
            <w:r>
              <w:t xml:space="preserve">Tag + populate the 8-segment data</w:t>
            </w:r>
          </w:p>
        </w:tc>
        <w:tc>
          <w:p>
            <w:pPr>
              <w:pStyle w:val="Compact"/>
              <w:jc w:val="left"/>
            </w:pPr>
            <w:r>
              <w:rPr>
                <w:b/>
              </w:rPr>
              <w:t xml:space="preserve">Tag &amp; Combine</w:t>
            </w:r>
            <w:r>
              <w:t xml:space="preserve"> </w:t>
            </w:r>
            <w:r>
              <w:t xml:space="preserve">/</w:t>
            </w:r>
            <w:r>
              <w:t xml:space="preserve"> </w:t>
            </w:r>
            <w:r>
              <w:rPr>
                <w:b/>
              </w:rPr>
              <w:t xml:space="preserve">Batch Tag</w:t>
            </w:r>
            <w:r>
              <w:t xml:space="preserve"> </w:t>
            </w:r>
            <w:r>
              <w:t xml:space="preserve">/</w:t>
            </w:r>
            <w:r>
              <w:t xml:space="preserve"> </w:t>
            </w:r>
            <w:r>
              <w:rPr>
                <w:b/>
              </w:rPr>
              <w:t xml:space="preserve">Family-Stage Populate</w:t>
            </w:r>
          </w:p>
        </w:tc>
      </w:tr>
      <w:tr>
        <w:tc>
          <w:p>
            <w:pPr>
              <w:pStyle w:val="Compact"/>
              <w:jc w:val="left"/>
            </w:pPr>
            <w:r>
              <w:t xml:space="preserve">Each cycle (before Share)</w:t>
            </w:r>
          </w:p>
        </w:tc>
        <w:tc>
          <w:p>
            <w:pPr>
              <w:pStyle w:val="Compact"/>
              <w:jc w:val="left"/>
            </w:pPr>
            <w:r>
              <w:t xml:space="preserve">The QA gate</w:t>
            </w:r>
          </w:p>
        </w:tc>
        <w:tc>
          <w:p>
            <w:pPr>
              <w:pStyle w:val="Compact"/>
              <w:jc w:val="left"/>
            </w:pPr>
            <w:r>
              <w:rPr>
                <w:b/>
              </w:rPr>
              <w:t xml:space="preserve">Pre-Tag Audit</w:t>
            </w:r>
            <w:r>
              <w:t xml:space="preserve"> </w:t>
            </w:r>
            <w:r>
              <w:t xml:space="preserve">+</w:t>
            </w:r>
            <w:r>
              <w:t xml:space="preserve"> </w:t>
            </w:r>
            <w:r>
              <w:rPr>
                <w:b/>
              </w:rPr>
              <w:t xml:space="preserve">Validate Tags</w:t>
            </w:r>
            <w:r>
              <w:t xml:space="preserve"> </w:t>
            </w:r>
            <w:r>
              <w:t xml:space="preserve">+</w:t>
            </w:r>
            <w:r>
              <w:t xml:space="preserve"> </w:t>
            </w:r>
            <w:r>
              <w:rPr>
                <w:b/>
              </w:rPr>
              <w:t xml:space="preserve">Completeness Dashboard</w:t>
            </w:r>
          </w:p>
        </w:tc>
      </w:tr>
      <w:tr>
        <w:tc>
          <w:p>
            <w:pPr>
              <w:pStyle w:val="Compact"/>
              <w:jc w:val="left"/>
            </w:pPr>
            <w:r>
              <w:t xml:space="preserve">Each cycle</w:t>
            </w:r>
          </w:p>
        </w:tc>
        <w:tc>
          <w:p>
            <w:pPr>
              <w:pStyle w:val="Compact"/>
              <w:jc w:val="left"/>
            </w:pPr>
            <w:r>
              <w:t xml:space="preserve">Federate + clash → issues</w:t>
            </w:r>
          </w:p>
        </w:tc>
        <w:tc>
          <w:p>
            <w:pPr>
              <w:pStyle w:val="Compact"/>
              <w:jc w:val="left"/>
            </w:pPr>
            <w:r>
              <w:rPr>
                <w:b/>
              </w:rPr>
              <w:t xml:space="preserve">Clash Run</w:t>
            </w:r>
            <w:r>
              <w:t xml:space="preserve"> </w:t>
            </w:r>
            <w:r>
              <w:t xml:space="preserve">→</w:t>
            </w:r>
            <w:r>
              <w:t xml:space="preserve"> </w:t>
            </w:r>
            <w:r>
              <w:rPr>
                <w:b/>
              </w:rPr>
              <w:t xml:space="preserve">Clash BCF Export</w:t>
            </w:r>
            <w:r>
              <w:t xml:space="preserve"> </w:t>
            </w:r>
            <w:r>
              <w:t xml:space="preserve">→ push to</w:t>
            </w:r>
            <w:r>
              <w:t xml:space="preserve"> </w:t>
            </w:r>
            <w:r>
              <w:rPr>
                <w:b/>
              </w:rPr>
              <w:t xml:space="preserve">ACC Issues</w:t>
            </w:r>
          </w:p>
        </w:tc>
      </w:tr>
      <w:tr>
        <w:tc>
          <w:p>
            <w:pPr>
              <w:pStyle w:val="Compact"/>
              <w:jc w:val="left"/>
            </w:pPr>
            <w:r>
              <w:t xml:space="preserve">Each cycle</w:t>
            </w:r>
          </w:p>
        </w:tc>
        <w:tc>
          <w:p>
            <w:pPr>
              <w:pStyle w:val="Compact"/>
              <w:jc w:val="left"/>
            </w:pPr>
            <w:r>
              <w:t xml:space="preserve">Produce drawings / sheets</w:t>
            </w:r>
          </w:p>
        </w:tc>
        <w:tc>
          <w:p>
            <w:pPr>
              <w:pStyle w:val="Compact"/>
              <w:jc w:val="left"/>
            </w:pPr>
            <w:r>
              <w:rPr>
                <w:b/>
              </w:rPr>
              <w:t xml:space="preserve">Drawing Types → Produce / Batch Produce</w:t>
            </w:r>
          </w:p>
        </w:tc>
      </w:tr>
      <w:tr>
        <w:tc>
          <w:p>
            <w:pPr>
              <w:pStyle w:val="Compact"/>
              <w:jc w:val="left"/>
            </w:pPr>
            <w:r>
              <w:t xml:space="preserve">Each cycle</w:t>
            </w:r>
          </w:p>
        </w:tc>
        <w:tc>
          <w:p>
            <w:pPr>
              <w:pStyle w:val="Compact"/>
              <w:jc w:val="left"/>
            </w:pPr>
            <w:r>
              <w:t xml:space="preserve">Register + transmittal</w:t>
            </w:r>
          </w:p>
        </w:tc>
        <w:tc>
          <w:p>
            <w:pPr>
              <w:pStyle w:val="Compact"/>
              <w:jc w:val="left"/>
            </w:pPr>
            <w:r>
              <w:rPr>
                <w:b/>
              </w:rPr>
              <w:t xml:space="preserve">Drawing Register</w:t>
            </w:r>
            <w:r>
              <w:t xml:space="preserve"> </w:t>
            </w:r>
            <w:r>
              <w:t xml:space="preserve">export +</w:t>
            </w:r>
            <w:r>
              <w:t xml:space="preserve"> </w:t>
            </w:r>
            <w:r>
              <w:rPr>
                <w:b/>
              </w:rPr>
              <w:t xml:space="preserve">Create Transmittal (Orchestrated)</w:t>
            </w:r>
          </w:p>
        </w:tc>
      </w:tr>
      <w:tr>
        <w:tc>
          <w:p>
            <w:pPr>
              <w:pStyle w:val="Compact"/>
              <w:jc w:val="left"/>
            </w:pPr>
            <w:r>
              <w:t xml:space="preserve">Each cycle</w:t>
            </w:r>
          </w:p>
        </w:tc>
        <w:tc>
          <w:p>
            <w:pPr>
              <w:pStyle w:val="Compact"/>
              <w:jc w:val="left"/>
            </w:pPr>
            <w:r>
              <w:t xml:space="preserve">Web view for non-Revit stakeholders</w:t>
            </w:r>
          </w:p>
        </w:tc>
        <w:tc>
          <w:p>
            <w:pPr>
              <w:pStyle w:val="Compact"/>
              <w:jc w:val="left"/>
            </w:pPr>
            <w:r>
              <w:rPr>
                <w:b/>
              </w:rPr>
              <w:t xml:space="preserve">Speck-Link publish</w:t>
            </w:r>
            <w:r>
              <w:t xml:space="preserve"> </w:t>
            </w:r>
            <w:r>
              <w:t xml:space="preserve">(Speckle) — browser viewer, no licence</w:t>
            </w:r>
          </w:p>
        </w:tc>
      </w:tr>
      <w:tr>
        <w:tc>
          <w:p>
            <w:pPr>
              <w:pStyle w:val="Compact"/>
              <w:jc w:val="left"/>
            </w:pPr>
            <w:r>
              <w:t xml:space="preserve">On any model change</w:t>
            </w:r>
          </w:p>
        </w:tc>
        <w:tc>
          <w:p>
            <w:pPr>
              <w:pStyle w:val="Compact"/>
              <w:jc w:val="left"/>
            </w:pPr>
            <w:r>
              <w:t xml:space="preserve">Auto-run a check (naming / data / clash)</w:t>
            </w:r>
          </w:p>
        </w:tc>
        <w:tc>
          <w:p>
            <w:pPr>
              <w:pStyle w:val="Compact"/>
              <w:jc w:val="left"/>
            </w:pPr>
            <w:r>
              <w:rPr>
                <w:b/>
              </w:rPr>
              <w:t xml:space="preserve">Speck-Link Automate</w:t>
            </w:r>
          </w:p>
        </w:tc>
      </w:tr>
      <w:tr>
        <w:tc>
          <w:p>
            <w:pPr>
              <w:pStyle w:val="Compact"/>
              <w:jc w:val="left"/>
            </w:pPr>
            <w:r>
              <w:rPr>
                <w:b/>
              </w:rPr>
              <w:t xml:space="preserve">Per gate (B/C)</w:t>
            </w:r>
          </w:p>
        </w:tc>
        <w:tc>
          <w:p>
            <w:pPr>
              <w:pStyle w:val="Compact"/>
              <w:jc w:val="left"/>
            </w:pPr>
            <w:r>
              <w:t xml:space="preserve">Bill of quantities</w:t>
            </w:r>
          </w:p>
        </w:tc>
        <w:tc>
          <w:p>
            <w:pPr>
              <w:pStyle w:val="Compact"/>
              <w:jc w:val="left"/>
            </w:pPr>
            <w:r>
              <w:rPr>
                <w:b/>
              </w:rPr>
              <w:t xml:space="preserve">BOQ Export</w:t>
            </w:r>
            <w:r>
              <w:t xml:space="preserve"> </w:t>
            </w:r>
            <w:r>
              <w:t xml:space="preserve">(NRM2)</w:t>
            </w:r>
          </w:p>
        </w:tc>
      </w:tr>
      <w:tr>
        <w:tc>
          <w:p>
            <w:pPr>
              <w:pStyle w:val="Compact"/>
              <w:jc w:val="left"/>
            </w:pPr>
            <w:r>
              <w:t xml:space="preserve">Per gate</w:t>
            </w:r>
          </w:p>
        </w:tc>
        <w:tc>
          <w:p>
            <w:pPr>
              <w:pStyle w:val="Compact"/>
              <w:jc w:val="left"/>
            </w:pPr>
            <w:r>
              <w:t xml:space="preserve">LOD verification</w:t>
            </w:r>
          </w:p>
        </w:tc>
        <w:tc>
          <w:p>
            <w:pPr>
              <w:pStyle w:val="Compact"/>
              <w:jc w:val="left"/>
            </w:pPr>
            <w:r>
              <w:rPr>
                <w:b/>
              </w:rPr>
              <w:t xml:space="preserve">LOD Verify</w:t>
            </w:r>
            <w:r>
              <w:t xml:space="preserve"> </w:t>
            </w:r>
            <w:r>
              <w:t xml:space="preserve">/</w:t>
            </w:r>
            <w:r>
              <w:t xml:space="preserve"> </w:t>
            </w:r>
            <w:r>
              <w:rPr>
                <w:b/>
              </w:rPr>
              <w:t xml:space="preserve">LOD Report</w:t>
            </w:r>
            <w:r>
              <w:t xml:space="preserve"> </w:t>
            </w:r>
            <w:r>
              <w:t xml:space="preserve">/</w:t>
            </w:r>
            <w:r>
              <w:t xml:space="preserve"> </w:t>
            </w:r>
            <w:r>
              <w:rPr>
                <w:b/>
              </w:rPr>
              <w:t xml:space="preserve">LOD Colorize</w:t>
            </w:r>
          </w:p>
        </w:tc>
      </w:tr>
      <w:tr>
        <w:tc>
          <w:p>
            <w:pPr>
              <w:pStyle w:val="Compact"/>
              <w:jc w:val="left"/>
            </w:pPr>
            <w:r>
              <w:rPr>
                <w:b/>
              </w:rPr>
              <w:t xml:space="preserve">Monthly</w:t>
            </w:r>
          </w:p>
        </w:tc>
        <w:tc>
          <w:p>
            <w:pPr>
              <w:pStyle w:val="Compact"/>
              <w:jc w:val="left"/>
            </w:pPr>
            <w:r>
              <w:t xml:space="preserve">Status report</w:t>
            </w:r>
          </w:p>
        </w:tc>
        <w:tc>
          <w:p>
            <w:pPr>
              <w:pStyle w:val="Compact"/>
              <w:jc w:val="left"/>
            </w:pPr>
            <w:r>
              <w:rPr>
                <w:b/>
              </w:rPr>
              <w:t xml:space="preserve">KUT KPI Dashboard</w:t>
            </w:r>
            <w:r>
              <w:t xml:space="preserve"> </w:t>
            </w:r>
            <w:r>
              <w:t xml:space="preserve">(HTML + CSV)</w:t>
            </w:r>
          </w:p>
        </w:tc>
      </w:tr>
      <w:tr>
        <w:tc>
          <w:p>
            <w:pPr>
              <w:pStyle w:val="Compact"/>
              <w:jc w:val="left"/>
            </w:pPr>
            <w:r>
              <w:rPr>
                <w:b/>
              </w:rPr>
              <w:t xml:space="preserve">2.3 onward</w:t>
            </w:r>
          </w:p>
        </w:tc>
        <w:tc>
          <w:p>
            <w:pPr>
              <w:pStyle w:val="Compact"/>
              <w:jc w:val="left"/>
            </w:pPr>
            <w:r>
              <w:t xml:space="preserve">FF&amp;E + finishes round-trip</w:t>
            </w:r>
          </w:p>
        </w:tc>
        <w:tc>
          <w:p>
            <w:pPr>
              <w:pStyle w:val="Compact"/>
              <w:jc w:val="left"/>
            </w:pPr>
            <w:r>
              <w:rPr>
                <w:b/>
              </w:rPr>
              <w:t xml:space="preserve">Fohlio Export Finishes</w:t>
            </w:r>
            <w:r>
              <w:t xml:space="preserve"> </w:t>
            </w:r>
            <w:r>
              <w:t xml:space="preserve">/</w:t>
            </w:r>
            <w:r>
              <w:t xml:space="preserve"> </w:t>
            </w:r>
            <w:r>
              <w:rPr>
                <w:b/>
              </w:rPr>
              <w:t xml:space="preserve">Fohlio Import Finishes</w:t>
            </w:r>
            <w:r>
              <w:t xml:space="preserve"> </w:t>
            </w:r>
            <w:r>
              <w:t xml:space="preserve">(Part D)</w:t>
            </w:r>
          </w:p>
        </w:tc>
      </w:tr>
      <w:tr>
        <w:tc>
          <w:p>
            <w:pPr>
              <w:pStyle w:val="Compact"/>
              <w:jc w:val="left"/>
            </w:pPr>
            <w:r>
              <w:t xml:space="preserve">2.3 onward</w:t>
            </w:r>
          </w:p>
        </w:tc>
        <w:tc>
          <w:p>
            <w:pPr>
              <w:pStyle w:val="Compact"/>
              <w:jc w:val="left"/>
            </w:pPr>
            <w:r>
              <w:t xml:space="preserve">Spec ↔ model reconcile</w:t>
            </w:r>
          </w:p>
        </w:tc>
        <w:tc>
          <w:p>
            <w:pPr>
              <w:pStyle w:val="Compact"/>
              <w:jc w:val="left"/>
            </w:pPr>
            <w:r>
              <w:rPr>
                <w:b/>
              </w:rPr>
              <w:t xml:space="preserve">CSI Assign</w:t>
            </w:r>
            <w:r>
              <w:t xml:space="preserve"> </w:t>
            </w:r>
            <w:r>
              <w:t xml:space="preserve">+</w:t>
            </w:r>
            <w:r>
              <w:t xml:space="preserve"> </w:t>
            </w:r>
            <w:r>
              <w:rPr>
                <w:b/>
              </w:rPr>
              <w:t xml:space="preserve">SpecLink Reconcile</w:t>
            </w:r>
          </w:p>
        </w:tc>
      </w:tr>
      <w:tr>
        <w:tc>
          <w:p>
            <w:pPr>
              <w:pStyle w:val="Compact"/>
              <w:jc w:val="left"/>
            </w:pPr>
            <w:r>
              <w:t xml:space="preserve">2.3 onward</w:t>
            </w:r>
          </w:p>
        </w:tc>
        <w:tc>
          <w:p>
            <w:pPr>
              <w:pStyle w:val="Compact"/>
              <w:jc w:val="left"/>
            </w:pPr>
            <w:r>
              <w:t xml:space="preserve">Asset data (only if Owner requires)</w:t>
            </w:r>
          </w:p>
        </w:tc>
        <w:tc>
          <w:p>
            <w:pPr>
              <w:pStyle w:val="Compact"/>
              <w:jc w:val="left"/>
            </w:pPr>
            <w:r>
              <w:rPr>
                <w:b/>
              </w:rPr>
              <w:t xml:space="preserve">COBie Export</w:t>
            </w:r>
            <w:r>
              <w:t xml:space="preserve"> </w:t>
            </w:r>
            <w:r>
              <w:t xml:space="preserve">(2.4)</w:t>
            </w:r>
          </w:p>
        </w:tc>
      </w:tr>
      <w:tr>
        <w:tc>
          <w:p>
            <w:pPr>
              <w:pStyle w:val="Compact"/>
              <w:jc w:val="left"/>
            </w:pPr>
            <w:r>
              <w:rPr>
                <w:b/>
              </w:rPr>
              <w:t xml:space="preserve">3.1</w:t>
            </w:r>
          </w:p>
        </w:tc>
        <w:tc>
          <w:p>
            <w:pPr>
              <w:pStyle w:val="Compact"/>
              <w:jc w:val="left"/>
            </w:pPr>
            <w:r>
              <w:t xml:space="preserve">Revisions</w:t>
            </w:r>
          </w:p>
        </w:tc>
        <w:tc>
          <w:p>
            <w:pPr>
              <w:pStyle w:val="Compact"/>
              <w:jc w:val="left"/>
            </w:pPr>
            <w:r>
              <w:rPr>
                <w:b/>
              </w:rPr>
              <w:t xml:space="preserve">Auto Revision Cloud</w:t>
            </w:r>
            <w:r>
              <w:t xml:space="preserve"> </w:t>
            </w:r>
            <w:r>
              <w:t xml:space="preserve">/</w:t>
            </w:r>
            <w:r>
              <w:t xml:space="preserve"> </w:t>
            </w:r>
            <w:r>
              <w:rPr>
                <w:b/>
              </w:rPr>
              <w:t xml:space="preserve">Revision Dashboard</w:t>
            </w:r>
          </w:p>
        </w:tc>
      </w:tr>
      <w:tr>
        <w:tc>
          <w:p>
            <w:pPr>
              <w:pStyle w:val="Compact"/>
              <w:jc w:val="left"/>
            </w:pPr>
            <w:r>
              <w:t xml:space="preserve">3.1</w:t>
            </w:r>
          </w:p>
        </w:tc>
        <w:tc>
          <w:p>
            <w:pPr>
              <w:pStyle w:val="Compact"/>
              <w:jc w:val="left"/>
            </w:pPr>
            <w:r>
              <w:t xml:space="preserve">Commissioning point list</w:t>
            </w:r>
          </w:p>
        </w:tc>
        <w:tc>
          <w:p>
            <w:pPr>
              <w:pStyle w:val="Compact"/>
              <w:jc w:val="left"/>
            </w:pPr>
            <w:r>
              <w:rPr>
                <w:b/>
              </w:rPr>
              <w:t xml:space="preserve">Niagara → Export Points</w:t>
            </w:r>
          </w:p>
        </w:tc>
      </w:tr>
      <w:tr>
        <w:tc>
          <w:p>
            <w:pPr>
              <w:pStyle w:val="Compact"/>
              <w:jc w:val="left"/>
            </w:pPr>
            <w:r>
              <w:rPr>
                <w:b/>
              </w:rPr>
              <w:t xml:space="preserve">3.3</w:t>
            </w:r>
          </w:p>
        </w:tc>
        <w:tc>
          <w:p>
            <w:pPr>
              <w:pStyle w:val="Compact"/>
              <w:jc w:val="left"/>
            </w:pPr>
            <w:r>
              <w:t xml:space="preserve">Record verification + twin</w:t>
            </w:r>
          </w:p>
        </w:tc>
        <w:tc>
          <w:p>
            <w:pPr>
              <w:pStyle w:val="Compact"/>
              <w:jc w:val="left"/>
            </w:pPr>
            <w:r>
              <w:t xml:space="preserve">record-model verification +</w:t>
            </w:r>
            <w:r>
              <w:t xml:space="preserve"> </w:t>
            </w:r>
            <w:r>
              <w:rPr>
                <w:b/>
              </w:rPr>
              <w:t xml:space="preserve">Niagara → Reconcile</w:t>
            </w:r>
          </w:p>
        </w:tc>
      </w:tr>
      <w:tr>
        <w:tc>
          <w:p>
            <w:pPr>
              <w:pStyle w:val="Compact"/>
              <w:jc w:val="left"/>
            </w:pPr>
            <w:r>
              <w:t xml:space="preserve">3.3</w:t>
            </w:r>
          </w:p>
        </w:tc>
        <w:tc>
          <w:p>
            <w:pPr>
              <w:pStyle w:val="Compact"/>
              <w:jc w:val="left"/>
            </w:pPr>
            <w:r>
              <w:t xml:space="preserve">Final issue</w:t>
            </w:r>
          </w:p>
        </w:tc>
        <w:tc>
          <w:p>
            <w:pPr>
              <w:pStyle w:val="Compact"/>
              <w:jc w:val="left"/>
            </w:pPr>
            <w:r>
              <w:rPr>
                <w:b/>
              </w:rPr>
              <w:t xml:space="preserve">CDE Package</w:t>
            </w:r>
            <w:r>
              <w:t xml:space="preserve"> </w:t>
            </w:r>
            <w:r>
              <w:t xml:space="preserve">export (WIP/Shared/Published/Archived) + transmittal + archive</w:t>
            </w:r>
          </w:p>
        </w:tc>
      </w:tr>
    </w:tbl>
    <w:p>
      <w:pPr>
        <w:pStyle w:val="BlockText"/>
      </w:pPr>
      <w:r>
        <w:t xml:space="preserve">Tip: the **WORKFLOW_KUT_*.json** presets chain these into one click — a mobilisation preset, a coordination-cycle preset, a deliverable preset, a monthly-report preset and an FF&amp;E-sync preset.</w:t>
      </w:r>
    </w:p>
    <w:p>
      <w:r>
        <w:pict>
          <v:rect style="width:0;height:1.5pt" o:hralign="center" o:hrstd="t" o:hr="t"/>
        </w:pict>
      </w:r>
    </w:p>
    <w:p>
      <w:pPr>
        <w:pStyle w:val="Heading2"/>
      </w:pPr>
      <w:bookmarkStart w:id="23" w:name="X4cf2459d57c766aff0b9343d4781c831d2b7019"/>
      <w:r>
        <w:t xml:space="preserve">PART B — Mobilisation: build the team’s kit (templates + tags)</w:t>
      </w:r>
      <w:bookmarkEnd w:id="23"/>
    </w:p>
    <w:p>
      <w:pPr>
        <w:pStyle w:val="FirstParagraph"/>
      </w:pPr>
      <w:r>
        <w:t xml:space="preserve">This is the work you described:</w:t>
      </w:r>
      <w:r>
        <w:t xml:space="preserve"> </w:t>
      </w:r>
      <w:r>
        <w:t xml:space="preserve">“</w:t>
      </w:r>
      <w:r>
        <w:t xml:space="preserve">use STINGTOOLS to provide them with templates and tags.</w:t>
      </w:r>
      <w:r>
        <w:t xml:space="preserve">”</w:t>
      </w:r>
      <w:r>
        <w:t xml:space="preserve"> </w:t>
      </w:r>
      <w:r>
        <w:t xml:space="preserve">Do it once, well; the whole project rides on it.</w:t>
      </w:r>
    </w:p>
    <w:p>
      <w:pPr>
        <w:numPr>
          <w:ilvl w:val="0"/>
          <w:numId w:val="1002"/>
        </w:numPr>
        <w:pStyle w:val="Compact"/>
      </w:pPr>
      <w:r>
        <w:rPr>
          <w:b/>
        </w:rPr>
        <w:t xml:space="preserve">Stand up the Revit template.</w:t>
      </w:r>
      <w:r>
        <w:t xml:space="preserve"> </w:t>
      </w:r>
      <w:r>
        <w:t xml:space="preserve">Run</w:t>
      </w:r>
      <w:r>
        <w:t xml:space="preserve"> </w:t>
      </w:r>
      <w:r>
        <w:rPr>
          <w:b/>
        </w:rPr>
        <w:t xml:space="preserve">Project Setup Wizard</w:t>
      </w:r>
      <w:r>
        <w:t xml:space="preserve"> </w:t>
      </w:r>
      <w:r>
        <w:t xml:space="preserve">(or</w:t>
      </w:r>
      <w:r>
        <w:t xml:space="preserve"> </w:t>
      </w:r>
      <w:r>
        <w:rPr>
          <w:b/>
        </w:rPr>
        <w:t xml:space="preserve">Master Setup</w:t>
      </w:r>
      <w:r>
        <w:t xml:space="preserve">): set and</w:t>
      </w:r>
      <w:r>
        <w:t xml:space="preserve"> </w:t>
      </w:r>
      <w:r>
        <w:rPr>
          <w:b/>
        </w:rPr>
        <w:t xml:space="preserve">lock</w:t>
      </w:r>
      <w:r>
        <w:t xml:space="preserve"> </w:t>
      </w:r>
      <w:r>
        <w:t xml:space="preserve">the shared coordinate system and true north, the levels and grids, the worksets, the view templates, the filters, line patterns and phases. This becomes the single project template every discipline starts from.</w:t>
      </w:r>
    </w:p>
    <w:p>
      <w:pPr>
        <w:numPr>
          <w:ilvl w:val="0"/>
          <w:numId w:val="1002"/>
        </w:numPr>
        <w:pStyle w:val="Compact"/>
      </w:pPr>
      <w:r>
        <w:rPr>
          <w:b/>
        </w:rPr>
        <w:t xml:space="preserve">Bind the data schema.</w:t>
      </w:r>
      <w:r>
        <w:t xml:space="preserve"> </w:t>
      </w:r>
      <w:r>
        <w:t xml:space="preserve">Run</w:t>
      </w:r>
      <w:r>
        <w:t xml:space="preserve"> </w:t>
      </w:r>
      <w:r>
        <w:rPr>
          <w:b/>
        </w:rPr>
        <w:t xml:space="preserve">Create Parameters</w:t>
      </w:r>
      <w:r>
        <w:t xml:space="preserve">, then</w:t>
      </w:r>
      <w:r>
        <w:t xml:space="preserve"> </w:t>
      </w:r>
      <w:r>
        <w:rPr>
          <w:b/>
        </w:rPr>
        <w:t xml:space="preserve">Load Params</w:t>
      </w:r>
      <w:r>
        <w:t xml:space="preserve"> </w:t>
      </w:r>
      <w:r>
        <w:t xml:space="preserve">(2-pass), to bind every shared parameter, including the eight-segment tag parameters (DISC / LOC / ZONE / LVL / SYS / FUNC / PROD / SEQ) and the data parameters that feed schedules, BOQ, Fohlio and Niagara.</w:t>
      </w:r>
    </w:p>
    <w:p>
      <w:pPr>
        <w:numPr>
          <w:ilvl w:val="0"/>
          <w:numId w:val="1002"/>
        </w:numPr>
        <w:pStyle w:val="Compact"/>
      </w:pPr>
      <w:r>
        <w:rPr>
          <w:b/>
        </w:rPr>
        <w:t xml:space="preserve">Apply the KUT standards overlay.</w:t>
      </w:r>
      <w:r>
        <w:t xml:space="preserve"> </w:t>
      </w:r>
      <w:r>
        <w:t xml:space="preserve">Drop the</w:t>
      </w:r>
      <w:r>
        <w:t xml:space="preserve"> </w:t>
      </w:r>
      <w:r>
        <w:rPr>
          <w:rStyle w:val="VerbatimChar"/>
        </w:rPr>
        <w:t xml:space="preserve">_BIM_COORD</w:t>
      </w:r>
      <w:r>
        <w:t xml:space="preserve"> </w:t>
      </w:r>
      <w:r>
        <w:t xml:space="preserve">JSON (</w:t>
      </w:r>
      <w:r>
        <w:rPr>
          <w:rStyle w:val="VerbatimChar"/>
        </w:rPr>
        <w:t xml:space="preserve">owner_standards.json</w:t>
      </w:r>
      <w:r>
        <w:t xml:space="preserve">,</w:t>
      </w:r>
      <w:r>
        <w:t xml:space="preserve"> </w:t>
      </w:r>
      <w:r>
        <w:rPr>
          <w:rStyle w:val="VerbatimChar"/>
        </w:rPr>
        <w:t xml:space="preserve">lod_matrix.json</w:t>
      </w:r>
      <w:r>
        <w:t xml:space="preserve">,</w:t>
      </w:r>
      <w:r>
        <w:t xml:space="preserve"> </w:t>
      </w:r>
      <w:r>
        <w:rPr>
          <w:rStyle w:val="VerbatimChar"/>
        </w:rPr>
        <w:t xml:space="preserve">tag_schemes.json</w:t>
      </w:r>
      <w:r>
        <w:t xml:space="preserve">,</w:t>
      </w:r>
      <w:r>
        <w:t xml:space="preserve"> </w:t>
      </w:r>
      <w:r>
        <w:rPr>
          <w:rStyle w:val="VerbatimChar"/>
        </w:rPr>
        <w:t xml:space="preserve">fohlio_map.json</w:t>
      </w:r>
      <w:r>
        <w:t xml:space="preserve">, project_config.json, sting_classification.json — the whole folder, not a subset) into the project so the eight-segment tag scheme, the LOD matrix, the naming and the Fohlio mapping are enforced as data, not by hand. When the Owner’s US standards arrive in week 1, you adopt them by</w:t>
      </w:r>
      <w:r>
        <w:t xml:space="preserve"> </w:t>
      </w:r>
      <w:r>
        <w:rPr>
          <w:b/>
        </w:rPr>
        <w:t xml:space="preserve">editing these files</w:t>
      </w:r>
      <w:r>
        <w:t xml:space="preserve"> </w:t>
      </w:r>
      <w:r>
        <w:t xml:space="preserve">— no rework, nothing on the critical path.</w:t>
      </w:r>
    </w:p>
    <w:p>
      <w:pPr>
        <w:numPr>
          <w:ilvl w:val="0"/>
          <w:numId w:val="1002"/>
        </w:numPr>
        <w:pStyle w:val="Compact"/>
      </w:pPr>
      <w:r>
        <w:rPr>
          <w:b/>
        </w:rPr>
        <w:t xml:space="preserve">Build the tag families.</w:t>
      </w:r>
      <w:r>
        <w:t xml:space="preserve"> </w:t>
      </w:r>
      <w:r>
        <w:t xml:space="preserve">Run</w:t>
      </w:r>
      <w:r>
        <w:t xml:space="preserve"> </w:t>
      </w:r>
      <w:r>
        <w:rPr>
          <w:rStyle w:val="VerbatimChar"/>
          <w:b/>
        </w:rPr>
        <w:t xml:space="preserve">validate_tag_config.py</w:t>
      </w:r>
      <w:r>
        <w:t xml:space="preserve"> </w:t>
      </w:r>
      <w:r>
        <w:t xml:space="preserve">first and close the known gap (the</w:t>
      </w:r>
      <w:r>
        <w:t xml:space="preserve"> </w:t>
      </w:r>
      <w:r>
        <w:rPr>
          <w:b/>
        </w:rPr>
        <w:t xml:space="preserve">64 missing 2.5/3.5 tag-size parameters</w:t>
      </w:r>
      <w:r>
        <w:t xml:space="preserve">) so nothing fails mid-cycle. Then</w:t>
      </w:r>
      <w:r>
        <w:t xml:space="preserve"> </w:t>
      </w:r>
      <w:r>
        <w:rPr>
          <w:b/>
        </w:rPr>
        <w:t xml:space="preserve">Tag Family Creator</w:t>
      </w:r>
      <w:r>
        <w:t xml:space="preserve"> </w:t>
      </w:r>
      <w:r>
        <w:t xml:space="preserve">generates the tag families for ~50 categories;</w:t>
      </w:r>
      <w:r>
        <w:t xml:space="preserve"> </w:t>
      </w:r>
      <w:r>
        <w:rPr>
          <w:b/>
        </w:rPr>
        <w:t xml:space="preserve">Configure Tag Labels</w:t>
      </w:r>
      <w:r>
        <w:t xml:space="preserve"> </w:t>
      </w:r>
      <w:r>
        <w:t xml:space="preserve">sets which segments show;</w:t>
      </w:r>
      <w:r>
        <w:t xml:space="preserve"> </w:t>
      </w:r>
      <w:r>
        <w:rPr>
          <w:b/>
        </w:rPr>
        <w:t xml:space="preserve">Audit Tag Families</w:t>
      </w:r>
      <w:r>
        <w:t xml:space="preserve"> </w:t>
      </w:r>
      <w:r>
        <w:t xml:space="preserve">checks the bindings.</w:t>
      </w:r>
    </w:p>
    <w:p>
      <w:pPr>
        <w:numPr>
          <w:ilvl w:val="0"/>
          <w:numId w:val="1002"/>
        </w:numPr>
        <w:pStyle w:val="Compact"/>
      </w:pPr>
      <w:r>
        <w:rPr>
          <w:b/>
        </w:rPr>
        <w:t xml:space="preserve">Make the content carry the data.</w:t>
      </w:r>
      <w:r>
        <w:t xml:space="preserve"> </w:t>
      </w:r>
      <w:r>
        <w:t xml:space="preserve">Run</w:t>
      </w:r>
      <w:r>
        <w:t xml:space="preserve"> </w:t>
      </w:r>
      <w:r>
        <w:rPr>
          <w:b/>
        </w:rPr>
        <w:t xml:space="preserve">Family Parameter Processor</w:t>
      </w:r>
      <w:r>
        <w:t xml:space="preserve"> </w:t>
      </w:r>
      <w:r>
        <w:t xml:space="preserve">/</w:t>
      </w:r>
      <w:r>
        <w:t xml:space="preserve"> </w:t>
      </w:r>
      <w:r>
        <w:rPr>
          <w:b/>
        </w:rPr>
        <w:t xml:space="preserve">Batch Add Family Params</w:t>
      </w:r>
      <w:r>
        <w:t xml:space="preserve"> </w:t>
      </w:r>
      <w:r>
        <w:t xml:space="preserve">to inject the shared parameters into the family library (.rfa), so every placed element can carry its eight-segment tag and data. Run</w:t>
      </w:r>
      <w:r>
        <w:t xml:space="preserve"> </w:t>
      </w:r>
      <w:r>
        <w:rPr>
          <w:b/>
        </w:rPr>
        <w:t xml:space="preserve">Family Conformance Check</w:t>
      </w:r>
      <w:r>
        <w:t xml:space="preserve"> </w:t>
      </w:r>
      <w:r>
        <w:t xml:space="preserve">on any consultant or vendor families</w:t>
      </w:r>
      <w:r>
        <w:t xml:space="preserve"> </w:t>
      </w:r>
      <w:r>
        <w:rPr>
          <w:i/>
        </w:rPr>
        <w:t xml:space="preserve">before</w:t>
      </w:r>
      <w:r>
        <w:t xml:space="preserve"> </w:t>
      </w:r>
      <w:r>
        <w:t xml:space="preserve">you accept them into the library.</w:t>
      </w:r>
    </w:p>
    <w:p>
      <w:pPr>
        <w:numPr>
          <w:ilvl w:val="0"/>
          <w:numId w:val="1002"/>
        </w:numPr>
        <w:pStyle w:val="Compact"/>
      </w:pPr>
      <w:r>
        <w:rPr>
          <w:b/>
        </w:rPr>
        <w:t xml:space="preserve">Build the title blocks.</w:t>
      </w:r>
      <w:r>
        <w:t xml:space="preserve"> </w:t>
      </w:r>
      <w:r>
        <w:t xml:space="preserve">Run</w:t>
      </w:r>
      <w:r>
        <w:t xml:space="preserve"> </w:t>
      </w:r>
      <w:r>
        <w:rPr>
          <w:b/>
        </w:rPr>
        <w:t xml:space="preserve">Title Blocks → Factory</w:t>
      </w:r>
      <w:r>
        <w:t xml:space="preserve"> </w:t>
      </w:r>
      <w:r>
        <w:t xml:space="preserve">to author the A1 and A3 title blocks with parameter-bound cells: project cells (client, project code, originator) fill themselves from Project Information; sheet cells (discipline, ISO sheet number, suitability, status, revision) come from the drawing-type rules. No hand-typing, no duplicate numbers, no</w:t>
      </w:r>
      <w:r>
        <w:t xml:space="preserve"> </w:t>
      </w:r>
      <w:r>
        <w:t xml:space="preserve">“</w:t>
      </w:r>
      <w:r>
        <w:t xml:space="preserve">BLD2 on a BLD3 sheet.</w:t>
      </w:r>
      <w:r>
        <w:t xml:space="preserve">”</w:t>
      </w:r>
    </w:p>
    <w:p>
      <w:pPr>
        <w:numPr>
          <w:ilvl w:val="0"/>
          <w:numId w:val="1002"/>
        </w:numPr>
        <w:pStyle w:val="Compact"/>
      </w:pPr>
      <w:r>
        <w:rPr>
          <w:b/>
        </w:rPr>
        <w:t xml:space="preserve">Build the sheet + schedule standards.</w:t>
      </w:r>
      <w:r>
        <w:t xml:space="preserve"> </w:t>
      </w:r>
      <w:r>
        <w:t xml:space="preserve">Set up the</w:t>
      </w:r>
      <w:r>
        <w:t xml:space="preserve"> </w:t>
      </w:r>
      <w:r>
        <w:rPr>
          <w:b/>
        </w:rPr>
        <w:t xml:space="preserve">Drawing Template Manager</w:t>
      </w:r>
      <w:r>
        <w:t xml:space="preserve"> </w:t>
      </w:r>
      <w:r>
        <w:t xml:space="preserve">(drawing types, view style packs, AEC filters) and</w:t>
      </w:r>
      <w:r>
        <w:t xml:space="preserve"> </w:t>
      </w:r>
      <w:r>
        <w:rPr>
          <w:b/>
        </w:rPr>
        <w:t xml:space="preserve">Batch Create Schedules</w:t>
      </w:r>
      <w:r>
        <w:t xml:space="preserve"> </w:t>
      </w:r>
      <w:r>
        <w:t xml:space="preserve">(door / window / equipment / FF&amp;E / etc.) so production is one click later.</w:t>
      </w:r>
    </w:p>
    <w:p>
      <w:pPr>
        <w:numPr>
          <w:ilvl w:val="0"/>
          <w:numId w:val="1002"/>
        </w:numPr>
        <w:pStyle w:val="Compact"/>
      </w:pPr>
      <w:r>
        <w:rPr>
          <w:b/>
        </w:rPr>
        <w:t xml:space="preserve">Hand it over.</w:t>
      </w:r>
      <w:r>
        <w:t xml:space="preserve"> </w:t>
      </w:r>
      <w:r>
        <w:t xml:space="preserve">Distribute the</w:t>
      </w:r>
      <w:r>
        <w:t xml:space="preserve"> </w:t>
      </w:r>
      <w:r>
        <w:rPr>
          <w:b/>
        </w:rPr>
        <w:t xml:space="preserve">Revit project template + the family library + the A1/A3 title blocks</w:t>
      </w:r>
      <w:r>
        <w:t xml:space="preserve"> </w:t>
      </w:r>
      <w:r>
        <w:t xml:space="preserve">to each discipline. They now model in standard Revit; the tags, data, sheets and schedules come out standardised because the content is pre-built. They never need to know how it was made.</w:t>
      </w:r>
    </w:p>
    <w:p>
      <w:r>
        <w:pict>
          <v:rect style="width:0;height:1.5pt" o:hralign="center" o:hrstd="t" o:hr="t"/>
        </w:pict>
      </w:r>
    </w:p>
    <w:p>
      <w:pPr>
        <w:pStyle w:val="Heading2"/>
      </w:pPr>
      <w:bookmarkStart w:id="24" w:name="Xb03934597f0cd0325753b17ce213edf666a4833"/>
      <w:r>
        <w:t xml:space="preserve">PART C — The phase-by-phase STINGTOOLS overlay</w:t>
      </w:r>
      <w:bookmarkEnd w:id="24"/>
    </w:p>
    <w:p>
      <w:pPr>
        <w:pStyle w:val="FirstParagraph"/>
      </w:pPr>
      <w:r>
        <w:t xml:space="preserve">Mirror of Part 7 of the clean playbook, with the commands at each stage.</w:t>
      </w:r>
    </w:p>
    <w:p>
      <w:pPr>
        <w:numPr>
          <w:ilvl w:val="0"/>
          <w:numId w:val="1003"/>
        </w:numPr>
        <w:pStyle w:val="Compact"/>
      </w:pPr>
      <w:r>
        <w:rPr>
          <w:b/>
        </w:rPr>
        <w:t xml:space="preserve">Mobilisation (M0–M1):</w:t>
      </w:r>
      <w:r>
        <w:t xml:space="preserve"> </w:t>
      </w:r>
      <w:r>
        <w:t xml:space="preserve">the full kit above + validate (</w:t>
      </w:r>
      <w:r>
        <w:rPr>
          <w:rStyle w:val="VerbatimChar"/>
        </w:rPr>
        <w:t xml:space="preserve">validate_tag_config.py</w:t>
      </w:r>
      <w:r>
        <w:t xml:space="preserve">, Family Conformance Check). Set up the cycle and report</w:t>
      </w:r>
      <w:r>
        <w:t xml:space="preserve"> </w:t>
      </w:r>
      <w:r>
        <w:rPr>
          <w:b/>
        </w:rPr>
        <w:t xml:space="preserve">WORKFLOW_KUT</w:t>
      </w:r>
      <w:r>
        <w:t xml:space="preserve"> </w:t>
      </w:r>
      <w:r>
        <w:t xml:space="preserve">presets.</w:t>
      </w:r>
    </w:p>
    <w:p>
      <w:pPr>
        <w:numPr>
          <w:ilvl w:val="0"/>
          <w:numId w:val="1003"/>
        </w:numPr>
        <w:pStyle w:val="Compact"/>
      </w:pPr>
      <w:r>
        <w:rPr>
          <w:b/>
        </w:rPr>
        <w:t xml:space="preserve">2.1 BOD · LOD 200 · M1:</w:t>
      </w:r>
      <w:r>
        <w:t xml:space="preserve"> </w:t>
      </w:r>
      <w:r>
        <w:rPr>
          <w:b/>
        </w:rPr>
        <w:t xml:space="preserve">Batch Tag</w:t>
      </w:r>
      <w:r>
        <w:t xml:space="preserve"> </w:t>
      </w:r>
      <w:r>
        <w:t xml:space="preserve">to LOD 200; first</w:t>
      </w:r>
      <w:r>
        <w:t xml:space="preserve"> </w:t>
      </w:r>
      <w:r>
        <w:rPr>
          <w:b/>
        </w:rPr>
        <w:t xml:space="preserve">KUT KPI Dashboard</w:t>
      </w:r>
      <w:r>
        <w:t xml:space="preserve"> </w:t>
      </w:r>
      <w:r>
        <w:t xml:space="preserve">as the model-health baseline; first</w:t>
      </w:r>
      <w:r>
        <w:t xml:space="preserve"> </w:t>
      </w:r>
      <w:r>
        <w:rPr>
          <w:b/>
        </w:rPr>
        <w:t xml:space="preserve">Clash Run → BCF → ACC Issues</w:t>
      </w:r>
      <w:r>
        <w:t xml:space="preserve"> </w:t>
      </w:r>
      <w:r>
        <w:t xml:space="preserve">(gross clashes only).</w:t>
      </w:r>
    </w:p>
    <w:p>
      <w:pPr>
        <w:numPr>
          <w:ilvl w:val="0"/>
          <w:numId w:val="1003"/>
        </w:numPr>
        <w:pStyle w:val="Compact"/>
      </w:pPr>
      <w:r>
        <w:rPr>
          <w:b/>
        </w:rPr>
        <w:t xml:space="preserve">2.2 Developed Design / B · LOD 300 · M2–M4:</w:t>
      </w:r>
      <w:r>
        <w:t xml:space="preserve"> </w:t>
      </w:r>
      <w:r>
        <w:rPr>
          <w:b/>
        </w:rPr>
        <w:t xml:space="preserve">Tag &amp; Combine</w:t>
      </w:r>
      <w:r>
        <w:t xml:space="preserve"> </w:t>
      </w:r>
      <w:r>
        <w:t xml:space="preserve">+</w:t>
      </w:r>
      <w:r>
        <w:t xml:space="preserve"> </w:t>
      </w:r>
      <w:r>
        <w:rPr>
          <w:b/>
        </w:rPr>
        <w:t xml:space="preserve">Family-Stage Populate</w:t>
      </w:r>
      <w:r>
        <w:t xml:space="preserve"> </w:t>
      </w:r>
      <w:r>
        <w:t xml:space="preserve">(the eight-segment data);</w:t>
      </w:r>
      <w:r>
        <w:t xml:space="preserve"> </w:t>
      </w:r>
      <w:r>
        <w:rPr>
          <w:b/>
        </w:rPr>
        <w:t xml:space="preserve">Pre-Tag Audit</w:t>
      </w:r>
      <w:r>
        <w:t xml:space="preserve"> </w:t>
      </w:r>
      <w:r>
        <w:t xml:space="preserve">before every Share; the</w:t>
      </w:r>
      <w:r>
        <w:t xml:space="preserve"> </w:t>
      </w:r>
      <w:r>
        <w:rPr>
          <w:b/>
        </w:rPr>
        <w:t xml:space="preserve">Clash Run → BCF → ACC</w:t>
      </w:r>
      <w:r>
        <w:t xml:space="preserve"> </w:t>
      </w:r>
      <w:r>
        <w:t xml:space="preserve">cycle;</w:t>
      </w:r>
      <w:r>
        <w:t xml:space="preserve"> </w:t>
      </w:r>
      <w:r>
        <w:rPr>
          <w:b/>
        </w:rPr>
        <w:t xml:space="preserve">Drawing Types → Produce</w:t>
      </w:r>
      <w:r>
        <w:t xml:space="preserve"> </w:t>
      </w:r>
      <w:r>
        <w:t xml:space="preserve">for the 50% sheets;</w:t>
      </w:r>
      <w:r>
        <w:t xml:space="preserve"> </w:t>
      </w:r>
      <w:r>
        <w:rPr>
          <w:b/>
        </w:rPr>
        <w:t xml:space="preserve">BOQ Export</w:t>
      </w:r>
      <w:r>
        <w:t xml:space="preserve"> </w:t>
      </w:r>
      <w:r>
        <w:t xml:space="preserve">started; monthly</w:t>
      </w:r>
      <w:r>
        <w:t xml:space="preserve"> </w:t>
      </w:r>
      <w:r>
        <w:rPr>
          <w:b/>
        </w:rPr>
        <w:t xml:space="preserve">KPI Dashboard</w:t>
      </w:r>
      <w:r>
        <w:t xml:space="preserve">; begin</w:t>
      </w:r>
      <w:r>
        <w:t xml:space="preserve"> </w:t>
      </w:r>
      <w:r>
        <w:rPr>
          <w:b/>
        </w:rPr>
        <w:t xml:space="preserve">Fohlio Export Finishes</w:t>
      </w:r>
      <w:r>
        <w:t xml:space="preserve">;</w:t>
      </w:r>
      <w:r>
        <w:t xml:space="preserve"> </w:t>
      </w:r>
      <w:r>
        <w:rPr>
          <w:b/>
        </w:rPr>
        <w:t xml:space="preserve">Drawing Register</w:t>
      </w:r>
      <w:r>
        <w:t xml:space="preserve"> </w:t>
      </w:r>
      <w:r>
        <w:t xml:space="preserve">+</w:t>
      </w:r>
      <w:r>
        <w:t xml:space="preserve"> </w:t>
      </w:r>
      <w:r>
        <w:rPr>
          <w:b/>
        </w:rPr>
        <w:t xml:space="preserve">Create Transmittal</w:t>
      </w:r>
      <w:r>
        <w:t xml:space="preserve"> </w:t>
      </w:r>
      <w:r>
        <w:t xml:space="preserve">for the B drop.</w:t>
      </w:r>
    </w:p>
    <w:p>
      <w:pPr>
        <w:numPr>
          <w:ilvl w:val="0"/>
          <w:numId w:val="1003"/>
        </w:numPr>
        <w:pStyle w:val="Compact"/>
      </w:pPr>
      <w:r>
        <w:rPr>
          <w:b/>
        </w:rPr>
        <w:t xml:space="preserve">2.3 Technical Design / C · LOD 350 · M5–M8:</w:t>
      </w:r>
      <w:r>
        <w:t xml:space="preserve"> </w:t>
      </w:r>
      <w:r>
        <w:t xml:space="preserve">complete tagging;</w:t>
      </w:r>
      <w:r>
        <w:t xml:space="preserve"> </w:t>
      </w:r>
      <w:r>
        <w:rPr>
          <w:b/>
        </w:rPr>
        <w:t xml:space="preserve">Drawing Types → Batch Produce</w:t>
      </w:r>
      <w:r>
        <w:t xml:space="preserve"> </w:t>
      </w:r>
      <w:r>
        <w:t xml:space="preserve">for the 100% set;</w:t>
      </w:r>
      <w:r>
        <w:t xml:space="preserve"> </w:t>
      </w:r>
      <w:r>
        <w:rPr>
          <w:b/>
        </w:rPr>
        <w:t xml:space="preserve">BOQ Export</w:t>
      </w:r>
      <w:r>
        <w:t xml:space="preserve"> </w:t>
      </w:r>
      <w:r>
        <w:t xml:space="preserve">for tender;</w:t>
      </w:r>
      <w:r>
        <w:t xml:space="preserve"> </w:t>
      </w:r>
      <w:r>
        <w:rPr>
          <w:b/>
        </w:rPr>
        <w:t xml:space="preserve">LOD Verify</w:t>
      </w:r>
      <w:r>
        <w:t xml:space="preserve"> </w:t>
      </w:r>
      <w:r>
        <w:t xml:space="preserve">(350); the</w:t>
      </w:r>
      <w:r>
        <w:t xml:space="preserve"> </w:t>
      </w:r>
      <w:r>
        <w:rPr>
          <w:b/>
        </w:rPr>
        <w:t xml:space="preserve">Fohlio</w:t>
      </w:r>
      <w:r>
        <w:t xml:space="preserve"> </w:t>
      </w:r>
      <w:r>
        <w:t xml:space="preserve">finishes round-trip +</w:t>
      </w:r>
      <w:r>
        <w:t xml:space="preserve"> </w:t>
      </w:r>
      <w:r>
        <w:rPr>
          <w:b/>
        </w:rPr>
        <w:t xml:space="preserve">Room Data Sheets</w:t>
      </w:r>
      <w:r>
        <w:t xml:space="preserve">;</w:t>
      </w:r>
      <w:r>
        <w:t xml:space="preserve"> </w:t>
      </w:r>
      <w:r>
        <w:rPr>
          <w:b/>
        </w:rPr>
        <w:t xml:space="preserve">CSI Assign</w:t>
      </w:r>
      <w:r>
        <w:t xml:space="preserve"> </w:t>
      </w:r>
      <w:r>
        <w:t xml:space="preserve">+</w:t>
      </w:r>
      <w:r>
        <w:t xml:space="preserve"> </w:t>
      </w:r>
      <w:r>
        <w:rPr>
          <w:b/>
        </w:rPr>
        <w:t xml:space="preserve">SpecLink Reconcile</w:t>
      </w:r>
      <w:r>
        <w:t xml:space="preserve">; begin</w:t>
      </w:r>
      <w:r>
        <w:t xml:space="preserve"> </w:t>
      </w:r>
      <w:r>
        <w:rPr>
          <w:b/>
        </w:rPr>
        <w:t xml:space="preserve">COBie Export</w:t>
      </w:r>
      <w:r>
        <w:t xml:space="preserve"> </w:t>
      </w:r>
      <w:r>
        <w:t xml:space="preserve">only if the Owner requires it.</w:t>
      </w:r>
    </w:p>
    <w:p>
      <w:pPr>
        <w:numPr>
          <w:ilvl w:val="0"/>
          <w:numId w:val="1003"/>
        </w:numPr>
        <w:pStyle w:val="Compact"/>
      </w:pPr>
      <w:r>
        <w:rPr>
          <w:b/>
        </w:rPr>
        <w:t xml:space="preserve">2.4–2.5 Tender + Conformed · M9–M11:</w:t>
      </w:r>
      <w:r>
        <w:t xml:space="preserve"> </w:t>
      </w:r>
      <w:r>
        <w:rPr>
          <w:b/>
        </w:rPr>
        <w:t xml:space="preserve">Create Transmittal</w:t>
      </w:r>
      <w:r>
        <w:t xml:space="preserve"> </w:t>
      </w:r>
      <w:r>
        <w:t xml:space="preserve">for tender issue; after award, regenerate the</w:t>
      </w:r>
      <w:r>
        <w:t xml:space="preserve"> </w:t>
      </w:r>
      <w:r>
        <w:rPr>
          <w:b/>
        </w:rPr>
        <w:t xml:space="preserve">Conformed Set</w:t>
      </w:r>
      <w:r>
        <w:t xml:space="preserve"> </w:t>
      </w:r>
      <w:r>
        <w:t xml:space="preserve">via</w:t>
      </w:r>
      <w:r>
        <w:t xml:space="preserve"> </w:t>
      </w:r>
      <w:r>
        <w:rPr>
          <w:b/>
        </w:rPr>
        <w:t xml:space="preserve">Drawing Types → Produce</w:t>
      </w:r>
      <w:r>
        <w:t xml:space="preserve"> </w:t>
      </w:r>
      <w:r>
        <w:t xml:space="preserve">with addenda.</w:t>
      </w:r>
    </w:p>
    <w:p>
      <w:pPr>
        <w:numPr>
          <w:ilvl w:val="0"/>
          <w:numId w:val="1003"/>
        </w:numPr>
        <w:pStyle w:val="Compact"/>
      </w:pPr>
      <w:r>
        <w:rPr>
          <w:b/>
        </w:rPr>
        <w:t xml:space="preserve">3.1 Construction · LOD 400 · M12–M43:</w:t>
      </w:r>
      <w:r>
        <w:t xml:space="preserve"> </w:t>
      </w:r>
      <w:r>
        <w:rPr>
          <w:b/>
        </w:rPr>
        <w:t xml:space="preserve">Auto Revision Cloud</w:t>
      </w:r>
      <w:r>
        <w:t xml:space="preserve"> </w:t>
      </w:r>
      <w:r>
        <w:t xml:space="preserve">+</w:t>
      </w:r>
      <w:r>
        <w:t xml:space="preserve"> </w:t>
      </w:r>
      <w:r>
        <w:rPr>
          <w:b/>
        </w:rPr>
        <w:t xml:space="preserve">Revision Dashboard</w:t>
      </w:r>
      <w:r>
        <w:t xml:space="preserve">; monthly</w:t>
      </w:r>
      <w:r>
        <w:t xml:space="preserve"> </w:t>
      </w:r>
      <w:r>
        <w:rPr>
          <w:b/>
        </w:rPr>
        <w:t xml:space="preserve">Clash Run</w:t>
      </w:r>
      <w:r>
        <w:t xml:space="preserve">;</w:t>
      </w:r>
      <w:r>
        <w:t xml:space="preserve"> </w:t>
      </w:r>
      <w:r>
        <w:rPr>
          <w:b/>
        </w:rPr>
        <w:t xml:space="preserve">Stale Marker</w:t>
      </w:r>
      <w:r>
        <w:t xml:space="preserve"> </w:t>
      </w:r>
      <w:r>
        <w:t xml:space="preserve">for as-built change detection;</w:t>
      </w:r>
      <w:r>
        <w:t xml:space="preserve"> </w:t>
      </w:r>
      <w:r>
        <w:rPr>
          <w:b/>
        </w:rPr>
        <w:t xml:space="preserve">Niagara → Export Points</w:t>
      </w:r>
      <w:r>
        <w:t xml:space="preserve"> </w:t>
      </w:r>
      <w:r>
        <w:t xml:space="preserve">at commissioning prep.</w:t>
      </w:r>
    </w:p>
    <w:p>
      <w:pPr>
        <w:numPr>
          <w:ilvl w:val="0"/>
          <w:numId w:val="1003"/>
        </w:numPr>
        <w:pStyle w:val="Compact"/>
      </w:pPr>
      <w:r>
        <w:rPr>
          <w:b/>
        </w:rPr>
        <w:t xml:space="preserve">3.2 FF&amp;E · M40–M43:</w:t>
      </w:r>
      <w:r>
        <w:t xml:space="preserve"> </w:t>
      </w:r>
      <w:r>
        <w:rPr>
          <w:b/>
        </w:rPr>
        <w:t xml:space="preserve">Fohlio Import / Export Finishes</w:t>
      </w:r>
      <w:r>
        <w:t xml:space="preserve"> </w:t>
      </w:r>
      <w:r>
        <w:t xml:space="preserve">round-trip;</w:t>
      </w:r>
      <w:r>
        <w:t xml:space="preserve"> </w:t>
      </w:r>
      <w:r>
        <w:rPr>
          <w:b/>
        </w:rPr>
        <w:t xml:space="preserve">FF&amp;E schedule</w:t>
      </w:r>
      <w:r>
        <w:t xml:space="preserve"> </w:t>
      </w:r>
      <w:r>
        <w:t xml:space="preserve">generation.</w:t>
      </w:r>
    </w:p>
    <w:p>
      <w:pPr>
        <w:numPr>
          <w:ilvl w:val="0"/>
          <w:numId w:val="1003"/>
        </w:numPr>
        <w:pStyle w:val="Compact"/>
      </w:pPr>
      <w:r>
        <w:rPr>
          <w:b/>
        </w:rPr>
        <w:t xml:space="preserve">3.3 Close-out / D · LOD 500 · M44–M45:</w:t>
      </w:r>
      <w:r>
        <w:t xml:space="preserve"> </w:t>
      </w:r>
      <w:r>
        <w:t xml:space="preserve">record-model verification (naming + eight-segment data + parameter completeness);</w:t>
      </w:r>
      <w:r>
        <w:t xml:space="preserve"> </w:t>
      </w:r>
      <w:r>
        <w:rPr>
          <w:b/>
        </w:rPr>
        <w:t xml:space="preserve">COBie Export</w:t>
      </w:r>
      <w:r>
        <w:t xml:space="preserve"> </w:t>
      </w:r>
      <w:r>
        <w:t xml:space="preserve">(if required);</w:t>
      </w:r>
      <w:r>
        <w:t xml:space="preserve"> </w:t>
      </w:r>
      <w:r>
        <w:rPr>
          <w:b/>
        </w:rPr>
        <w:t xml:space="preserve">Niagara → Reconcile</w:t>
      </w:r>
      <w:r>
        <w:t xml:space="preserve"> </w:t>
      </w:r>
      <w:r>
        <w:t xml:space="preserve">(the digital-twin baseline); final</w:t>
      </w:r>
      <w:r>
        <w:t xml:space="preserve"> </w:t>
      </w:r>
      <w:r>
        <w:rPr>
          <w:b/>
        </w:rPr>
        <w:t xml:space="preserve">CDE Package</w:t>
      </w:r>
      <w:r>
        <w:t xml:space="preserve"> </w:t>
      </w:r>
      <w:r>
        <w:t xml:space="preserve">+</w:t>
      </w:r>
      <w:r>
        <w:t xml:space="preserve"> </w:t>
      </w:r>
      <w:r>
        <w:rPr>
          <w:b/>
        </w:rPr>
        <w:t xml:space="preserve">Create Transmittal</w:t>
      </w:r>
      <w:r>
        <w:t xml:space="preserve"> </w:t>
      </w:r>
      <w:r>
        <w:t xml:space="preserve">+ archive.</w:t>
      </w:r>
    </w:p>
    <w:p>
      <w:r>
        <w:pict>
          <v:rect style="width:0;height:1.5pt" o:hralign="center" o:hrstd="t" o:hr="t"/>
        </w:pict>
      </w:r>
    </w:p>
    <w:p>
      <w:pPr>
        <w:pStyle w:val="Heading2"/>
      </w:pPr>
      <w:bookmarkStart w:id="25" w:name="X31decac11223a672b720266c634af0dc2a577b9"/>
      <w:r>
        <w:t xml:space="preserve">PART D — Helping the Interior Designer: Fohlio, finishes and FF&amp;E</w:t>
      </w:r>
      <w:bookmarkEnd w:id="25"/>
    </w:p>
    <w:p>
      <w:pPr>
        <w:pStyle w:val="FirstParagraph"/>
      </w:pPr>
      <w:r>
        <w:t xml:space="preserve">This is where you add the most visible value, because the Interior Designer’s FF&amp;E and finishes data is the most laborious thing on the project to keep current — and it is exactly what your automation is best at. They design; you run the data plumbing.</w:t>
      </w:r>
    </w:p>
    <w:p>
      <w:pPr>
        <w:pStyle w:val="BodyText"/>
      </w:pPr>
      <w:r>
        <w:rPr>
          <w:b/>
        </w:rPr>
        <w:t xml:space="preserve">Set up (mobilisation):</w:t>
      </w:r>
      <w:r>
        <w:t xml:space="preserve"> </w:t>
      </w:r>
      <w:r>
        <w:t xml:space="preserve">- Bind the</w:t>
      </w:r>
      <w:r>
        <w:t xml:space="preserve"> </w:t>
      </w:r>
      <w:r>
        <w:rPr>
          <w:b/>
        </w:rPr>
        <w:t xml:space="preserve">room finish parameters</w:t>
      </w:r>
      <w:r>
        <w:t xml:space="preserve"> </w:t>
      </w:r>
      <w:r>
        <w:t xml:space="preserve">(floor / wall / ceiling / base) and the</w:t>
      </w:r>
      <w:r>
        <w:t xml:space="preserve"> </w:t>
      </w:r>
      <w:r>
        <w:rPr>
          <w:b/>
        </w:rPr>
        <w:t xml:space="preserve">FF&amp;E family parameters</w:t>
      </w:r>
      <w:r>
        <w:t xml:space="preserve"> </w:t>
      </w:r>
      <w:r>
        <w:t xml:space="preserve">so finishes and items are structured from the first model.</w:t>
      </w:r>
      <w:r>
        <w:t xml:space="preserve"> </w:t>
      </w:r>
      <w:r>
        <w:t xml:space="preserve">- Configure</w:t>
      </w:r>
      <w:r>
        <w:t xml:space="preserve"> </w:t>
      </w:r>
      <w:r>
        <w:rPr>
          <w:rStyle w:val="VerbatimChar"/>
          <w:b/>
        </w:rPr>
        <w:t xml:space="preserve">fohlio_map.json</w:t>
      </w:r>
      <w:r>
        <w:t xml:space="preserve"> </w:t>
      </w:r>
      <w:r>
        <w:t xml:space="preserve">to map your model parameters to Fohlio’s CSV columns. Ask Fohlio for their import template and align to it (free, no API tier).</w:t>
      </w:r>
      <w:r>
        <w:t xml:space="preserve"> </w:t>
      </w:r>
      <w:r>
        <w:t xml:space="preserve">- Build the</w:t>
      </w:r>
      <w:r>
        <w:t xml:space="preserve"> </w:t>
      </w:r>
      <w:r>
        <w:rPr>
          <w:b/>
        </w:rPr>
        <w:t xml:space="preserve">FF&amp;E tag families</w:t>
      </w:r>
      <w:r>
        <w:t xml:space="preserve"> </w:t>
      </w:r>
      <w:r>
        <w:t xml:space="preserve">and a</w:t>
      </w:r>
      <w:r>
        <w:t xml:space="preserve"> </w:t>
      </w:r>
      <w:r>
        <w:rPr>
          <w:b/>
        </w:rPr>
        <w:t xml:space="preserve">finish legend</w:t>
      </w:r>
      <w:r>
        <w:t xml:space="preserve"> </w:t>
      </w:r>
      <w:r>
        <w:t xml:space="preserve">so finishes read clearly on the drawings.</w:t>
      </w:r>
      <w:r>
        <w:t xml:space="preserve"> </w:t>
      </w:r>
      <w:r>
        <w:t xml:space="preserve">- Agree</w:t>
      </w:r>
      <w:r>
        <w:t xml:space="preserve"> </w:t>
      </w:r>
      <w:r>
        <w:rPr>
          <w:b/>
        </w:rPr>
        <w:t xml:space="preserve">one shared identifier per element</w:t>
      </w:r>
      <w:r>
        <w:t xml:space="preserve">, so a model item and its Fohlio record are the same object viewed two ways, never two competing entries.</w:t>
      </w:r>
    </w:p>
    <w:p>
      <w:pPr>
        <w:pStyle w:val="BodyText"/>
      </w:pPr>
      <w:r>
        <w:rPr>
          <w:b/>
        </w:rPr>
        <w:t xml:space="preserve">Each cycle / data drop:</w:t>
      </w:r>
      <w:r>
        <w:t xml:space="preserve"> </w:t>
      </w:r>
      <w:r>
        <w:t xml:space="preserve">1.</w:t>
      </w:r>
      <w:r>
        <w:t xml:space="preserve"> </w:t>
      </w:r>
      <w:r>
        <w:rPr>
          <w:b/>
        </w:rPr>
        <w:t xml:space="preserve">Fohlio Export Finishes</w:t>
      </w:r>
      <w:r>
        <w:t xml:space="preserve"> </w:t>
      </w:r>
      <w:r>
        <w:t xml:space="preserve">— export the room floor / wall / ceiling / base finishes to a CSV in Fohlio’s shape.</w:t>
      </w:r>
      <w:r>
        <w:t xml:space="preserve"> </w:t>
      </w:r>
      <w:r>
        <w:t xml:space="preserve">2. Export the</w:t>
      </w:r>
      <w:r>
        <w:t xml:space="preserve"> </w:t>
      </w:r>
      <w:r>
        <w:rPr>
          <w:b/>
        </w:rPr>
        <w:t xml:space="preserve">FF&amp;E list</w:t>
      </w:r>
      <w:r>
        <w:t xml:space="preserve"> </w:t>
      </w:r>
      <w:r>
        <w:t xml:space="preserve">the same way.</w:t>
      </w:r>
      <w:r>
        <w:t xml:space="preserve"> </w:t>
      </w:r>
      <w:r>
        <w:t xml:space="preserve">3. The Interior Designer enriches in Fohlio: products, images, prices, suppliers, lead times, O&amp;M data.</w:t>
      </w:r>
      <w:r>
        <w:t xml:space="preserve"> </w:t>
      </w:r>
      <w:r>
        <w:t xml:space="preserve">4.</w:t>
      </w:r>
      <w:r>
        <w:t xml:space="preserve"> </w:t>
      </w:r>
      <w:r>
        <w:rPr>
          <w:b/>
        </w:rPr>
        <w:t xml:space="preserve">Fohlio Import Finishes</w:t>
      </w:r>
      <w:r>
        <w:t xml:space="preserve"> </w:t>
      </w:r>
      <w:r>
        <w:t xml:space="preserve">— bring the enriched data back, matched by</w:t>
      </w:r>
      <w:r>
        <w:t xml:space="preserve"> </w:t>
      </w:r>
      <w:r>
        <w:rPr>
          <w:b/>
        </w:rPr>
        <w:t xml:space="preserve">Room Number</w:t>
      </w:r>
      <w:r>
        <w:t xml:space="preserve">, with a diff preview, written onto the model elements (fill-empty or overwrite). The model and Fohlio stay reconciled across the project instead of being rebuilt at handover.</w:t>
      </w:r>
    </w:p>
    <w:p>
      <w:pPr>
        <w:pStyle w:val="BodyText"/>
      </w:pPr>
      <w:r>
        <w:rPr>
          <w:b/>
        </w:rPr>
        <w:t xml:space="preserve">Per stage:</w:t>
      </w:r>
      <w:r>
        <w:t xml:space="preserve"> </w:t>
      </w:r>
      <w:r>
        <w:t xml:space="preserve">- Generate</w:t>
      </w:r>
      <w:r>
        <w:t xml:space="preserve"> </w:t>
      </w:r>
      <w:r>
        <w:rPr>
          <w:b/>
        </w:rPr>
        <w:t xml:space="preserve">Room Data Sheets (RDS)</w:t>
      </w:r>
      <w:r>
        <w:t xml:space="preserve"> </w:t>
      </w:r>
      <w:r>
        <w:t xml:space="preserve">for the key spaces — finishes (F/W/C/Base) + FF&amp;E + services — so they get a clean per-room sheet without building it by hand.</w:t>
      </w:r>
      <w:r>
        <w:t xml:space="preserve"> </w:t>
      </w:r>
      <w:r>
        <w:t xml:space="preserve">- Generate the</w:t>
      </w:r>
      <w:r>
        <w:t xml:space="preserve"> </w:t>
      </w:r>
      <w:r>
        <w:rPr>
          <w:b/>
        </w:rPr>
        <w:t xml:space="preserve">FF&amp;E schedule</w:t>
      </w:r>
      <w:r>
        <w:t xml:space="preserve"> </w:t>
      </w:r>
      <w:r>
        <w:t xml:space="preserve">(item, description, room, qty, Fohlio ref, supplier, unit cost, lead time).</w:t>
      </w:r>
      <w:r>
        <w:t xml:space="preserve"> </w:t>
      </w:r>
      <w:r>
        <w:t xml:space="preserve">- Run a</w:t>
      </w:r>
      <w:r>
        <w:t xml:space="preserve"> </w:t>
      </w:r>
      <w:r>
        <w:rPr>
          <w:b/>
        </w:rPr>
        <w:t xml:space="preserve">monthly Fohlio currency check</w:t>
      </w:r>
      <w:r>
        <w:t xml:space="preserve"> </w:t>
      </w:r>
      <w:r>
        <w:t xml:space="preserve">(model vs Fohlio) and report drift as a KPI line, so a mismatch surfaces before a gate, not at handover.</w:t>
      </w:r>
      <w:r>
        <w:t xml:space="preserve"> </w:t>
      </w:r>
      <w:r>
        <w:t xml:space="preserve">- Produce</w:t>
      </w:r>
      <w:r>
        <w:t xml:space="preserve"> </w:t>
      </w:r>
      <w:r>
        <w:rPr>
          <w:b/>
        </w:rPr>
        <w:t xml:space="preserve">colour-by-finish</w:t>
      </w:r>
      <w:r>
        <w:t xml:space="preserve"> </w:t>
      </w:r>
      <w:r>
        <w:t xml:space="preserve">views and</w:t>
      </w:r>
      <w:r>
        <w:t xml:space="preserve"> </w:t>
      </w:r>
      <w:r>
        <w:rPr>
          <w:b/>
        </w:rPr>
        <w:t xml:space="preserve">finish legends</w:t>
      </w:r>
      <w:r>
        <w:t xml:space="preserve"> </w:t>
      </w:r>
      <w:r>
        <w:t xml:space="preserve">for coordination and client presentation.</w:t>
      </w:r>
    </w:p>
    <w:p>
      <w:pPr>
        <w:pStyle w:val="BodyText"/>
      </w:pPr>
      <w:r>
        <w:rPr>
          <w:b/>
        </w:rPr>
        <w:t xml:space="preserve">At handover:</w:t>
      </w:r>
      <w:r>
        <w:t xml:space="preserve"> </w:t>
      </w:r>
      <w:r>
        <w:t xml:space="preserve">- Ensure the model’s asset identifiers match the</w:t>
      </w:r>
      <w:r>
        <w:t xml:space="preserve"> </w:t>
      </w:r>
      <w:r>
        <w:rPr>
          <w:b/>
        </w:rPr>
        <w:t xml:space="preserve">O&amp;M records published through Fohlio</w:t>
      </w:r>
      <w:r>
        <w:t xml:space="preserve">, so the as-built data and the model agree. This also feeds the LOD 500 verification and the Niagara reconcile.</w:t>
      </w:r>
    </w:p>
    <w:p>
      <w:pPr>
        <w:pStyle w:val="BlockText"/>
      </w:pPr>
      <w:r>
        <w:rPr>
          <w:b/>
        </w:rPr>
        <w:t xml:space="preserve">What this gives the Interior Designer:</w:t>
      </w:r>
      <w:r>
        <w:t xml:space="preserve"> </w:t>
      </w:r>
      <w:r>
        <w:t xml:space="preserve">they spec and design in Fohlio and Revit; you handle the export / import, the Room-Number matching, the RDS and schedules, the currency check and the handover alignment. Their data is always current and the round-trip is never a manual scramble. Offer them the first round in the kickoff so they feel the time it saves.</w:t>
      </w:r>
    </w:p>
    <w:p>
      <w:r>
        <w:pict>
          <v:rect style="width:0;height:1.5pt" o:hralign="center" o:hrstd="t" o:hr="t"/>
        </w:pict>
      </w:r>
    </w:p>
    <w:p>
      <w:pPr>
        <w:pStyle w:val="Heading2"/>
      </w:pPr>
      <w:bookmarkStart w:id="26" w:name="Xa0044f2d7a0ec809dad8c14f510db012b8d8787"/>
      <w:r>
        <w:t xml:space="preserve">PART E — Other automations you can offer each discipline</w:t>
      </w:r>
      <w:bookmarkEnd w:id="26"/>
    </w:p>
    <w:p>
      <w:pPr>
        <w:pStyle w:val="FirstParagraph"/>
      </w:pPr>
      <w:r>
        <w:t xml:space="preserve">Lead with these in your kickoff one-to-ones; they buy goodwill and make the standards easy to follow.</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Discipline</w:t>
            </w:r>
          </w:p>
        </w:tc>
        <w:tc>
          <w:tcPr>
            <w:tcBorders>
              <w:bottom w:val="single"/>
            </w:tcBorders>
            <w:vAlign w:val="bottom"/>
          </w:tcPr>
          <w:p>
            <w:pPr>
              <w:pStyle w:val="Compact"/>
              <w:jc w:val="left"/>
            </w:pPr>
            <w:r>
              <w:t xml:space="preserve">Automations you can run for them</w:t>
            </w:r>
          </w:p>
        </w:tc>
      </w:tr>
      <w:tr>
        <w:tc>
          <w:p>
            <w:pPr>
              <w:pStyle w:val="Compact"/>
              <w:jc w:val="left"/>
            </w:pPr>
            <w:r>
              <w:t xml:space="preserve">Architecture / Interiors</w:t>
            </w:r>
          </w:p>
        </w:tc>
        <w:tc>
          <w:p>
            <w:pPr>
              <w:pStyle w:val="Compact"/>
              <w:jc w:val="left"/>
            </w:pPr>
            <w:r>
              <w:t xml:space="preserve">Auto-tagging + room and finish data; door / window schedules; Room Data Sheets; finish legends; title blocks and sheet production; the Fohlio round-trip (Part D)</w:t>
            </w:r>
          </w:p>
        </w:tc>
      </w:tr>
      <w:tr>
        <w:tc>
          <w:p>
            <w:pPr>
              <w:pStyle w:val="Compact"/>
              <w:jc w:val="left"/>
            </w:pPr>
            <w:r>
              <w:t xml:space="preserve">Structural</w:t>
            </w:r>
          </w:p>
        </w:tc>
        <w:tc>
          <w:p>
            <w:pPr>
              <w:pStyle w:val="Compact"/>
              <w:jc w:val="left"/>
            </w:pPr>
            <w:r>
              <w:t xml:space="preserve">Section and rebar schedules; grid / level enforcement; tag + data; clash priority with MEP</w:t>
            </w:r>
          </w:p>
        </w:tc>
      </w:tr>
      <w:tr>
        <w:tc>
          <w:p>
            <w:pPr>
              <w:pStyle w:val="Compact"/>
              <w:jc w:val="left"/>
            </w:pPr>
            <w:r>
              <w:t xml:space="preserve">Mechanical / Electrical / Plumbing</w:t>
            </w:r>
          </w:p>
        </w:tc>
        <w:tc>
          <w:p>
            <w:pPr>
              <w:pStyle w:val="Compact"/>
              <w:jc w:val="left"/>
            </w:pPr>
            <w:r>
              <w:t xml:space="preserve">System-aware tagging (SYS / FUNC / PROD from the connected system); equipment and panel schedules; the</w:t>
            </w:r>
            <w:r>
              <w:t xml:space="preserve"> </w:t>
            </w:r>
            <w:r>
              <w:rPr>
                <w:b/>
              </w:rPr>
              <w:t xml:space="preserve">Niagara point list</w:t>
            </w:r>
            <w:r>
              <w:t xml:space="preserve">; clash priority. The discipline</w:t>
            </w:r>
            <w:r>
              <w:t xml:space="preserve"> </w:t>
            </w:r>
            <w:r>
              <w:rPr>
                <w:b/>
              </w:rPr>
              <w:t xml:space="preserve">owns and checks</w:t>
            </w:r>
            <w:r>
              <w:t xml:space="preserve"> </w:t>
            </w:r>
            <w:r>
              <w:t xml:space="preserve">any calc output (see Part F).</w:t>
            </w:r>
          </w:p>
        </w:tc>
      </w:tr>
      <w:tr>
        <w:tc>
          <w:p>
            <w:pPr>
              <w:pStyle w:val="Compact"/>
              <w:jc w:val="left"/>
            </w:pPr>
            <w:r>
              <w:t xml:space="preserve">QS / Cost</w:t>
            </w:r>
          </w:p>
        </w:tc>
        <w:tc>
          <w:p>
            <w:pPr>
              <w:pStyle w:val="Compact"/>
              <w:jc w:val="left"/>
            </w:pPr>
            <w:r>
              <w:rPr>
                <w:b/>
              </w:rPr>
              <w:t xml:space="preserve">BOQ (NRM2)</w:t>
            </w:r>
            <w:r>
              <w:t xml:space="preserve"> </w:t>
            </w:r>
            <w:r>
              <w:t xml:space="preserve">straight from the model; quantity schedules; rate / source heat-map</w:t>
            </w:r>
          </w:p>
        </w:tc>
      </w:tr>
      <w:tr>
        <w:tc>
          <w:p>
            <w:pPr>
              <w:pStyle w:val="Compact"/>
              <w:jc w:val="left"/>
            </w:pPr>
            <w:r>
              <w:t xml:space="preserve">FM / all disciplines</w:t>
            </w:r>
          </w:p>
        </w:tc>
        <w:tc>
          <w:p>
            <w:pPr>
              <w:pStyle w:val="Compact"/>
              <w:jc w:val="left"/>
            </w:pPr>
            <w:r>
              <w:t xml:space="preserve">Naming-compliance and pre-publish QA; drawing and sheet production; registers and transmittals;</w:t>
            </w:r>
            <w:r>
              <w:t xml:space="preserve"> </w:t>
            </w:r>
            <w:r>
              <w:rPr>
                <w:b/>
              </w:rPr>
              <w:t xml:space="preserve">clash → ACC Issues</w:t>
            </w:r>
            <w:r>
              <w:t xml:space="preserve">; colour-by-parameter QA views; the monthly</w:t>
            </w:r>
            <w:r>
              <w:t xml:space="preserve"> </w:t>
            </w:r>
            <w:r>
              <w:rPr>
                <w:b/>
              </w:rPr>
              <w:t xml:space="preserve">KPI dashboard</w:t>
            </w:r>
          </w:p>
        </w:tc>
      </w:tr>
    </w:tbl>
    <w:p>
      <w:pPr>
        <w:pStyle w:val="BlockText"/>
      </w:pPr>
      <w:r>
        <w:t xml:space="preserve">The pattern is always the same: you set up the parameters and families once, then the schedule, the tag, the register and the report come out with a button rather than a week of manual work. The discipline keeps ownership of its design; you remove the drudgery around it.</w:t>
      </w:r>
    </w:p>
    <w:p>
      <w:r>
        <w:pict>
          <v:rect style="width:0;height:1.5pt" o:hralign="center" o:hrstd="t" o:hr="t"/>
        </w:pict>
      </w:r>
    </w:p>
    <w:p>
      <w:pPr>
        <w:pStyle w:val="Heading2"/>
      </w:pPr>
      <w:bookmarkStart w:id="27" w:name="X716897725bf207189465a3c11ca681d29bff16c"/>
      <w:r>
        <w:t xml:space="preserve">PART F — Niagara automation (the digital twin)</w:t>
      </w:r>
      <w:bookmarkEnd w:id="27"/>
    </w:p>
    <w:p>
      <w:pPr>
        <w:pStyle w:val="FirstParagraph"/>
      </w:pPr>
      <w:r>
        <w:t xml:space="preserve">Niagara is the Owner’s BMS framework and a</w:t>
      </w:r>
      <w:r>
        <w:t xml:space="preserve"> </w:t>
      </w:r>
      <w:r>
        <w:rPr>
          <w:b/>
        </w:rPr>
        <w:t xml:space="preserve">contractual</w:t>
      </w:r>
      <w:r>
        <w:t xml:space="preserve"> </w:t>
      </w:r>
      <w:r>
        <w:t xml:space="preserve">platform; what is private is the</w:t>
      </w:r>
      <w:r>
        <w:t xml:space="preserve"> </w:t>
      </w:r>
      <w:r>
        <w:rPr>
          <w:b/>
        </w:rPr>
        <w:t xml:space="preserve">model ↔ Niagara bridge</w:t>
      </w:r>
      <w:r>
        <w:t xml:space="preserve"> </w:t>
      </w:r>
      <w:r>
        <w:t xml:space="preserve">you run to keep the two in sync. That bridge is the foundation of the Owner’s operational-phase data.</w:t>
      </w:r>
    </w:p>
    <w:p>
      <w:pPr>
        <w:pStyle w:val="BodyText"/>
      </w:pPr>
      <w:r>
        <w:rPr>
          <w:b/>
        </w:rPr>
        <w:t xml:space="preserve">What it does for you:</w:t>
      </w:r>
      <w:r>
        <w:t xml:space="preserve"> </w:t>
      </w:r>
      <w:r>
        <w:t xml:space="preserve">the model says what equipment and points</w:t>
      </w:r>
      <w:r>
        <w:t xml:space="preserve"> </w:t>
      </w:r>
      <w:r>
        <w:rPr>
          <w:i/>
        </w:rPr>
        <w:t xml:space="preserve">should</w:t>
      </w:r>
      <w:r>
        <w:t xml:space="preserve"> </w:t>
      </w:r>
      <w:r>
        <w:t xml:space="preserve">exist; Niagara says what is</w:t>
      </w:r>
      <w:r>
        <w:t xml:space="preserve"> </w:t>
      </w:r>
      <w:r>
        <w:rPr>
          <w:i/>
        </w:rPr>
        <w:t xml:space="preserve">actually</w:t>
      </w:r>
      <w:r>
        <w:t xml:space="preserve"> </w:t>
      </w:r>
      <w:r>
        <w:t xml:space="preserve">running. Keeping the two aligned is the digital twin.</w:t>
      </w:r>
    </w:p>
    <w:p>
      <w:pPr>
        <w:pStyle w:val="BodyText"/>
      </w:pPr>
      <w:r>
        <w:rPr>
          <w:b/>
        </w:rPr>
        <w:t xml:space="preserve">Set up (2.3 → 3.1):</w:t>
      </w:r>
      <w:r>
        <w:t xml:space="preserve"> </w:t>
      </w:r>
      <w:r>
        <w:t xml:space="preserve">- Make sure every serviceable MEP element carries its eight-segment tag</w:t>
      </w:r>
      <w:r>
        <w:t xml:space="preserve"> </w:t>
      </w:r>
      <w:r>
        <w:rPr>
          <w:b/>
        </w:rPr>
        <w:t xml:space="preserve">plus</w:t>
      </w:r>
      <w:r>
        <w:t xml:space="preserve"> </w:t>
      </w:r>
      <w:r>
        <w:t xml:space="preserve">the BMS parameters (point name, protocol, system), so it can map to a Niagara point.</w:t>
      </w:r>
      <w:r>
        <w:t xml:space="preserve"> </w:t>
      </w:r>
      <w:r>
        <w:t xml:space="preserve">- Agree the</w:t>
      </w:r>
      <w:r>
        <w:t xml:space="preserve"> </w:t>
      </w:r>
      <w:r>
        <w:rPr>
          <w:b/>
        </w:rPr>
        <w:t xml:space="preserve">point-naming convention</w:t>
      </w:r>
      <w:r>
        <w:t xml:space="preserve"> </w:t>
      </w:r>
      <w:r>
        <w:t xml:space="preserve">with the MEP team and the controls / commissioning contractor (Niagara speaks BACnet, Modbus, oBIX and REST).</w:t>
      </w:r>
    </w:p>
    <w:p>
      <w:pPr>
        <w:pStyle w:val="BodyText"/>
      </w:pPr>
      <w:r>
        <w:rPr>
          <w:b/>
        </w:rPr>
        <w:t xml:space="preserve">Commissioning prep (3.1, ~M40):</w:t>
      </w:r>
      <w:r>
        <w:t xml:space="preserve"> </w:t>
      </w:r>
      <w:r>
        <w:t xml:space="preserve">- Run</w:t>
      </w:r>
      <w:r>
        <w:t xml:space="preserve"> </w:t>
      </w:r>
      <w:r>
        <w:rPr>
          <w:b/>
        </w:rPr>
        <w:t xml:space="preserve">Niagara → Export Points</w:t>
      </w:r>
      <w:r>
        <w:t xml:space="preserve">: extract the building-services points from the MEP model (for example a BACnet sensor on an air-handling unit) into the format the controls contractor loads into Niagara. The BMS gets a</w:t>
      </w:r>
      <w:r>
        <w:t xml:space="preserve"> </w:t>
      </w:r>
      <w:r>
        <w:rPr>
          <w:b/>
        </w:rPr>
        <w:t xml:space="preserve">model-driven point list</w:t>
      </w:r>
      <w:r>
        <w:t xml:space="preserve"> </w:t>
      </w:r>
      <w:r>
        <w:t xml:space="preserve">instead of a hand-built one — fewer transcription errors, faster commissioning.</w:t>
      </w:r>
    </w:p>
    <w:p>
      <w:pPr>
        <w:pStyle w:val="BodyText"/>
      </w:pPr>
      <w:r>
        <w:rPr>
          <w:b/>
        </w:rPr>
        <w:t xml:space="preserve">Handover (3.3):</w:t>
      </w:r>
      <w:r>
        <w:t xml:space="preserve"> </w:t>
      </w:r>
      <w:r>
        <w:t xml:space="preserve">- Run</w:t>
      </w:r>
      <w:r>
        <w:t xml:space="preserve"> </w:t>
      </w:r>
      <w:r>
        <w:rPr>
          <w:b/>
        </w:rPr>
        <w:t xml:space="preserve">Niagara → Reconcile</w:t>
      </w:r>
      <w:r>
        <w:t xml:space="preserve">: compare the model’s equipment and points against what is actually live in the Niagara station and report the differences (missing points, renamed devices, extra devices). Resolve them with the controls contractor so the model and the live building agree.</w:t>
      </w:r>
      <w:r>
        <w:t xml:space="preserve"> </w:t>
      </w:r>
      <w:r>
        <w:t xml:space="preserve">- The reconciled model + point register is the</w:t>
      </w:r>
      <w:r>
        <w:t xml:space="preserve"> </w:t>
      </w:r>
      <w:r>
        <w:rPr>
          <w:b/>
        </w:rPr>
        <w:t xml:space="preserve">digital-twin baseline</w:t>
      </w:r>
      <w:r>
        <w:t xml:space="preserve"> </w:t>
      </w:r>
      <w:r>
        <w:t xml:space="preserve">you hand the Owner.</w:t>
      </w:r>
    </w:p>
    <w:p>
      <w:pPr>
        <w:pStyle w:val="BlockText"/>
      </w:pPr>
      <w:r>
        <w:rPr>
          <w:b/>
        </w:rPr>
        <w:t xml:space="preserve">What the Owner receives (standard output):</w:t>
      </w:r>
      <w:r>
        <w:t xml:space="preserve"> </w:t>
      </w:r>
      <w:r>
        <w:t xml:space="preserve">a reconciled as-built model, an equipment / point register, and a digital-twin baseline. They see the aligned data, never the bridge.</w:t>
      </w:r>
    </w:p>
    <w:p>
      <w:r>
        <w:pict>
          <v:rect style="width:0;height:1.5pt" o:hralign="center" o:hrstd="t" o:hr="t"/>
        </w:pict>
      </w:r>
    </w:p>
    <w:p>
      <w:pPr>
        <w:pStyle w:val="Heading2"/>
      </w:pPr>
      <w:bookmarkStart w:id="28" w:name="part-g-speck-link-speckle-automation"/>
      <w:r>
        <w:t xml:space="preserve">PART G — Speck-Link (Speckle) automation</w:t>
      </w:r>
      <w:bookmarkEnd w:id="28"/>
    </w:p>
    <w:p>
      <w:pPr>
        <w:pStyle w:val="FirstParagraph"/>
      </w:pPr>
      <w:r>
        <w:rPr>
          <w:b/>
        </w:rPr>
        <w:t xml:space="preserve">Speck-Link (Speckle) is your private interoperability and web-viewing layer — treat it exactly like STINGTOOLS.</w:t>
      </w:r>
      <w:r>
        <w:t xml:space="preserve"> </w:t>
      </w:r>
      <w:r>
        <w:t xml:space="preserve">It is</w:t>
      </w:r>
      <w:r>
        <w:t xml:space="preserve"> </w:t>
      </w:r>
      <w:r>
        <w:rPr>
          <w:b/>
        </w:rPr>
        <w:t xml:space="preserve">not</w:t>
      </w:r>
      <w:r>
        <w:t xml:space="preserve"> </w:t>
      </w:r>
      <w:r>
        <w:t xml:space="preserve">in the Owner-mandated stack, so it is never the CDE and never a project dependency; ACC stays the authoritative CDE and Navisworks → ACC Issues stays the authoritative clash. Speck-Link is the convenience layer on top that moves BIM data as live, versioned streams and gives a browser viewer.</w:t>
      </w:r>
    </w:p>
    <w:p>
      <w:pPr>
        <w:pStyle w:val="BodyText"/>
      </w:pPr>
      <w:r>
        <w:rPr>
          <w:b/>
        </w:rPr>
        <w:t xml:space="preserve">Three uses on KUT:</w:t>
      </w:r>
      <w:r>
        <w:t xml:space="preserve"> </w:t>
      </w:r>
      <w:r>
        <w:t xml:space="preserve">1.</w:t>
      </w:r>
      <w:r>
        <w:t xml:space="preserve"> </w:t>
      </w:r>
      <w:r>
        <w:rPr>
          <w:b/>
        </w:rPr>
        <w:t xml:space="preserve">Web viewer for non-Revit stakeholders.</w:t>
      </w:r>
      <w:r>
        <w:t xml:space="preserve"> </w:t>
      </w:r>
      <w:r>
        <w:t xml:space="preserve">Publish the federated model (or a discipline model) to a Speck-Link stream and share a</w:t>
      </w:r>
      <w:r>
        <w:t xml:space="preserve"> </w:t>
      </w:r>
      <w:r>
        <w:rPr>
          <w:b/>
        </w:rPr>
        <w:t xml:space="preserve">browser link</w:t>
      </w:r>
      <w:r>
        <w:t xml:space="preserve"> </w:t>
      </w:r>
      <w:r>
        <w:t xml:space="preserve">with the client, the QS or the FM team. They see the model in a browser — no Revit licence, no install — which is ideal for design reviews and client walkthroughs where ACC access is not practical.</w:t>
      </w:r>
      <w:r>
        <w:t xml:space="preserve"> </w:t>
      </w:r>
      <w:r>
        <w:t xml:space="preserve">2.</w:t>
      </w:r>
      <w:r>
        <w:t xml:space="preserve"> </w:t>
      </w:r>
      <w:r>
        <w:rPr>
          <w:b/>
        </w:rPr>
        <w:t xml:space="preserve">Live data hand-off between tools that don’t talk natively.</w:t>
      </w:r>
      <w:r>
        <w:t xml:space="preserve"> </w:t>
      </w:r>
      <w:r>
        <w:t xml:space="preserve">Move geometry and data between Revit, Rhino / Grasshopper, Excel and the web as versioned streams instead of emailing files — handy when the QS pulls quantities or a specialist works in Rhino.</w:t>
      </w:r>
      <w:r>
        <w:t xml:space="preserve"> </w:t>
      </w:r>
      <w:r>
        <w:t xml:space="preserve">3.</w:t>
      </w:r>
      <w:r>
        <w:t xml:space="preserve"> </w:t>
      </w:r>
      <w:r>
        <w:rPr>
          <w:b/>
        </w:rPr>
        <w:t xml:space="preserve">Automated checks on change (Speck-Link Automate).</w:t>
      </w:r>
      <w:r>
        <w:t xml:space="preserve"> </w:t>
      </w:r>
      <w:r>
        <w:t xml:space="preserve">Set a function to run</w:t>
      </w:r>
      <w:r>
        <w:t xml:space="preserve"> </w:t>
      </w:r>
      <w:r>
        <w:rPr>
          <w:b/>
        </w:rPr>
        <w:t xml:space="preserve">whenever a model is pushed</w:t>
      </w:r>
      <w:r>
        <w:t xml:space="preserve"> </w:t>
      </w:r>
      <w:r>
        <w:t xml:space="preserve">— a naming check, a tag-completeness check, or a quick clash — and report the result automatically. This catches problems</w:t>
      </w:r>
      <w:r>
        <w:t xml:space="preserve"> </w:t>
      </w:r>
      <w:r>
        <w:rPr>
          <w:b/>
        </w:rPr>
        <w:t xml:space="preserve">between</w:t>
      </w:r>
      <w:r>
        <w:t xml:space="preserve"> </w:t>
      </w:r>
      <w:r>
        <w:t xml:space="preserve">your fortnightly cycles, so a broken model is flagged the moment it lands rather than on the next Wednesday.</w:t>
      </w:r>
    </w:p>
    <w:p>
      <w:pPr>
        <w:pStyle w:val="BodyText"/>
      </w:pPr>
      <w:r>
        <w:rPr>
          <w:b/>
        </w:rPr>
        <w:t xml:space="preserve">How it fits the cycle:</w:t>
      </w:r>
      <w:r>
        <w:t xml:space="preserve"> </w:t>
      </w:r>
      <w:r>
        <w:t xml:space="preserve">-</w:t>
      </w:r>
      <w:r>
        <w:t xml:space="preserve"> </w:t>
      </w:r>
      <w:r>
        <w:rPr>
          <w:b/>
        </w:rPr>
        <w:t xml:space="preserve">Continuous:</w:t>
      </w:r>
      <w:r>
        <w:t xml:space="preserve"> </w:t>
      </w:r>
      <w:r>
        <w:t xml:space="preserve">Speck-Link Automate runs the light checks on every push; you get a red flag immediately.</w:t>
      </w:r>
      <w:r>
        <w:t xml:space="preserve"> </w:t>
      </w:r>
      <w:r>
        <w:t xml:space="preserve">-</w:t>
      </w:r>
      <w:r>
        <w:t xml:space="preserve"> </w:t>
      </w:r>
      <w:r>
        <w:rPr>
          <w:b/>
        </w:rPr>
        <w:t xml:space="preserve">Each cycle:</w:t>
      </w:r>
      <w:r>
        <w:t xml:space="preserve"> </w:t>
      </w:r>
      <w:r>
        <w:t xml:space="preserve">publish the federated model to a Speck-Link stream for the web viewer; drop the link in the coordination invite so non-Revit stakeholders can pre-read.</w:t>
      </w:r>
      <w:r>
        <w:t xml:space="preserve"> </w:t>
      </w:r>
      <w:r>
        <w:t xml:space="preserve">-</w:t>
      </w:r>
      <w:r>
        <w:t xml:space="preserve"> </w:t>
      </w:r>
      <w:r>
        <w:rPr>
          <w:b/>
        </w:rPr>
        <w:t xml:space="preserve">Per gate:</w:t>
      </w:r>
      <w:r>
        <w:t xml:space="preserve"> </w:t>
      </w:r>
      <w:r>
        <w:t xml:space="preserve">a browser snapshot of the federated model for the client review pack.</w:t>
      </w:r>
    </w:p>
    <w:p>
      <w:pPr>
        <w:pStyle w:val="BlockText"/>
      </w:pPr>
      <w:r>
        <w:rPr>
          <w:b/>
        </w:rPr>
        <w:t xml:space="preserve">Keep it private and standard.</w:t>
      </w:r>
      <w:r>
        <w:t xml:space="preserve"> </w:t>
      </w:r>
      <w:r>
        <w:t xml:space="preserve">The outputs people receive (a web link, a check result, a quantity export) are standard; you never make Speck-Link a project dependency, never name it as the CDE, and never let it become the single source of truth. ACC remains the CDE; Speck-Link just makes the model easy to see and easy to check.</w:t>
      </w:r>
    </w:p>
    <w:p>
      <w:r>
        <w:pict>
          <v:rect style="width:0;height:1.5pt" o:hralign="center" o:hrstd="t" o:hr="t"/>
        </w:pict>
      </w:r>
    </w:p>
    <w:p>
      <w:pPr>
        <w:pStyle w:val="Heading2"/>
      </w:pPr>
      <w:bookmarkStart w:id="29" w:name="Xa709540e5a5a16248f62d174c1398527086858c"/>
      <w:r>
        <w:t xml:space="preserve">PART H — Cautions (read before you lean on it)</w:t>
      </w:r>
      <w:bookmarkEnd w:id="29"/>
    </w:p>
    <w:p>
      <w:pPr>
        <w:pStyle w:val="FirstParagraph"/>
      </w:pPr>
      <w:r>
        <w:t xml:space="preserve">You are betting some contractual gate outputs on your own tool. Be deliberate.</w:t>
      </w:r>
    </w:p>
    <w:p>
      <w:pPr>
        <w:numPr>
          <w:ilvl w:val="0"/>
          <w:numId w:val="1004"/>
        </w:numPr>
        <w:pStyle w:val="Compact"/>
      </w:pPr>
      <w:r>
        <w:rPr>
          <w:b/>
        </w:rPr>
        <w:t xml:space="preserve">It is not fully build-verified.</w:t>
      </w:r>
      <w:r>
        <w:t xml:space="preserve"> </w:t>
      </w:r>
      <w:r>
        <w:t xml:space="preserve">STINGTOOLS ships with branches committed without a full</w:t>
      </w:r>
      <w:r>
        <w:t xml:space="preserve"> </w:t>
      </w:r>
      <w:r>
        <w:rPr>
          <w:rStyle w:val="VerbatimChar"/>
        </w:rPr>
        <w:t xml:space="preserve">dotnet build</w:t>
      </w:r>
      <w:r>
        <w:t xml:space="preserve"> </w:t>
      </w:r>
      <w:r>
        <w:t xml:space="preserve">(per its own changelog). Treat its outputs as fast drafts you verify, not gospel. Run</w:t>
      </w:r>
      <w:r>
        <w:t xml:space="preserve"> </w:t>
      </w:r>
      <w:r>
        <w:rPr>
          <w:rStyle w:val="VerbatimChar"/>
          <w:b/>
        </w:rPr>
        <w:t xml:space="preserve">validate_tag_config.py</w:t>
      </w:r>
      <w:r>
        <w:t xml:space="preserve"> </w:t>
      </w:r>
      <w:r>
        <w:t xml:space="preserve">and</w:t>
      </w:r>
      <w:r>
        <w:t xml:space="preserve"> </w:t>
      </w:r>
      <w:r>
        <w:rPr>
          <w:b/>
        </w:rPr>
        <w:t xml:space="preserve">Family Conformance Check</w:t>
      </w:r>
      <w:r>
        <w:t xml:space="preserve"> </w:t>
      </w:r>
      <w:r>
        <w:t xml:space="preserve">before bulk-stamping families, and</w:t>
      </w:r>
      <w:r>
        <w:t xml:space="preserve"> </w:t>
      </w:r>
      <w:r>
        <w:rPr>
          <w:b/>
        </w:rPr>
        <w:t xml:space="preserve">cross-check the first gate audit, the first BOQ and the first COBie by hand</w:t>
      </w:r>
      <w:r>
        <w:t xml:space="preserve"> </w:t>
      </w:r>
      <w:r>
        <w:t xml:space="preserve">before you trust the repeatable run.</w:t>
      </w:r>
    </w:p>
    <w:p>
      <w:pPr>
        <w:numPr>
          <w:ilvl w:val="0"/>
          <w:numId w:val="1004"/>
        </w:numPr>
        <w:pStyle w:val="Compact"/>
      </w:pPr>
      <w:r>
        <w:rPr>
          <w:b/>
        </w:rPr>
        <w:t xml:space="preserve">Keep it private; ship only standard outputs.</w:t>
      </w:r>
      <w:r>
        <w:t xml:space="preserve"> </w:t>
      </w:r>
      <w:r>
        <w:t xml:space="preserve">Everything the team or client receives must be standard — standard Revit families, PDFs, schedules, registers, BCF. Never name STINGTOOLS in a project document, an email or a meeting. This protects your intellectual property and keeps your role contractually clean: you are paid for the standard outputs, not for the tool.</w:t>
      </w:r>
    </w:p>
    <w:p>
      <w:pPr>
        <w:numPr>
          <w:ilvl w:val="0"/>
          <w:numId w:val="1004"/>
        </w:numPr>
        <w:pStyle w:val="Compact"/>
      </w:pPr>
      <w:r>
        <w:rPr>
          <w:b/>
        </w:rPr>
        <w:t xml:space="preserve">Close the tag-config defect first.</w:t>
      </w:r>
      <w:r>
        <w:t xml:space="preserve"> </w:t>
      </w:r>
      <w:r>
        <w:t xml:space="preserve">The validator flagged</w:t>
      </w:r>
      <w:r>
        <w:t xml:space="preserve"> </w:t>
      </w:r>
      <w:r>
        <w:rPr>
          <w:b/>
        </w:rPr>
        <w:t xml:space="preserve">64 missing 2.5 / 3.5 tag-size shared parameters</w:t>
      </w:r>
      <w:r>
        <w:t xml:space="preserve">. Add them before authoring tag families, or a tag-style run will fail mid-coordination.</w:t>
      </w:r>
    </w:p>
    <w:p>
      <w:pPr>
        <w:numPr>
          <w:ilvl w:val="0"/>
          <w:numId w:val="1004"/>
        </w:numPr>
        <w:pStyle w:val="Compact"/>
      </w:pPr>
      <w:r>
        <w:rPr>
          <w:b/>
        </w:rPr>
        <w:t xml:space="preserve">Hold the design boundary.</w:t>
      </w:r>
      <w:r>
        <w:t xml:space="preserve"> </w:t>
      </w:r>
      <w:r>
        <w:t xml:space="preserve">STINGTOOLS can generate engineering content (panel schedules, load and cable calcs). If you run those for a discipline, the</w:t>
      </w:r>
      <w:r>
        <w:t xml:space="preserve"> </w:t>
      </w:r>
      <w:r>
        <w:rPr>
          <w:b/>
        </w:rPr>
        <w:t xml:space="preserve">discipline remains responsible and must check the output</w:t>
      </w:r>
      <w:r>
        <w:t xml:space="preserve">. Your role is coordinate-and-verify; do not let your automation drift you into design and the liability that comes with it.</w:t>
      </w:r>
    </w:p>
    <w:p>
      <w:pPr>
        <w:numPr>
          <w:ilvl w:val="0"/>
          <w:numId w:val="1004"/>
        </w:numPr>
        <w:pStyle w:val="Compact"/>
      </w:pPr>
      <w:r>
        <w:rPr>
          <w:b/>
        </w:rPr>
        <w:t xml:space="preserve">Choose deployment deliberately.</w:t>
      </w:r>
      <w:r>
        <w:t xml:space="preserve"> </w:t>
      </w:r>
      <w:r>
        <w:t xml:space="preserve">For a first job, run STINGTOOLS</w:t>
      </w:r>
      <w:r>
        <w:t xml:space="preserve"> </w:t>
      </w:r>
      <w:r>
        <w:rPr>
          <w:b/>
        </w:rPr>
        <w:t xml:space="preserve">centrally</w:t>
      </w:r>
      <w:r>
        <w:t xml:space="preserve"> </w:t>
      </w:r>
      <w:r>
        <w:t xml:space="preserve">(your machine only) and give the team pre-built standard content. It is the lowest-risk, lowest-support path. Move to distributed (each consultant runs it) only once you are settled and can support it.</w:t>
      </w:r>
    </w:p>
    <w:p>
      <w:pPr>
        <w:numPr>
          <w:ilvl w:val="0"/>
          <w:numId w:val="1004"/>
        </w:numPr>
        <w:pStyle w:val="Compact"/>
      </w:pPr>
      <w:r>
        <w:rPr>
          <w:b/>
        </w:rPr>
        <w:t xml:space="preserve">Back yourself up.</w:t>
      </w:r>
      <w:r>
        <w:t xml:space="preserve"> </w:t>
      </w:r>
      <w:r>
        <w:t xml:space="preserve">Keep the config (</w:t>
      </w:r>
      <w:r>
        <w:rPr>
          <w:rStyle w:val="VerbatimChar"/>
        </w:rPr>
        <w:t xml:space="preserve">_BIM_COORD</w:t>
      </w:r>
      <w:r>
        <w:t xml:space="preserve"> </w:t>
      </w:r>
      <w:r>
        <w:t xml:space="preserve">overlay, the tag CSVs, the workflow presets) under version control, and document your setup, so a STINGTOOLS quirk or your absence never stops the project.</w:t>
      </w:r>
    </w:p>
    <w:p>
      <w:r>
        <w:pict>
          <v:rect style="width:0;height:1.5pt" o:hralign="center" o:hrstd="t" o:hr="t"/>
        </w:pict>
      </w:r>
    </w:p>
    <w:p>
      <w:pPr>
        <w:pStyle w:val="Heading2"/>
      </w:pPr>
      <w:bookmarkStart w:id="30" w:name="Xcd2acda108ee378a54a4875a7c7d9ee0a826f03"/>
      <w:r>
        <w:t xml:space="preserve">Appendix — where the STINGTOOLS config lives</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 / location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project-templates/KUT/_BIM_COORD/owner_standards.json</w:t>
            </w:r>
          </w:p>
        </w:tc>
        <w:tc>
          <w:p>
            <w:pPr>
              <w:pStyle w:val="Compact"/>
              <w:jc w:val="left"/>
            </w:pPr>
            <w:r>
              <w:t xml:space="preserve">The client standards profile</w:t>
            </w:r>
          </w:p>
        </w:tc>
      </w:tr>
      <w:tr>
        <w:tc>
          <w:p>
            <w:pPr>
              <w:pStyle w:val="Compact"/>
              <w:jc w:val="left"/>
            </w:pPr>
            <w:r>
              <w:rPr>
                <w:rStyle w:val="VerbatimChar"/>
              </w:rPr>
              <w:t xml:space="preserve">…/_BIM_COORD/lod_matrix.json</w:t>
            </w:r>
          </w:p>
        </w:tc>
        <w:tc>
          <w:p>
            <w:pPr>
              <w:pStyle w:val="Compact"/>
              <w:jc w:val="left"/>
            </w:pPr>
            <w:r>
              <w:t xml:space="preserve">LOD per stage</w:t>
            </w:r>
          </w:p>
        </w:tc>
      </w:tr>
      <w:tr>
        <w:tc>
          <w:p>
            <w:pPr>
              <w:pStyle w:val="Compact"/>
              <w:jc w:val="left"/>
            </w:pPr>
            <w:r>
              <w:rPr>
                <w:rStyle w:val="VerbatimChar"/>
              </w:rPr>
              <w:t xml:space="preserve">…/_BIM_COORD/tag_schemes.json</w:t>
            </w:r>
          </w:p>
        </w:tc>
        <w:tc>
          <w:p>
            <w:pPr>
              <w:pStyle w:val="Compact"/>
              <w:jc w:val="left"/>
            </w:pPr>
            <w:r>
              <w:t xml:space="preserve">The eight-segment tag / naming scheme</w:t>
            </w:r>
          </w:p>
        </w:tc>
      </w:tr>
      <w:tr>
        <w:tc>
          <w:p>
            <w:pPr>
              <w:pStyle w:val="Compact"/>
              <w:jc w:val="left"/>
            </w:pPr>
            <w:r>
              <w:rPr>
                <w:rStyle w:val="VerbatimChar"/>
              </w:rPr>
              <w:t xml:space="preserve">…/_BIM_COORD/fohlio_map.json</w:t>
            </w:r>
          </w:p>
        </w:tc>
        <w:tc>
          <w:p>
            <w:pPr>
              <w:pStyle w:val="Compact"/>
              <w:jc w:val="left"/>
            </w:pPr>
            <w:r>
              <w:t xml:space="preserve">Fohlio field mapping (Part D)</w:t>
            </w:r>
          </w:p>
        </w:tc>
      </w:tr>
      <w:tr>
        <w:tc>
          <w:p>
            <w:pPr>
              <w:pStyle w:val="Compact"/>
              <w:jc w:val="left"/>
            </w:pPr>
            <w:r>
              <w:rPr>
                <w:rStyle w:val="VerbatimChar"/>
              </w:rPr>
              <w:t xml:space="preserve">StingTools/Data/WORKFLOW_KUT_*.json</w:t>
            </w:r>
          </w:p>
        </w:tc>
        <w:tc>
          <w:p>
            <w:pPr>
              <w:pStyle w:val="Compact"/>
              <w:jc w:val="left"/>
            </w:pPr>
            <w:r>
              <w:t xml:space="preserve">KUT workflow presets — chain the cycle, deliverable, monthly-report and FF&amp;E-sync commands</w:t>
            </w:r>
          </w:p>
        </w:tc>
      </w:tr>
      <w:tr>
        <w:tc>
          <w:p>
            <w:pPr>
              <w:pStyle w:val="Compact"/>
              <w:jc w:val="left"/>
            </w:pPr>
            <w:r>
              <w:t xml:space="preserve">In your KUT folder:</w:t>
            </w:r>
            <w:r>
              <w:t xml:space="preserve"> </w:t>
            </w:r>
            <w:r>
              <w:rPr>
                <w:rStyle w:val="VerbatimChar"/>
              </w:rPr>
              <w:t xml:space="preserve">MR_PARAMETERS.txt</w:t>
            </w:r>
            <w:r>
              <w:t xml:space="preserve">,</w:t>
            </w:r>
            <w:r>
              <w:t xml:space="preserve"> </w:t>
            </w:r>
            <w:r>
              <w:rPr>
                <w:rStyle w:val="VerbatimChar"/>
              </w:rPr>
              <w:t xml:space="preserve">STING_TAG_CONFIG_v5_0_*.csv</w:t>
            </w:r>
            <w:r>
              <w:t xml:space="preserve">,</w:t>
            </w:r>
            <w:r>
              <w:t xml:space="preserve"> </w:t>
            </w:r>
            <w:r>
              <w:rPr>
                <w:rStyle w:val="VerbatimChar"/>
              </w:rPr>
              <w:t xml:space="preserve">LABEL_DEFINITIONS.json</w:t>
            </w:r>
            <w:r>
              <w:t xml:space="preserve">,</w:t>
            </w:r>
            <w:r>
              <w:t xml:space="preserve"> </w:t>
            </w:r>
            <w:r>
              <w:rPr>
                <w:rStyle w:val="VerbatimChar"/>
              </w:rPr>
              <w:t xml:space="preserve">validate_tag_config.py</w:t>
            </w:r>
          </w:p>
        </w:tc>
        <w:tc>
          <w:p>
            <w:pPr>
              <w:pStyle w:val="Compact"/>
              <w:jc w:val="left"/>
            </w:pPr>
            <w:r>
              <w:t xml:space="preserve">The live tag configuration; run the validator whenever you edit it</w:t>
            </w:r>
          </w:p>
        </w:tc>
      </w:tr>
    </w:tbl>
    <w:p>
      <w:r>
        <w:pict>
          <v:rect style="width:0;height:1.5pt" o:hralign="center" o:hrstd="t" o:hr="t"/>
        </w:pict>
      </w:r>
    </w:p>
    <w:p>
      <w:pPr>
        <w:pStyle w:val="FirstParagraph"/>
      </w:pPr>
      <w:r>
        <w:rPr>
          <w:i/>
        </w:rPr>
        <w:t xml:space="preserve">End of internal version. Use it alongside the clean playbook; keep it to yourself; ship only the standard outputs.</w:t>
      </w:r>
    </w:p>
    <w:p>
      <w:r>
        <w:br w:type="page"/>
      </w:r>
    </w:p>
    <w:p>
      <w:pPr>
        <w:pStyle w:val="Heading2"/>
      </w:pPr>
      <w:r>
        <w:t>PART I - Corrections: what changed since this was written (read this first)</w:t>
      </w:r>
    </w:p>
    <w:p>
      <w:r>
        <w:rPr>
          <w:b w:val="0"/>
          <w:i/>
        </w:rPr>
        <w:t>This document was written in June. The plugin and the KUT configuration have both moved since. Everything below is verified against the repository as of 22 August 2026. Where this section contradicts Parts A-H, this section is right.</w:t>
      </w:r>
    </w:p>
    <w:p>
      <w:r>
        <w:rPr>
          <w:b/>
          <w:i w:val="0"/>
        </w:rPr>
        <w:t>1. There is no validate_tag_config.py.</w:t>
      </w:r>
    </w:p>
    <w:p>
      <w:r>
        <w:rPr>
          <w:b w:val="0"/>
          <w:i w:val="0"/>
        </w:rPr>
        <w:t>Parts B and H tell you to run it before authoring tag families. No file of that name exists anywhere in the repository - not in tools/, and a full-tree search finds nothing. If you follow Part B as written you will stop at step 4 of mobilisation looking for a script that was never there. Use instead: Audit Tag Families (CREATE TAGS - SETUP - "Audit") after generating the tag families, and Family Conformance Check (MODEL - FAMILY QUICK EDIT - "Conformance") on any family before you accept it into the library.</w:t>
      </w:r>
    </w:p>
    <w:p>
      <w:r>
        <w:rPr>
          <w:b w:val="0"/>
          <w:i w:val="0"/>
        </w:rPr>
        <w:t>The related claim - "64 missing 2.5 / 3.5 tag-size shared parameters" - cannot be reproduced either: the parameter registry holds 83 TAG_*_BOOL parameters and none is named for a 2.5 or 3.5 size. Treat that defect as unverified. Prove it in Revit with one test tag family before you let it hold up mobilisation.</w:t>
      </w:r>
    </w:p>
    <w:p>
      <w:r>
        <w:rPr>
          <w:b/>
          <w:i w:val="0"/>
        </w:rPr>
        <w:t>2. Five command names in Part A are wrong. Corrected, with where the button actually is:</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t>Part A calls it</w:t>
            </w:r>
          </w:p>
        </w:tc>
        <w:tc>
          <w:tcPr>
            <w:tcW w:type="dxa" w:w="2340"/>
          </w:tcPr>
          <w:p>
            <w:r>
              <w:rPr>
                <w:b/>
                <w:sz w:val="18"/>
              </w:rPr>
              <w:t>Real command tag</w:t>
            </w:r>
          </w:p>
        </w:tc>
        <w:tc>
          <w:tcPr>
            <w:tcW w:type="dxa" w:w="2340"/>
          </w:tcPr>
          <w:p>
            <w:r>
              <w:rPr>
                <w:b/>
                <w:sz w:val="18"/>
              </w:rPr>
              <w:t>Where the button is</w:t>
            </w:r>
          </w:p>
        </w:tc>
        <w:tc>
          <w:tcPr>
            <w:tcW w:type="dxa" w:w="2340"/>
          </w:tcPr>
          <w:p>
            <w:r>
              <w:rPr>
                <w:b/>
                <w:sz w:val="18"/>
              </w:rPr>
              <w:t>Button label</w:t>
            </w:r>
          </w:p>
        </w:tc>
      </w:tr>
      <w:tr>
        <w:tc>
          <w:tcPr>
            <w:tcW w:type="dxa" w:w="2340"/>
          </w:tcPr>
          <w:p>
            <w:r>
              <w:rPr>
                <w:sz w:val="18"/>
              </w:rPr>
              <w:t>Project Setup Wizard</w:t>
            </w:r>
          </w:p>
        </w:tc>
        <w:tc>
          <w:tcPr>
            <w:tcW w:type="dxa" w:w="2340"/>
          </w:tcPr>
          <w:p>
            <w:r>
              <w:rPr>
                <w:sz w:val="18"/>
              </w:rPr>
              <w:t>ProjectSetup</w:t>
            </w:r>
          </w:p>
        </w:tc>
        <w:tc>
          <w:tcPr>
            <w:tcW w:type="dxa" w:w="2340"/>
          </w:tcPr>
          <w:p>
            <w:r>
              <w:rPr>
                <w:sz w:val="18"/>
              </w:rPr>
              <w:t>SETUP &gt; SETUP</w:t>
            </w:r>
          </w:p>
        </w:tc>
        <w:tc>
          <w:tcPr>
            <w:tcW w:type="dxa" w:w="2340"/>
          </w:tcPr>
          <w:p>
            <w:r>
              <w:rPr>
                <w:sz w:val="18"/>
              </w:rPr>
              <w:t>Project Setup Wizard</w:t>
            </w:r>
          </w:p>
        </w:tc>
      </w:tr>
      <w:tr>
        <w:tc>
          <w:tcPr>
            <w:tcW w:type="dxa" w:w="2340"/>
          </w:tcPr>
          <w:p>
            <w:r>
              <w:rPr>
                <w:sz w:val="18"/>
              </w:rPr>
              <w:t>Tag Family Creator</w:t>
            </w:r>
          </w:p>
        </w:tc>
        <w:tc>
          <w:tcPr>
            <w:tcW w:type="dxa" w:w="2340"/>
          </w:tcPr>
          <w:p>
            <w:r>
              <w:rPr>
                <w:sz w:val="18"/>
              </w:rPr>
              <w:t>CreateTagFamilies</w:t>
            </w:r>
          </w:p>
        </w:tc>
        <w:tc>
          <w:tcPr>
            <w:tcW w:type="dxa" w:w="2340"/>
          </w:tcPr>
          <w:p>
            <w:r>
              <w:rPr>
                <w:sz w:val="18"/>
              </w:rPr>
              <w:t>CREATE TAGS &gt; SETUP</w:t>
            </w:r>
          </w:p>
        </w:tc>
        <w:tc>
          <w:tcPr>
            <w:tcW w:type="dxa" w:w="2340"/>
          </w:tcPr>
          <w:p>
            <w:r>
              <w:rPr>
                <w:sz w:val="18"/>
              </w:rPr>
              <w:t>Create Tag Fams</w:t>
            </w:r>
          </w:p>
        </w:tc>
      </w:tr>
      <w:tr>
        <w:tc>
          <w:tcPr>
            <w:tcW w:type="dxa" w:w="2340"/>
          </w:tcPr>
          <w:p>
            <w:r>
              <w:rPr>
                <w:sz w:val="18"/>
              </w:rPr>
              <w:t>Family Parameter Processor</w:t>
            </w:r>
          </w:p>
        </w:tc>
        <w:tc>
          <w:tcPr>
            <w:tcW w:type="dxa" w:w="2340"/>
          </w:tcPr>
          <w:p>
            <w:r>
              <w:rPr>
                <w:sz w:val="18"/>
              </w:rPr>
              <w:t>FamilyParamCreator</w:t>
            </w:r>
          </w:p>
        </w:tc>
        <w:tc>
          <w:tcPr>
            <w:tcW w:type="dxa" w:w="2340"/>
          </w:tcPr>
          <w:p>
            <w:r>
              <w:rPr>
                <w:sz w:val="18"/>
              </w:rPr>
              <w:t>CREATE TAGS &gt; FAMILY &amp; DISPLAY</w:t>
            </w:r>
          </w:p>
        </w:tc>
        <w:tc>
          <w:tcPr>
            <w:tcW w:type="dxa" w:w="2340"/>
          </w:tcPr>
          <w:p>
            <w:r>
              <w:rPr>
                <w:sz w:val="18"/>
              </w:rPr>
              <w:t>Inject Params</w:t>
            </w:r>
          </w:p>
        </w:tc>
      </w:tr>
      <w:tr>
        <w:tc>
          <w:tcPr>
            <w:tcW w:type="dxa" w:w="2340"/>
          </w:tcPr>
          <w:p>
            <w:r>
              <w:rPr>
                <w:sz w:val="18"/>
              </w:rPr>
              <w:t>Batch Add Family Params</w:t>
            </w:r>
          </w:p>
        </w:tc>
        <w:tc>
          <w:tcPr>
            <w:tcW w:type="dxa" w:w="2340"/>
          </w:tcPr>
          <w:p>
            <w:r>
              <w:rPr>
                <w:sz w:val="18"/>
              </w:rPr>
              <w:t>BatchAddFamilyParams</w:t>
            </w:r>
          </w:p>
        </w:tc>
        <w:tc>
          <w:tcPr>
            <w:tcW w:type="dxa" w:w="2340"/>
          </w:tcPr>
          <w:p>
            <w:r>
              <w:rPr>
                <w:sz w:val="18"/>
              </w:rPr>
              <w:t>SETUP &gt; TEMPLATE MANAGER</w:t>
            </w:r>
          </w:p>
        </w:tc>
        <w:tc>
          <w:tcPr>
            <w:tcW w:type="dxa" w:w="2340"/>
          </w:tcPr>
          <w:p>
            <w:r>
              <w:rPr>
                <w:sz w:val="18"/>
              </w:rPr>
              <w:t>FamParms</w:t>
            </w:r>
          </w:p>
        </w:tc>
      </w:tr>
      <w:tr>
        <w:tc>
          <w:tcPr>
            <w:tcW w:type="dxa" w:w="2340"/>
          </w:tcPr>
          <w:p>
            <w:r>
              <w:rPr>
                <w:sz w:val="18"/>
              </w:rPr>
              <w:t>KUT KPI Dashboard</w:t>
            </w:r>
          </w:p>
        </w:tc>
        <w:tc>
          <w:tcPr>
            <w:tcW w:type="dxa" w:w="2340"/>
          </w:tcPr>
          <w:p>
            <w:r>
              <w:rPr>
                <w:sz w:val="18"/>
              </w:rPr>
              <w:t>Owner_KpiDashboard</w:t>
            </w:r>
          </w:p>
        </w:tc>
        <w:tc>
          <w:tcPr>
            <w:tcW w:type="dxa" w:w="2340"/>
          </w:tcPr>
          <w:p>
            <w:r>
              <w:rPr>
                <w:sz w:val="18"/>
              </w:rPr>
              <w:t>BIM &gt; OWNER KPI DASHBOARD</w:t>
            </w:r>
          </w:p>
        </w:tc>
        <w:tc>
          <w:tcPr>
            <w:tcW w:type="dxa" w:w="2340"/>
          </w:tcPr>
          <w:p>
            <w:r>
              <w:rPr>
                <w:sz w:val="18"/>
              </w:rPr>
              <w:t>KPI Dashboard</w:t>
            </w:r>
          </w:p>
        </w:tc>
      </w:tr>
      <w:tr>
        <w:tc>
          <w:tcPr>
            <w:tcW w:type="dxa" w:w="2340"/>
          </w:tcPr>
          <w:p>
            <w:r>
              <w:rPr>
                <w:sz w:val="18"/>
              </w:rPr>
              <w:t>COBie Export (2.4)</w:t>
            </w:r>
          </w:p>
        </w:tc>
        <w:tc>
          <w:tcPr>
            <w:tcW w:type="dxa" w:w="2340"/>
          </w:tcPr>
          <w:p>
            <w:r>
              <w:rPr>
                <w:sz w:val="18"/>
              </w:rPr>
              <w:t>COBieExport</w:t>
            </w:r>
          </w:p>
        </w:tc>
        <w:tc>
          <w:tcPr>
            <w:tcW w:type="dxa" w:w="2340"/>
          </w:tcPr>
          <w:p>
            <w:r>
              <w:rPr>
                <w:sz w:val="18"/>
              </w:rPr>
              <w:t>DOCS &gt; FM &amp; O&amp;M HANDOVER</w:t>
            </w:r>
          </w:p>
        </w:tc>
        <w:tc>
          <w:tcPr>
            <w:tcW w:type="dxa" w:w="2340"/>
          </w:tcPr>
          <w:p>
            <w:r>
              <w:rPr>
                <w:sz w:val="18"/>
              </w:rPr>
              <w:t>COBie Export</w:t>
            </w:r>
          </w:p>
        </w:tc>
      </w:tr>
      <w:tr>
        <w:tc>
          <w:tcPr>
            <w:tcW w:type="dxa" w:w="2340"/>
          </w:tcPr>
          <w:p>
            <w:r>
              <w:rPr>
                <w:sz w:val="18"/>
              </w:rPr>
              <w:t>(BEP generation)</w:t>
            </w:r>
          </w:p>
        </w:tc>
        <w:tc>
          <w:tcPr>
            <w:tcW w:type="dxa" w:w="2340"/>
          </w:tcPr>
          <w:p>
            <w:r>
              <w:rPr>
                <w:sz w:val="18"/>
              </w:rPr>
              <w:t>CreateBEP</w:t>
            </w:r>
          </w:p>
        </w:tc>
        <w:tc>
          <w:tcPr>
            <w:tcW w:type="dxa" w:w="2340"/>
          </w:tcPr>
          <w:p>
            <w:r>
              <w:rPr>
                <w:sz w:val="18"/>
              </w:rPr>
              <w:t>BIM tab</w:t>
            </w:r>
          </w:p>
        </w:tc>
        <w:tc>
          <w:tcPr>
            <w:tcW w:type="dxa" w:w="2340"/>
          </w:tcPr>
          <w:p>
            <w:r>
              <w:rPr>
                <w:sz w:val="18"/>
              </w:rPr>
              <w:t>Create</w:t>
            </w:r>
          </w:p>
        </w:tc>
      </w:tr>
    </w:tbl>
    <w:p/>
    <w:p>
      <w:r>
        <w:rPr>
          <w:b w:val="0"/>
          <w:i w:val="0"/>
          <w:sz w:val="18"/>
        </w:rPr>
        <w:t>The KPI dashboard was renamed because nothing in its 471 lines was ever temple-specific - it now reads the project code from Project Information. The old KUT_KpiDashboard tag still resolves as an alias, so the Monthly Report preset keeps working.</w:t>
      </w:r>
    </w:p>
    <w:p>
      <w:r>
        <w:rPr>
          <w:b/>
          <w:i w:val="0"/>
        </w:rPr>
        <w:t>3. The LOD ladder has six milestones now, not five.</w:t>
      </w:r>
    </w:p>
    <w:tbl>
      <w:tblPr>
        <w:tblW w:type="auto" w:w="0"/>
        <w:tblLook w:firstColumn="1" w:firstRow="1" w:lastColumn="0" w:lastRow="0" w:noHBand="0" w:noVBand="1" w:val="04A0"/>
      </w:tblPr>
      <w:tblGrid>
        <w:gridCol w:w="3120"/>
        <w:gridCol w:w="3120"/>
        <w:gridCol w:w="3120"/>
      </w:tblGrid>
      <w:tr>
        <w:tc>
          <w:tcPr>
            <w:tcW w:type="dxa" w:w="3120"/>
          </w:tcPr>
          <w:p>
            <w:r>
              <w:rPr>
                <w:b/>
                <w:sz w:val="18"/>
              </w:rPr>
              <w:t>Milestone id (pick this at the prompt)</w:t>
            </w:r>
          </w:p>
        </w:tc>
        <w:tc>
          <w:tcPr>
            <w:tcW w:type="dxa" w:w="3120"/>
          </w:tcPr>
          <w:p>
            <w:r>
              <w:rPr>
                <w:b/>
                <w:sz w:val="18"/>
              </w:rPr>
              <w:t>LOD</w:t>
            </w:r>
          </w:p>
        </w:tc>
        <w:tc>
          <w:tcPr>
            <w:tcW w:type="dxa" w:w="3120"/>
          </w:tcPr>
          <w:p>
            <w:r>
              <w:rPr>
                <w:b/>
                <w:sz w:val="18"/>
              </w:rPr>
              <w:t>Stage</w:t>
            </w:r>
          </w:p>
        </w:tc>
      </w:tr>
      <w:tr>
        <w:tc>
          <w:tcPr>
            <w:tcW w:type="dxa" w:w="3120"/>
          </w:tcPr>
          <w:p>
            <w:r>
              <w:rPr>
                <w:sz w:val="18"/>
              </w:rPr>
              <w:t>deliverable-a</w:t>
            </w:r>
          </w:p>
        </w:tc>
        <w:tc>
          <w:tcPr>
            <w:tcW w:type="dxa" w:w="3120"/>
          </w:tcPr>
          <w:p>
            <w:r>
              <w:rPr>
                <w:sz w:val="18"/>
              </w:rPr>
              <w:t>200</w:t>
            </w:r>
          </w:p>
        </w:tc>
        <w:tc>
          <w:tcPr>
            <w:tcW w:type="dxa" w:w="3120"/>
          </w:tcPr>
          <w:p>
            <w:r>
              <w:rPr>
                <w:sz w:val="18"/>
              </w:rPr>
              <w:t>2.1 Basis of Design</w:t>
            </w:r>
          </w:p>
        </w:tc>
      </w:tr>
      <w:tr>
        <w:tc>
          <w:tcPr>
            <w:tcW w:type="dxa" w:w="3120"/>
          </w:tcPr>
          <w:p>
            <w:r>
              <w:rPr>
                <w:sz w:val="18"/>
              </w:rPr>
              <w:t>deliverable-b</w:t>
            </w:r>
          </w:p>
        </w:tc>
        <w:tc>
          <w:tcPr>
            <w:tcW w:type="dxa" w:w="3120"/>
          </w:tcPr>
          <w:p>
            <w:r>
              <w:rPr>
                <w:sz w:val="18"/>
              </w:rPr>
              <w:t>300</w:t>
            </w:r>
          </w:p>
        </w:tc>
        <w:tc>
          <w:tcPr>
            <w:tcW w:type="dxa" w:w="3120"/>
          </w:tcPr>
          <w:p>
            <w:r>
              <w:rPr>
                <w:sz w:val="18"/>
              </w:rPr>
              <w:t>2.2 Developed Design (50%)</w:t>
            </w:r>
          </w:p>
        </w:tc>
      </w:tr>
      <w:tr>
        <w:tc>
          <w:tcPr>
            <w:tcW w:type="dxa" w:w="3120"/>
          </w:tcPr>
          <w:p>
            <w:r>
              <w:rPr>
                <w:sz w:val="18"/>
              </w:rPr>
              <w:t>deliverable-c</w:t>
            </w:r>
          </w:p>
        </w:tc>
        <w:tc>
          <w:tcPr>
            <w:tcW w:type="dxa" w:w="3120"/>
          </w:tcPr>
          <w:p>
            <w:r>
              <w:rPr>
                <w:sz w:val="18"/>
              </w:rPr>
              <w:t>350</w:t>
            </w:r>
          </w:p>
        </w:tc>
        <w:tc>
          <w:tcPr>
            <w:tcW w:type="dxa" w:w="3120"/>
          </w:tcPr>
          <w:p>
            <w:r>
              <w:rPr>
                <w:sz w:val="18"/>
              </w:rPr>
              <w:t>2.3 Technical Design (100%)</w:t>
            </w:r>
          </w:p>
        </w:tc>
      </w:tr>
      <w:tr>
        <w:tc>
          <w:tcPr>
            <w:tcW w:type="dxa" w:w="3120"/>
          </w:tcPr>
          <w:p>
            <w:r>
              <w:rPr>
                <w:sz w:val="18"/>
              </w:rPr>
              <w:t>conformed-set</w:t>
            </w:r>
          </w:p>
        </w:tc>
        <w:tc>
          <w:tcPr>
            <w:tcW w:type="dxa" w:w="3120"/>
          </w:tcPr>
          <w:p>
            <w:r>
              <w:rPr>
                <w:sz w:val="18"/>
              </w:rPr>
              <w:t>350</w:t>
            </w:r>
          </w:p>
        </w:tc>
        <w:tc>
          <w:tcPr>
            <w:tcW w:type="dxa" w:w="3120"/>
          </w:tcPr>
          <w:p>
            <w:r>
              <w:rPr>
                <w:sz w:val="18"/>
              </w:rPr>
              <w:t>2.5 Conformed set</w:t>
            </w:r>
          </w:p>
        </w:tc>
      </w:tr>
      <w:tr>
        <w:tc>
          <w:tcPr>
            <w:tcW w:type="dxa" w:w="3120"/>
          </w:tcPr>
          <w:p>
            <w:r>
              <w:rPr>
                <w:sz w:val="18"/>
              </w:rPr>
              <w:t>construction</w:t>
            </w:r>
          </w:p>
        </w:tc>
        <w:tc>
          <w:tcPr>
            <w:tcW w:type="dxa" w:w="3120"/>
          </w:tcPr>
          <w:p>
            <w:r>
              <w:rPr>
                <w:sz w:val="18"/>
              </w:rPr>
              <w:t>400</w:t>
            </w:r>
          </w:p>
        </w:tc>
        <w:tc>
          <w:tcPr>
            <w:tcW w:type="dxa" w:w="3120"/>
          </w:tcPr>
          <w:p>
            <w:r>
              <w:rPr>
                <w:sz w:val="18"/>
              </w:rPr>
              <w:t>3.1 Construction  &lt;- new, inserted</w:t>
            </w:r>
          </w:p>
        </w:tc>
      </w:tr>
      <w:tr>
        <w:tc>
          <w:tcPr>
            <w:tcW w:type="dxa" w:w="3120"/>
          </w:tcPr>
          <w:p>
            <w:r>
              <w:rPr>
                <w:sz w:val="18"/>
              </w:rPr>
              <w:t>deliverable-d</w:t>
            </w:r>
          </w:p>
        </w:tc>
        <w:tc>
          <w:tcPr>
            <w:tcW w:type="dxa" w:w="3120"/>
          </w:tcPr>
          <w:p>
            <w:r>
              <w:rPr>
                <w:sz w:val="18"/>
              </w:rPr>
              <w:t>500</w:t>
            </w:r>
          </w:p>
        </w:tc>
        <w:tc>
          <w:tcPr>
            <w:tcW w:type="dxa" w:w="3120"/>
          </w:tcPr>
          <w:p>
            <w:r>
              <w:rPr>
                <w:sz w:val="18"/>
              </w:rPr>
              <w:t>3.3 Close-out  &lt;- moved up from 400</w:t>
            </w:r>
          </w:p>
        </w:tc>
      </w:tr>
    </w:tbl>
    <w:p/>
    <w:p>
      <w:r>
        <w:rPr>
          <w:b w:val="0"/>
          <w:i w:val="0"/>
        </w:rPr>
        <w:t>Two consequences for you. Deliverable D is now verified as-built at LOD 500, which means serial numbers and installation dates on serviceable plant - start collecting that at 3.1, not at M44. And Plumbing Fixtures now require a maintenance-type value at LOD 400, which they did not before; the construction-stage gate is the first live test of it.</w:t>
      </w:r>
    </w:p>
    <w:p>
      <w:r>
        <w:rPr>
          <w:b/>
          <w:i w:val="0"/>
        </w:rPr>
        <w:t>4. The workflow presets have changed.</w:t>
      </w:r>
    </w:p>
    <w:tbl>
      <w:tblPr>
        <w:tblW w:type="auto" w:w="0"/>
        <w:tblLook w:firstColumn="1" w:firstRow="1" w:lastColumn="0" w:lastRow="0" w:noHBand="0" w:noVBand="1" w:val="04A0"/>
      </w:tblPr>
      <w:tblGrid>
        <w:gridCol w:w="4680"/>
        <w:gridCol w:w="4680"/>
      </w:tblGrid>
      <w:tr>
        <w:tc>
          <w:tcPr>
            <w:tcW w:type="dxa" w:w="4680"/>
          </w:tcPr>
          <w:p>
            <w:r>
              <w:rPr>
                <w:b/>
                <w:sz w:val="18"/>
              </w:rPr>
              <w:t>Preset</w:t>
            </w:r>
          </w:p>
        </w:tc>
        <w:tc>
          <w:tcPr>
            <w:tcW w:type="dxa" w:w="4680"/>
          </w:tcPr>
          <w:p>
            <w:r>
              <w:rPr>
                <w:b/>
                <w:sz w:val="18"/>
              </w:rPr>
              <w:t>What it is for</w:t>
            </w:r>
          </w:p>
        </w:tc>
      </w:tr>
      <w:tr>
        <w:tc>
          <w:tcPr>
            <w:tcW w:type="dxa" w:w="4680"/>
          </w:tcPr>
          <w:p>
            <w:r>
              <w:rPr>
                <w:sz w:val="18"/>
              </w:rPr>
              <w:t>WORKFLOW_KUT_Mobilisation.json</w:t>
            </w:r>
          </w:p>
        </w:tc>
        <w:tc>
          <w:tcPr>
            <w:tcW w:type="dxa" w:w="4680"/>
          </w:tcPr>
          <w:p>
            <w:r>
              <w:rPr>
                <w:sz w:val="18"/>
              </w:rPr>
              <w:t>One-pass environment setup - run once at kick-off</w:t>
            </w:r>
          </w:p>
        </w:tc>
      </w:tr>
      <w:tr>
        <w:tc>
          <w:tcPr>
            <w:tcW w:type="dxa" w:w="4680"/>
          </w:tcPr>
          <w:p>
            <w:r>
              <w:rPr>
                <w:sz w:val="18"/>
              </w:rPr>
              <w:t>WORKFLOW_KUT_CoordinationCycle.json</w:t>
            </w:r>
          </w:p>
        </w:tc>
        <w:tc>
          <w:tcPr>
            <w:tcW w:type="dxa" w:w="4680"/>
          </w:tcPr>
          <w:p>
            <w:r>
              <w:rPr>
                <w:sz w:val="18"/>
              </w:rPr>
              <w:t>The fortnightly federate - clash - BCF - health cycle</w:t>
            </w:r>
          </w:p>
        </w:tc>
      </w:tr>
      <w:tr>
        <w:tc>
          <w:tcPr>
            <w:tcW w:type="dxa" w:w="4680"/>
          </w:tcPr>
          <w:p>
            <w:r>
              <w:rPr>
                <w:sz w:val="18"/>
              </w:rPr>
              <w:t>WORKFLOW_KUT_GateAudit.json</w:t>
            </w:r>
          </w:p>
        </w:tc>
        <w:tc>
          <w:tcPr>
            <w:tcW w:type="dxa" w:w="4680"/>
          </w:tcPr>
          <w:p>
            <w:r>
              <w:rPr>
                <w:sz w:val="18"/>
              </w:rPr>
              <w:t>READ-ONLY pre-gate check - tells you what the gate would say, changes nothing</w:t>
            </w:r>
          </w:p>
        </w:tc>
      </w:tr>
      <w:tr>
        <w:tc>
          <w:tcPr>
            <w:tcW w:type="dxa" w:w="4680"/>
          </w:tcPr>
          <w:p>
            <w:r>
              <w:rPr>
                <w:sz w:val="18"/>
              </w:rPr>
              <w:t>WORKFLOW_KUT_DeliverableA / B / C.json</w:t>
            </w:r>
          </w:p>
        </w:tc>
        <w:tc>
          <w:tcPr>
            <w:tcW w:type="dxa" w:w="4680"/>
          </w:tcPr>
          <w:p>
            <w:r>
              <w:rPr>
                <w:sz w:val="18"/>
              </w:rPr>
              <w:t>Run the actual gate and write its artefacts</w:t>
            </w:r>
          </w:p>
        </w:tc>
      </w:tr>
      <w:tr>
        <w:tc>
          <w:tcPr>
            <w:tcW w:type="dxa" w:w="4680"/>
          </w:tcPr>
          <w:p>
            <w:r>
              <w:rPr>
                <w:sz w:val="18"/>
              </w:rPr>
              <w:t>WORKFLOW_KUT_DeliverableD.json</w:t>
            </w:r>
          </w:p>
        </w:tc>
        <w:tc>
          <w:tcPr>
            <w:tcW w:type="dxa" w:w="4680"/>
          </w:tcPr>
          <w:p>
            <w:r>
              <w:rPr>
                <w:sz w:val="18"/>
              </w:rPr>
              <w:t>Record-model close-out verification</w:t>
            </w:r>
          </w:p>
        </w:tc>
      </w:tr>
      <w:tr>
        <w:tc>
          <w:tcPr>
            <w:tcW w:type="dxa" w:w="4680"/>
          </w:tcPr>
          <w:p>
            <w:r>
              <w:rPr>
                <w:sz w:val="18"/>
              </w:rPr>
              <w:t>WORKFLOW_KUT_MonthlyReport.json</w:t>
            </w:r>
          </w:p>
        </w:tc>
        <w:tc>
          <w:tcPr>
            <w:tcW w:type="dxa" w:w="4680"/>
          </w:tcPr>
          <w:p>
            <w:r>
              <w:rPr>
                <w:sz w:val="18"/>
              </w:rPr>
              <w:t>The monthly KPI chain</w:t>
            </w:r>
          </w:p>
        </w:tc>
      </w:tr>
      <w:tr>
        <w:tc>
          <w:tcPr>
            <w:tcW w:type="dxa" w:w="4680"/>
          </w:tcPr>
          <w:p>
            <w:r>
              <w:rPr>
                <w:sz w:val="18"/>
              </w:rPr>
              <w:t>WORKFLOW_KUT_FFESync.json</w:t>
            </w:r>
          </w:p>
        </w:tc>
        <w:tc>
          <w:tcPr>
            <w:tcW w:type="dxa" w:w="4680"/>
          </w:tcPr>
          <w:p>
            <w:r>
              <w:rPr>
                <w:sz w:val="18"/>
              </w:rPr>
              <w:t>Fohlio export - import - currency audit</w:t>
            </w:r>
          </w:p>
        </w:tc>
      </w:tr>
    </w:tbl>
    <w:p/>
    <w:p>
      <w:r>
        <w:rPr>
          <w:b w:val="0"/>
          <w:i w:val="0"/>
        </w:rPr>
        <w:t>The old WORKFLOW_GateAudit.json was deleted: it contained two commands that write to the model, which is wrong for a pre-gate check. KUT Gate Audit is read-only by construction - every step in it is declared ReadOnly and CI proves it. You can run it on a live model at any time without consequence. That is the one to reach for when someone asks "would we pass today?"</w:t>
      </w:r>
    </w:p>
    <w:p>
      <w:r>
        <w:rPr>
          <w:b/>
          <w:i w:val="0"/>
        </w:rPr>
        <w:t xml:space="preserve">5. Originator codes — resolved: three characters, from the register.</w:t>
      </w:r>
    </w:p>
    <w:p>
      <w:r>
        <w:rPr>
          <w:b w:val="0"/>
          <w:i w:val="0"/>
        </w:rPr>
        <w:t xml:space="preserve">Originator codes are exactly three characters, allocated by the originator register that the Lead Appointed Party issues. The Information Manager operates under Symbion, so the expected code is SMB — confirm it when the register is issued. Do not widen the rule: a register of three-character firm codes needs no change. The four-character PLNS used in earlier drafts is withdrawn and fails the check; any container numbered with it is renamed before issue (KUT_NAMING_MIGRATION_MAP.md). Number nothing until the register is issued — renumbering after Deliverable A is expensive and visible to the client.</w:t>
      </w:r>
    </w:p>
    <w:p>
      <w:r>
        <w:br w:type="page"/>
      </w:r>
    </w:p>
    <w:p>
      <w:pPr>
        <w:pStyle w:val="Heading2"/>
      </w:pPr>
      <w:r>
        <w:t>PART J - Mobilisation, week by week</w:t>
      </w:r>
    </w:p>
    <w:p>
      <w:r>
        <w:rPr>
          <w:b w:val="0"/>
          <w:i/>
        </w:rPr>
        <w:t>Mobilisation starts Monday 25 August 2026. The order matters: each block depends on the one before it, and the two decisions in Week 1 gate everything downstream.</w:t>
      </w:r>
    </w:p>
    <w:p>
      <w:r>
        <w:rPr>
          <w:b/>
          <w:i w:val="0"/>
        </w:rPr>
        <w:t>Week 1 (w/c Mon 25 Aug) - decisions and foundations</w:t>
      </w:r>
    </w:p>
    <w:tbl>
      <w:tblPr>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What you do</w:t>
            </w:r>
          </w:p>
        </w:tc>
        <w:tc>
          <w:tcPr>
            <w:tcW w:type="dxa" w:w="3120"/>
          </w:tcPr>
          <w:p>
            <w:r>
              <w:rPr>
                <w:b/>
                <w:sz w:val="18"/>
              </w:rPr>
              <w:t>Output</w:t>
            </w:r>
          </w:p>
        </w:tc>
      </w:tr>
      <w:tr>
        <w:tc>
          <w:tcPr>
            <w:tcW w:type="dxa" w:w="3120"/>
          </w:tcPr>
          <w:p>
            <w:r>
              <w:rPr>
                <w:sz w:val="18"/>
              </w:rPr>
              <w:t>Mon</w:t>
            </w:r>
          </w:p>
        </w:tc>
        <w:tc>
          <w:tcPr>
            <w:tcW w:type="dxa" w:w="3120"/>
          </w:tcPr>
          <w:p>
            <w:r>
              <w:rPr>
                <w:sz w:val="18"/>
              </w:rPr>
              <w:t>Confirm CDE provisioning and permissions. Request the Owner's BIM standards and their originator-code register in writing. Send the TIDP request to every consultant, return date Friday of week 2.</w:t>
            </w:r>
          </w:p>
        </w:tc>
        <w:tc>
          <w:tcPr>
            <w:tcW w:type="dxa" w:w="3120"/>
          </w:tcPr>
          <w:p>
            <w:r>
              <w:rPr>
                <w:sz w:val="18"/>
              </w:rPr>
              <w:t>CDE live; two written requests out</w:t>
            </w:r>
          </w:p>
        </w:tc>
      </w:tr>
      <w:tr>
        <w:tc>
          <w:tcPr>
            <w:tcW w:type="dxa" w:w="3120"/>
          </w:tcPr>
          <w:p>
            <w:r>
              <w:rPr>
                <w:sz w:val="18"/>
              </w:rPr>
              <w:t>Tue</w:t>
            </w:r>
          </w:p>
        </w:tc>
        <w:tc>
          <w:tcPr>
            <w:tcW w:type="dxa" w:w="3120"/>
          </w:tcPr>
          <w:p>
            <w:r>
              <w:rPr>
                <w:sz w:val="18"/>
              </w:rPr>
              <w:t xml:space="preserve">Settle the two blocking decisions: the originator register (Part I item 5) and the volume/workset convention - per-volume worksets, or one model per volume. Write both into the BEP draft.</w:t>
            </w:r>
          </w:p>
        </w:tc>
        <w:tc>
          <w:tcPr>
            <w:tcW w:type="dxa" w:w="3120"/>
          </w:tcPr>
          <w:p>
            <w:r>
              <w:rPr>
                <w:sz w:val="18"/>
              </w:rPr>
              <w:t>Decisions recorded</w:t>
            </w:r>
          </w:p>
        </w:tc>
      </w:tr>
      <w:tr>
        <w:tc>
          <w:tcPr>
            <w:tcW w:type="dxa" w:w="3120"/>
          </w:tcPr>
          <w:p>
            <w:r>
              <w:rPr>
                <w:sz w:val="18"/>
              </w:rPr>
              <w:t>Wed</w:t>
            </w:r>
          </w:p>
        </w:tc>
        <w:tc>
          <w:tcPr>
            <w:tcW w:type="dxa" w:w="3120"/>
          </w:tcPr>
          <w:p>
            <w:r>
              <w:rPr>
                <w:sz w:val="18"/>
              </w:rPr>
              <w:t>Stand up the Revit project: Project Setup Wizard. Fix and lock the shared coordinate system, true north, levels, grids, worksets, phases. This is the one thing that can never be changed later - get it right and get it witnessed.</w:t>
            </w:r>
          </w:p>
        </w:tc>
        <w:tc>
          <w:tcPr>
            <w:tcW w:type="dxa" w:w="3120"/>
          </w:tcPr>
          <w:p>
            <w:r>
              <w:rPr>
                <w:sz w:val="18"/>
              </w:rPr>
              <w:t>Project template v0.1</w:t>
            </w:r>
          </w:p>
        </w:tc>
      </w:tr>
      <w:tr>
        <w:tc>
          <w:tcPr>
            <w:tcW w:type="dxa" w:w="3120"/>
          </w:tcPr>
          <w:p>
            <w:r>
              <w:rPr>
                <w:sz w:val="18"/>
              </w:rPr>
              <w:t>Thu</w:t>
            </w:r>
          </w:p>
        </w:tc>
        <w:tc>
          <w:tcPr>
            <w:tcW w:type="dxa" w:w="3120"/>
          </w:tcPr>
          <w:p>
            <w:r>
              <w:rPr>
                <w:sz w:val="18"/>
              </w:rPr>
              <w:t>Bind the data schema: Params, then Load Params, two passes. Verify the eight tag parameters and the KUT parameters bind. Expect roughly 3,018 bound and 374 skipped on a clean project - the 374 is correct, not a fault.</w:t>
            </w:r>
          </w:p>
        </w:tc>
        <w:tc>
          <w:tcPr>
            <w:tcW w:type="dxa" w:w="3120"/>
          </w:tcPr>
          <w:p>
            <w:r>
              <w:rPr>
                <w:sz w:val="18"/>
              </w:rPr>
              <w:t>Schema bound</w:t>
            </w:r>
          </w:p>
        </w:tc>
      </w:tr>
      <w:tr>
        <w:tc>
          <w:tcPr>
            <w:tcW w:type="dxa" w:w="3120"/>
          </w:tcPr>
          <w:p>
            <w:r>
              <w:rPr>
                <w:sz w:val="18"/>
              </w:rPr>
              <w:t>Fri</w:t>
            </w:r>
          </w:p>
        </w:tc>
        <w:tc>
          <w:tcPr>
            <w:tcW w:type="dxa" w:w="3120"/>
          </w:tcPr>
          <w:p>
            <w:r>
              <w:rPr>
                <w:sz w:val="18"/>
              </w:rPr>
              <w:t>Drop the _BIM_COORD overlay into the project folder - the whole folder, all seven files, not a subset. Run Scheme Inspect and confirm the KUT scheme reads enabled and valid.</w:t>
            </w:r>
          </w:p>
        </w:tc>
        <w:tc>
          <w:tcPr>
            <w:tcW w:type="dxa" w:w="3120"/>
          </w:tcPr>
          <w:p>
            <w:r>
              <w:rPr>
                <w:sz w:val="18"/>
              </w:rPr>
              <w:t>Standards live</w:t>
            </w:r>
          </w:p>
        </w:tc>
      </w:tr>
    </w:tbl>
    <w:p/>
    <w:p>
      <w:r>
        <w:rPr>
          <w:b/>
          <w:i w:val="0"/>
        </w:rPr>
        <w:t>Week 2 (w/c Mon 1 Sep) - the team's kit</w:t>
      </w:r>
    </w:p>
    <w:tbl>
      <w:tblPr>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What you do</w:t>
            </w:r>
          </w:p>
        </w:tc>
        <w:tc>
          <w:tcPr>
            <w:tcW w:type="dxa" w:w="3120"/>
          </w:tcPr>
          <w:p>
            <w:r>
              <w:rPr>
                <w:b/>
                <w:sz w:val="18"/>
              </w:rPr>
              <w:t>Output</w:t>
            </w:r>
          </w:p>
        </w:tc>
      </w:tr>
      <w:tr>
        <w:tc>
          <w:tcPr>
            <w:tcW w:type="dxa" w:w="3120"/>
          </w:tcPr>
          <w:p>
            <w:r>
              <w:rPr>
                <w:sz w:val="18"/>
              </w:rPr>
              <w:t>Mon</w:t>
            </w:r>
          </w:p>
        </w:tc>
        <w:tc>
          <w:tcPr>
            <w:tcW w:type="dxa" w:w="3120"/>
          </w:tcPr>
          <w:p>
            <w:r>
              <w:rPr>
                <w:sz w:val="18"/>
              </w:rPr>
              <w:t>Tag families: Create Tag Fams, then Cfg Labels, then Audit. Prove one tag family end to end in Revit before generating the rest.</w:t>
            </w:r>
          </w:p>
        </w:tc>
        <w:tc>
          <w:tcPr>
            <w:tcW w:type="dxa" w:w="3120"/>
          </w:tcPr>
          <w:p>
            <w:r>
              <w:rPr>
                <w:sz w:val="18"/>
              </w:rPr>
              <w:t>Tag families</w:t>
            </w:r>
          </w:p>
        </w:tc>
      </w:tr>
      <w:tr>
        <w:tc>
          <w:tcPr>
            <w:tcW w:type="dxa" w:w="3120"/>
          </w:tcPr>
          <w:p>
            <w:r>
              <w:rPr>
                <w:sz w:val="18"/>
              </w:rPr>
              <w:t>Tue</w:t>
            </w:r>
          </w:p>
        </w:tc>
        <w:tc>
          <w:tcPr>
            <w:tcW w:type="dxa" w:w="3120"/>
          </w:tcPr>
          <w:p>
            <w:r>
              <w:rPr>
                <w:sz w:val="18"/>
              </w:rPr>
              <w:t>Content: Inject Params across the family library; Conformance on anything from outside. Build Seeds on a scratch project if you need seed content.</w:t>
            </w:r>
          </w:p>
        </w:tc>
        <w:tc>
          <w:tcPr>
            <w:tcW w:type="dxa" w:w="3120"/>
          </w:tcPr>
          <w:p>
            <w:r>
              <w:rPr>
                <w:sz w:val="18"/>
              </w:rPr>
              <w:t>Family library</w:t>
            </w:r>
          </w:p>
        </w:tc>
      </w:tr>
      <w:tr>
        <w:tc>
          <w:tcPr>
            <w:tcW w:type="dxa" w:w="3120"/>
          </w:tcPr>
          <w:p>
            <w:r>
              <w:rPr>
                <w:sz w:val="18"/>
              </w:rPr>
              <w:t>Wed</w:t>
            </w:r>
          </w:p>
        </w:tc>
        <w:tc>
          <w:tcPr>
            <w:tcW w:type="dxa" w:w="3120"/>
          </w:tcPr>
          <w:p>
            <w:r>
              <w:rPr>
                <w:sz w:val="18"/>
              </w:rPr>
              <w:t>Title blocks: DOCS - TITLE BLOCK - Build All. Check the parameter-bound cells fill themselves from Project Information rather than being typed.</w:t>
            </w:r>
          </w:p>
        </w:tc>
        <w:tc>
          <w:tcPr>
            <w:tcW w:type="dxa" w:w="3120"/>
          </w:tcPr>
          <w:p>
            <w:r>
              <w:rPr>
                <w:sz w:val="18"/>
              </w:rPr>
              <w:t>A1 / A3 title blocks</w:t>
            </w:r>
          </w:p>
        </w:tc>
      </w:tr>
      <w:tr>
        <w:tc>
          <w:tcPr>
            <w:tcW w:type="dxa" w:w="3120"/>
          </w:tcPr>
          <w:p>
            <w:r>
              <w:rPr>
                <w:sz w:val="18"/>
              </w:rPr>
              <w:t>Thu</w:t>
            </w:r>
          </w:p>
        </w:tc>
        <w:tc>
          <w:tcPr>
            <w:tcW w:type="dxa" w:w="3120"/>
          </w:tcPr>
          <w:p>
            <w:r>
              <w:rPr>
                <w:sz w:val="18"/>
              </w:rPr>
              <w:t>Sheets and schedules: Drawing Types, and Batch MEP for the schedule set.</w:t>
            </w:r>
          </w:p>
        </w:tc>
        <w:tc>
          <w:tcPr>
            <w:tcW w:type="dxa" w:w="3120"/>
          </w:tcPr>
          <w:p>
            <w:r>
              <w:rPr>
                <w:sz w:val="18"/>
              </w:rPr>
              <w:t>Production standards</w:t>
            </w:r>
          </w:p>
        </w:tc>
      </w:tr>
      <w:tr>
        <w:tc>
          <w:tcPr>
            <w:tcW w:type="dxa" w:w="3120"/>
          </w:tcPr>
          <w:p>
            <w:r>
              <w:rPr>
                <w:sz w:val="18"/>
              </w:rPr>
              <w:t>Fri</w:t>
            </w:r>
          </w:p>
        </w:tc>
        <w:tc>
          <w:tcPr>
            <w:tcW w:type="dxa" w:w="3120"/>
          </w:tcPr>
          <w:p>
            <w:r>
              <w:rPr>
                <w:sz w:val="18"/>
              </w:rPr>
              <w:t>TIDPs due back. Aggregate into the MIDP baseline. Chase anyone who has not returned one - today, not next week.</w:t>
            </w:r>
          </w:p>
        </w:tc>
        <w:tc>
          <w:tcPr>
            <w:tcW w:type="dxa" w:w="3120"/>
          </w:tcPr>
          <w:p>
            <w:r>
              <w:rPr>
                <w:sz w:val="18"/>
              </w:rPr>
              <w:t>MIDP baseline</w:t>
            </w:r>
          </w:p>
        </w:tc>
      </w:tr>
    </w:tbl>
    <w:p/>
    <w:p>
      <w:r>
        <w:rPr>
          <w:b/>
          <w:i w:val="0"/>
        </w:rPr>
        <w:t>Week 3 (w/c Mon 8 Sep) - prove it, then hand it over</w:t>
      </w:r>
    </w:p>
    <w:tbl>
      <w:tblPr>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What you do</w:t>
            </w:r>
          </w:p>
        </w:tc>
        <w:tc>
          <w:tcPr>
            <w:tcW w:type="dxa" w:w="3120"/>
          </w:tcPr>
          <w:p>
            <w:r>
              <w:rPr>
                <w:b/>
                <w:sz w:val="18"/>
              </w:rPr>
              <w:t>Output</w:t>
            </w:r>
          </w:p>
        </w:tc>
      </w:tr>
      <w:tr>
        <w:tc>
          <w:tcPr>
            <w:tcW w:type="dxa" w:w="3120"/>
          </w:tcPr>
          <w:p>
            <w:r>
              <w:rPr>
                <w:sz w:val="18"/>
              </w:rPr>
              <w:t>Mon-Tue</w:t>
            </w:r>
          </w:p>
        </w:tc>
        <w:tc>
          <w:tcPr>
            <w:tcW w:type="dxa" w:w="3120"/>
          </w:tcPr>
          <w:p>
            <w:r>
              <w:rPr>
                <w:sz w:val="18"/>
              </w:rPr>
              <w:t>Build a test model from the issued template. Place one element of each major category, tag it, name a sheet, produce a drawing, run the gate audit. Everything the team will do, you do first.</w:t>
            </w:r>
          </w:p>
        </w:tc>
        <w:tc>
          <w:tcPr>
            <w:tcW w:type="dxa" w:w="3120"/>
          </w:tcPr>
          <w:p>
            <w:r>
              <w:rPr>
                <w:sz w:val="18"/>
              </w:rPr>
              <w:t>Proven kit</w:t>
            </w:r>
          </w:p>
        </w:tc>
      </w:tr>
      <w:tr>
        <w:tc>
          <w:tcPr>
            <w:tcW w:type="dxa" w:w="3120"/>
          </w:tcPr>
          <w:p>
            <w:r>
              <w:rPr>
                <w:sz w:val="18"/>
              </w:rPr>
              <w:t>Wed</w:t>
            </w:r>
          </w:p>
        </w:tc>
        <w:tc>
          <w:tcPr>
            <w:tcW w:type="dxa" w:w="3120"/>
          </w:tcPr>
          <w:p>
            <w:r>
              <w:rPr>
                <w:sz w:val="18"/>
              </w:rPr>
              <w:t>Fix whatever the test found. Re-run. Never issue a kit you have not driven yourself.</w:t>
            </w:r>
          </w:p>
        </w:tc>
        <w:tc>
          <w:tcPr>
            <w:tcW w:type="dxa" w:w="3120"/>
          </w:tcPr>
          <w:p>
            <w:r>
              <w:rPr>
                <w:sz w:val="18"/>
              </w:rPr>
              <w:t>Kit v1.0</w:t>
            </w:r>
          </w:p>
        </w:tc>
      </w:tr>
      <w:tr>
        <w:tc>
          <w:tcPr>
            <w:tcW w:type="dxa" w:w="3120"/>
          </w:tcPr>
          <w:p>
            <w:r>
              <w:rPr>
                <w:sz w:val="18"/>
              </w:rPr>
              <w:t>Thu</w:t>
            </w:r>
          </w:p>
        </w:tc>
        <w:tc>
          <w:tcPr>
            <w:tcW w:type="dxa" w:w="3120"/>
          </w:tcPr>
          <w:p>
            <w:r>
              <w:rPr>
                <w:sz w:val="18"/>
              </w:rPr>
              <w:t>Issue the kit through the CDE: template, family library, title blocks, the team playbook, the BEP and the MIDP.</w:t>
            </w:r>
          </w:p>
        </w:tc>
        <w:tc>
          <w:tcPr>
            <w:tcW w:type="dxa" w:w="3120"/>
          </w:tcPr>
          <w:p>
            <w:r>
              <w:rPr>
                <w:sz w:val="18"/>
              </w:rPr>
              <w:t>Kit issued</w:t>
            </w:r>
          </w:p>
        </w:tc>
      </w:tr>
      <w:tr>
        <w:tc>
          <w:tcPr>
            <w:tcW w:type="dxa" w:w="3120"/>
          </w:tcPr>
          <w:p>
            <w:r>
              <w:rPr>
                <w:sz w:val="18"/>
              </w:rPr>
              <w:t>Fri</w:t>
            </w:r>
          </w:p>
        </w:tc>
        <w:tc>
          <w:tcPr>
            <w:tcW w:type="dxa" w:w="3120"/>
          </w:tcPr>
          <w:p>
            <w:r>
              <w:rPr>
                <w:sz w:val="18"/>
              </w:rPr>
              <w:t>Half-day kickoff (agenda in the team playbook, appendix A3). Then discipline one-to-ones - lead each with what you will automate for them, not with what you require from them.</w:t>
            </w:r>
          </w:p>
        </w:tc>
        <w:tc>
          <w:tcPr>
            <w:tcW w:type="dxa" w:w="3120"/>
          </w:tcPr>
          <w:p>
            <w:r>
              <w:rPr>
                <w:sz w:val="18"/>
              </w:rPr>
              <w:t>Team trained</w:t>
            </w:r>
          </w:p>
        </w:tc>
      </w:tr>
    </w:tbl>
    <w:p/>
    <w:p>
      <w:r>
        <w:rPr>
          <w:b/>
          <w:i w:val="0"/>
        </w:rPr>
        <w:t>Week 4 (w/c Mon 15 Sep) - first cycle</w:t>
      </w:r>
    </w:p>
    <w:p>
      <w:pPr>
        <w:ind w:left="360"/>
      </w:pPr>
      <w:r>
        <w:t>•  Every discipline produces a test model from the template and shares it once. This is the Stage 0 exit gate: a discipline that has not done it does not start Deliverable A.</w:t>
      </w:r>
    </w:p>
    <w:p>
      <w:pPr>
        <w:ind w:left="360"/>
      </w:pPr>
      <w:r>
        <w:t>•  Run the first federation and the first clash on whatever is there, however thin. The point is to prove the pipe works, not to find clashes.</w:t>
      </w:r>
    </w:p>
    <w:p>
      <w:pPr>
        <w:ind w:left="360"/>
      </w:pPr>
      <w:r>
        <w:t>•  Run KUT Gate Audit read-only and keep the output. It is your baseline; every later report is read against it.</w:t>
      </w:r>
    </w:p>
    <w:p>
      <w:pPr>
        <w:ind w:left="360"/>
      </w:pPr>
      <w:r>
        <w:t>•  Issue the first monthly report even if it is mostly zeros. Establishing the rhythm in month one is worth more than the content of the first one.</w:t>
      </w:r>
    </w:p>
    <w:p>
      <w:r>
        <w:br w:type="page"/>
      </w:r>
    </w:p>
    <w:p>
      <w:pPr>
        <w:pStyle w:val="Heading2"/>
      </w:pPr>
      <w:r>
        <w:t>PART K - My operating calendar</w:t>
      </w:r>
    </w:p>
    <w:p>
      <w:r>
        <w:rPr>
          <w:b w:val="0"/>
          <w:i/>
        </w:rPr>
        <w:t>What I actually do, and when. Times are indicative; the sequence is not.</w:t>
      </w:r>
    </w:p>
    <w:p>
      <w:r>
        <w:rPr>
          <w:b/>
          <w:i w:val="0"/>
        </w:rPr>
        <w:t>Every fortnight - the coordination cycle (Wednesday)</w:t>
      </w:r>
    </w:p>
    <w:tbl>
      <w:tblPr>
        <w:tblW w:type="auto" w:w="0"/>
        <w:tblLook w:firstColumn="1" w:firstRow="1" w:lastColumn="0" w:lastRow="0" w:noHBand="0" w:noVBand="1" w:val="04A0"/>
      </w:tblPr>
      <w:tblGrid>
        <w:gridCol w:w="3120"/>
        <w:gridCol w:w="3120"/>
        <w:gridCol w:w="3120"/>
      </w:tblGrid>
      <w:tr>
        <w:tc>
          <w:tcPr>
            <w:tcW w:type="dxa" w:w="3120"/>
          </w:tcPr>
          <w:p>
            <w:r>
              <w:rPr>
                <w:b/>
                <w:sz w:val="18"/>
              </w:rPr>
              <w:t>Time</w:t>
            </w:r>
          </w:p>
        </w:tc>
        <w:tc>
          <w:tcPr>
            <w:tcW w:type="dxa" w:w="3120"/>
          </w:tcPr>
          <w:p>
            <w:r>
              <w:rPr>
                <w:b/>
                <w:sz w:val="18"/>
              </w:rPr>
              <w:t>Action</w:t>
            </w:r>
          </w:p>
        </w:tc>
        <w:tc>
          <w:tcPr>
            <w:tcW w:type="dxa" w:w="3120"/>
          </w:tcPr>
          <w:p>
            <w:r>
              <w:rPr>
                <w:b/>
                <w:sz w:val="18"/>
              </w:rPr>
              <w:t>Where</w:t>
            </w:r>
          </w:p>
        </w:tc>
      </w:tr>
      <w:tr>
        <w:tc>
          <w:tcPr>
            <w:tcW w:type="dxa" w:w="3120"/>
          </w:tcPr>
          <w:p>
            <w:r>
              <w:rPr>
                <w:sz w:val="18"/>
              </w:rPr>
              <w:t>12:00</w:t>
            </w:r>
          </w:p>
        </w:tc>
        <w:tc>
          <w:tcPr>
            <w:tcW w:type="dxa" w:w="3120"/>
          </w:tcPr>
          <w:p>
            <w:r>
              <w:rPr>
                <w:sz w:val="18"/>
              </w:rPr>
              <w:t>Shares close. Anything not in Shared by noon is not in this cycle. Hold that line from cycle one.</w:t>
            </w:r>
          </w:p>
        </w:tc>
        <w:tc>
          <w:tcPr>
            <w:tcW w:type="dxa" w:w="3120"/>
          </w:tcPr>
          <w:p>
            <w:r>
              <w:rPr>
                <w:sz w:val="18"/>
              </w:rPr>
              <w:t>CDE</w:t>
            </w:r>
          </w:p>
        </w:tc>
      </w:tr>
      <w:tr>
        <w:tc>
          <w:tcPr>
            <w:tcW w:type="dxa" w:w="3120"/>
          </w:tcPr>
          <w:p>
            <w:r>
              <w:rPr>
                <w:sz w:val="18"/>
              </w:rPr>
              <w:t>12:15</w:t>
            </w:r>
          </w:p>
        </w:tc>
        <w:tc>
          <w:tcPr>
            <w:tcW w:type="dxa" w:w="3120"/>
          </w:tcPr>
          <w:p>
            <w:r>
              <w:rPr>
                <w:sz w:val="18"/>
              </w:rPr>
              <w:t>Download and federate. Check every model opens and sits on shared coordinates.</w:t>
            </w:r>
          </w:p>
        </w:tc>
        <w:tc>
          <w:tcPr>
            <w:tcW w:type="dxa" w:w="3120"/>
          </w:tcPr>
          <w:p>
            <w:r>
              <w:rPr>
                <w:sz w:val="18"/>
              </w:rPr>
              <w:t>Revit / Navisworks</w:t>
            </w:r>
          </w:p>
        </w:tc>
      </w:tr>
      <w:tr>
        <w:tc>
          <w:tcPr>
            <w:tcW w:type="dxa" w:w="3120"/>
          </w:tcPr>
          <w:p>
            <w:r>
              <w:rPr>
                <w:sz w:val="18"/>
              </w:rPr>
              <w:t>12:45</w:t>
            </w:r>
          </w:p>
        </w:tc>
        <w:tc>
          <w:tcPr>
            <w:tcW w:type="dxa" w:w="3120"/>
          </w:tcPr>
          <w:p>
            <w:r>
              <w:rPr>
                <w:sz w:val="18"/>
              </w:rPr>
              <w:t>Run the KUT Coordination Cycle preset. It chains re-tag stale, validate tags, ACC pull, clash run, BCF export, publish, model health and completeness.</w:t>
            </w:r>
          </w:p>
        </w:tc>
        <w:tc>
          <w:tcPr>
            <w:tcW w:type="dxa" w:w="3120"/>
          </w:tcPr>
          <w:p>
            <w:r>
              <w:rPr>
                <w:sz w:val="18"/>
              </w:rPr>
              <w:t>Workflows - Run preset</w:t>
            </w:r>
          </w:p>
        </w:tc>
      </w:tr>
      <w:tr>
        <w:tc>
          <w:tcPr>
            <w:tcW w:type="dxa" w:w="3120"/>
          </w:tcPr>
          <w:p>
            <w:r>
              <w:rPr>
                <w:sz w:val="18"/>
              </w:rPr>
              <w:t>14:00</w:t>
            </w:r>
          </w:p>
        </w:tc>
        <w:tc>
          <w:tcPr>
            <w:tcW w:type="dxa" w:w="3120"/>
          </w:tcPr>
          <w:p>
            <w:r>
              <w:rPr>
                <w:sz w:val="18"/>
              </w:rPr>
              <w:t>Group the clashes into real problems - one issue per problem. This is the half hour that decides whether the meeting is useful. Never issue raw intersection counts.</w:t>
            </w:r>
          </w:p>
        </w:tc>
        <w:tc>
          <w:tcPr>
            <w:tcW w:type="dxa" w:w="3120"/>
          </w:tcPr>
          <w:p>
            <w:r>
              <w:rPr>
                <w:sz w:val="18"/>
              </w:rPr>
              <w:t>Clash / ACC Issues</w:t>
            </w:r>
          </w:p>
        </w:tc>
      </w:tr>
      <w:tr>
        <w:tc>
          <w:tcPr>
            <w:tcW w:type="dxa" w:w="3120"/>
          </w:tcPr>
          <w:p>
            <w:r>
              <w:rPr>
                <w:sz w:val="18"/>
              </w:rPr>
              <w:t>15:30</w:t>
            </w:r>
          </w:p>
        </w:tc>
        <w:tc>
          <w:tcPr>
            <w:tcW w:type="dxa" w:w="3120"/>
          </w:tcPr>
          <w:p>
            <w:r>
              <w:rPr>
                <w:sz w:val="18"/>
              </w:rPr>
              <w:t>Prioritise P1-P4; assign an owner and a date to every issue.</w:t>
            </w:r>
          </w:p>
        </w:tc>
        <w:tc>
          <w:tcPr>
            <w:tcW w:type="dxa" w:w="3120"/>
          </w:tcPr>
          <w:p>
            <w:r>
              <w:rPr>
                <w:sz w:val="18"/>
              </w:rPr>
              <w:t>ACC Issues</w:t>
            </w:r>
          </w:p>
        </w:tc>
      </w:tr>
      <w:tr>
        <w:tc>
          <w:tcPr>
            <w:tcW w:type="dxa" w:w="3120"/>
          </w:tcPr>
          <w:p>
            <w:r>
              <w:rPr>
                <w:sz w:val="18"/>
              </w:rPr>
              <w:t>17:00</w:t>
            </w:r>
          </w:p>
        </w:tc>
        <w:tc>
          <w:tcPr>
            <w:tcW w:type="dxa" w:w="3120"/>
          </w:tcPr>
          <w:p>
            <w:r>
              <w:rPr>
                <w:sz w:val="18"/>
              </w:rPr>
              <w:t>Issue the report - 48 hours before the meeting, so people read it.</w:t>
            </w:r>
          </w:p>
        </w:tc>
        <w:tc>
          <w:tcPr>
            <w:tcW w:type="dxa" w:w="3120"/>
          </w:tcPr>
          <w:p>
            <w:r>
              <w:rPr>
                <w:sz w:val="18"/>
              </w:rPr>
              <w:t>CDE</w:t>
            </w:r>
          </w:p>
        </w:tc>
      </w:tr>
    </w:tbl>
    <w:p/>
    <w:p>
      <w:r>
        <w:rPr>
          <w:b/>
          <w:i w:val="0"/>
        </w:rPr>
        <w:t>Every month</w:t>
      </w:r>
    </w:p>
    <w:p>
      <w:pPr>
        <w:ind w:left="360"/>
      </w:pPr>
      <w:r>
        <w:t>•  Run the KUT Monthly Report preset: model health, completeness, per-discipline compliance, sheet compliance, register, trend, KPI dashboard.</w:t>
      </w:r>
    </w:p>
    <w:p>
      <w:pPr>
        <w:ind w:left="360"/>
      </w:pPr>
      <w:r>
        <w:t>•  Read the FF&amp;E currency line before you send it. A rising stale count is the earliest warning that the Interior Designer and the model have drifted apart.</w:t>
      </w:r>
    </w:p>
    <w:p>
      <w:pPr>
        <w:ind w:left="360"/>
      </w:pPr>
      <w:r>
        <w:t>•  Reissue the MIDP with actual dates and RAG. A slipped date is agreed and re-baselined, never quietly moved.</w:t>
      </w:r>
    </w:p>
    <w:p>
      <w:pPr>
        <w:ind w:left="360"/>
      </w:pPr>
      <w:r>
        <w:t>•  Send the report with a two-paragraph covering note: what moved, what is at risk. Nobody reads a dashboard without a sentence telling them what it means.</w:t>
      </w:r>
    </w:p>
    <w:p>
      <w:r>
        <w:rPr>
          <w:b/>
          <w:i w:val="0"/>
        </w:rPr>
        <w:t>Continuously</w:t>
      </w:r>
    </w:p>
    <w:p>
      <w:pPr>
        <w:ind w:left="360"/>
      </w:pPr>
      <w:r>
        <w:t>•  Watch for renamed rooms - they silently break the Fohlio match, which is keyed on Room Number.</w:t>
      </w:r>
    </w:p>
    <w:p>
      <w:pPr>
        <w:ind w:left="360"/>
      </w:pPr>
      <w:r>
        <w:t>•  Watch for anyone sharing at S1 what is really S0. Correct it the first time, publicly and kindly. The second time is a pattern and needs the Lead Appointed Party.</w:t>
      </w:r>
    </w:p>
    <w:p>
      <w:pPr>
        <w:ind w:left="360"/>
      </w:pPr>
      <w:r>
        <w:t>•  Keep the _BIM_COORD overlay, the tag configuration and the workflow presets in version control. Your configuration is the project.</w:t>
      </w:r>
    </w:p>
    <w:p>
      <w:r>
        <w:br w:type="page"/>
      </w:r>
    </w:p>
    <w:p>
      <w:pPr>
        <w:pStyle w:val="Heading2"/>
      </w:pPr>
      <w:r>
        <w:t>PART L - Gate day: the runbook</w:t>
      </w:r>
    </w:p>
    <w:p>
      <w:r>
        <w:rPr>
          <w:b w:val="0"/>
          <w:i/>
        </w:rPr>
        <w:t>A gate is not a day's work; it is the day you find out whether the fortnight's work was enough. Run the read-only audit two weeks before, so gate day holds no surprises.</w:t>
      </w:r>
    </w:p>
    <w:p>
      <w:r>
        <w:rPr>
          <w:b/>
          <w:i w:val="0"/>
        </w:rPr>
        <w:t>Two weeks before</w:t>
      </w:r>
    </w:p>
    <w:p>
      <w:pPr>
        <w:ind w:left="360"/>
      </w:pPr>
      <w:r>
        <w:t>1.  Run KUT Gate Audit (read-only). Nothing is written; it tells you what the gate would say today.</w:t>
      </w:r>
    </w:p>
    <w:p>
      <w:pPr>
        <w:ind w:left="360"/>
      </w:pPr>
      <w:r>
        <w:t>2.  Read the skipped-element counts, not just the percentages. A report showing 100% over zero elements is a scope error, not a pass.</w:t>
      </w:r>
    </w:p>
    <w:p>
      <w:pPr>
        <w:ind w:left="360"/>
      </w:pPr>
      <w:r>
        <w:t>3.  Circulate the gaps to each discipline with a date. Two weeks is enough time to fix; two days is not.</w:t>
      </w:r>
    </w:p>
    <w:p>
      <w:r>
        <w:rPr>
          <w:b/>
          <w:i w:val="0"/>
        </w:rPr>
        <w:t>Gate day</w:t>
      </w:r>
    </w:p>
    <w:tbl>
      <w:tblPr>
        <w:tblW w:type="auto" w:w="0"/>
        <w:tblLook w:firstColumn="1" w:firstRow="1" w:lastColumn="0" w:lastRow="0" w:noHBand="0" w:noVBand="1" w:val="04A0"/>
      </w:tblPr>
      <w:tblGrid>
        <w:gridCol w:w="3120"/>
        <w:gridCol w:w="3120"/>
        <w:gridCol w:w="3120"/>
      </w:tblGrid>
      <w:tr>
        <w:tc>
          <w:tcPr>
            <w:tcW w:type="dxa" w:w="3120"/>
          </w:tcPr>
          <w:p>
            <w:r>
              <w:rPr>
                <w:b/>
                <w:sz w:val="18"/>
              </w:rPr>
              <w:t>Order</w:t>
            </w:r>
          </w:p>
        </w:tc>
        <w:tc>
          <w:tcPr>
            <w:tcW w:type="dxa" w:w="3120"/>
          </w:tcPr>
          <w:p>
            <w:r>
              <w:rPr>
                <w:b/>
                <w:sz w:val="18"/>
              </w:rPr>
              <w:t>Step</w:t>
            </w:r>
          </w:p>
        </w:tc>
        <w:tc>
          <w:tcPr>
            <w:tcW w:type="dxa" w:w="3120"/>
          </w:tcPr>
          <w:p>
            <w:r>
              <w:rPr>
                <w:b/>
                <w:sz w:val="18"/>
              </w:rPr>
              <w:t>Command / where</w:t>
            </w:r>
          </w:p>
        </w:tc>
      </w:tr>
      <w:tr>
        <w:tc>
          <w:tcPr>
            <w:tcW w:type="dxa" w:w="3120"/>
          </w:tcPr>
          <w:p>
            <w:r>
              <w:rPr>
                <w:sz w:val="18"/>
              </w:rPr>
              <w:t>1</w:t>
            </w:r>
          </w:p>
        </w:tc>
        <w:tc>
          <w:tcPr>
            <w:tcW w:type="dxa" w:w="3120"/>
          </w:tcPr>
          <w:p>
            <w:r>
              <w:rPr>
                <w:sz w:val="18"/>
              </w:rPr>
              <w:t>Federate the current shared state</w:t>
            </w:r>
          </w:p>
        </w:tc>
        <w:tc>
          <w:tcPr>
            <w:tcW w:type="dxa" w:w="3120"/>
          </w:tcPr>
          <w:p>
            <w:r>
              <w:rPr>
                <w:sz w:val="18"/>
              </w:rPr>
              <w:t>Revit / Navisworks</w:t>
            </w:r>
          </w:p>
        </w:tc>
      </w:tr>
      <w:tr>
        <w:tc>
          <w:tcPr>
            <w:tcW w:type="dxa" w:w="3120"/>
          </w:tcPr>
          <w:p>
            <w:r>
              <w:rPr>
                <w:sz w:val="18"/>
              </w:rPr>
              <w:t>2</w:t>
            </w:r>
          </w:p>
        </w:tc>
        <w:tc>
          <w:tcPr>
            <w:tcW w:type="dxa" w:w="3120"/>
          </w:tcPr>
          <w:p>
            <w:r>
              <w:rPr>
                <w:sz w:val="18"/>
              </w:rPr>
              <w:t>Run the matching Deliverable preset (A / B / C / D)</w:t>
            </w:r>
          </w:p>
        </w:tc>
        <w:tc>
          <w:tcPr>
            <w:tcW w:type="dxa" w:w="3120"/>
          </w:tcPr>
          <w:p>
            <w:r>
              <w:rPr>
                <w:sz w:val="18"/>
              </w:rPr>
              <w:t>Workflows - Run preset</w:t>
            </w:r>
          </w:p>
        </w:tc>
      </w:tr>
      <w:tr>
        <w:tc>
          <w:tcPr>
            <w:tcW w:type="dxa" w:w="3120"/>
          </w:tcPr>
          <w:p>
            <w:r>
              <w:rPr>
                <w:sz w:val="18"/>
              </w:rPr>
              <w:t>3</w:t>
            </w:r>
          </w:p>
        </w:tc>
        <w:tc>
          <w:tcPr>
            <w:tcW w:type="dxa" w:w="3120"/>
          </w:tcPr>
          <w:p>
            <w:r>
              <w:rPr>
                <w:sz w:val="18"/>
              </w:rPr>
              <w:t>LOD verification at the stage milestone - pick the right id (Part I item 3)</w:t>
            </w:r>
          </w:p>
        </w:tc>
        <w:tc>
          <w:tcPr>
            <w:tcW w:type="dxa" w:w="3120"/>
          </w:tcPr>
          <w:p>
            <w:r>
              <w:rPr>
                <w:sz w:val="18"/>
              </w:rPr>
              <w:t>BIM - LOD VERIFICATION - LOD Verify</w:t>
            </w:r>
          </w:p>
        </w:tc>
      </w:tr>
      <w:tr>
        <w:tc>
          <w:tcPr>
            <w:tcW w:type="dxa" w:w="3120"/>
          </w:tcPr>
          <w:p>
            <w:r>
              <w:rPr>
                <w:sz w:val="18"/>
              </w:rPr>
              <w:t>4</w:t>
            </w:r>
          </w:p>
        </w:tc>
        <w:tc>
          <w:tcPr>
            <w:tcW w:type="dxa" w:w="3120"/>
          </w:tcPr>
          <w:p>
            <w:r>
              <w:rPr>
                <w:sz w:val="18"/>
              </w:rPr>
              <w:t>Stamp the passing elements, if the stage calls for it</w:t>
            </w:r>
          </w:p>
        </w:tc>
        <w:tc>
          <w:tcPr>
            <w:tcW w:type="dxa" w:w="3120"/>
          </w:tcPr>
          <w:p>
            <w:r>
              <w:rPr>
                <w:sz w:val="18"/>
              </w:rPr>
              <w:t>BIM - LOD VERIFICATION - LOD Stamp</w:t>
            </w:r>
          </w:p>
        </w:tc>
      </w:tr>
      <w:tr>
        <w:tc>
          <w:tcPr>
            <w:tcW w:type="dxa" w:w="3120"/>
          </w:tcPr>
          <w:p>
            <w:r>
              <w:rPr>
                <w:sz w:val="18"/>
              </w:rPr>
              <w:t>5</w:t>
            </w:r>
          </w:p>
        </w:tc>
        <w:tc>
          <w:tcPr>
            <w:tcW w:type="dxa" w:w="3120"/>
          </w:tcPr>
          <w:p>
            <w:r>
              <w:rPr>
                <w:sz w:val="18"/>
              </w:rPr>
              <w:t>Owner-standards audit and programme audit</w:t>
            </w:r>
          </w:p>
        </w:tc>
        <w:tc>
          <w:tcPr>
            <w:tcW w:type="dxa" w:w="3120"/>
          </w:tcPr>
          <w:p>
            <w:r>
              <w:rPr>
                <w:sz w:val="18"/>
              </w:rPr>
              <w:t>BIM - LOD VERIFICATION - Owner Standards / Program Audit</w:t>
            </w:r>
          </w:p>
        </w:tc>
      </w:tr>
      <w:tr>
        <w:tc>
          <w:tcPr>
            <w:tcW w:type="dxa" w:w="3120"/>
          </w:tcPr>
          <w:p>
            <w:r>
              <w:rPr>
                <w:sz w:val="18"/>
              </w:rPr>
              <w:t>6</w:t>
            </w:r>
          </w:p>
        </w:tc>
        <w:tc>
          <w:tcPr>
            <w:tcW w:type="dxa" w:w="3120"/>
          </w:tcPr>
          <w:p>
            <w:r>
              <w:rPr>
                <w:sz w:val="18"/>
              </w:rPr>
              <w:t>Specification reconciliation (2.3 onward)</w:t>
            </w:r>
          </w:p>
        </w:tc>
        <w:tc>
          <w:tcPr>
            <w:tcW w:type="dxa" w:w="3120"/>
          </w:tcPr>
          <w:p>
            <w:r>
              <w:rPr>
                <w:sz w:val="18"/>
              </w:rPr>
              <w:t>BIM - CSI / SPECLINK</w:t>
            </w:r>
          </w:p>
        </w:tc>
      </w:tr>
      <w:tr>
        <w:tc>
          <w:tcPr>
            <w:tcW w:type="dxa" w:w="3120"/>
          </w:tcPr>
          <w:p>
            <w:r>
              <w:rPr>
                <w:sz w:val="18"/>
              </w:rPr>
              <w:t>7</w:t>
            </w:r>
          </w:p>
        </w:tc>
        <w:tc>
          <w:tcPr>
            <w:tcW w:type="dxa" w:w="3120"/>
          </w:tcPr>
          <w:p>
            <w:r>
              <w:rPr>
                <w:sz w:val="18"/>
              </w:rPr>
              <w:t>FF&amp;E currency (2.2 onward)</w:t>
            </w:r>
          </w:p>
        </w:tc>
        <w:tc>
          <w:tcPr>
            <w:tcW w:type="dxa" w:w="3120"/>
          </w:tcPr>
          <w:p>
            <w:r>
              <w:rPr>
                <w:sz w:val="18"/>
              </w:rPr>
              <w:t>BIM - FOHLIO FF&amp;E - Fohlio Audit</w:t>
            </w:r>
          </w:p>
        </w:tc>
      </w:tr>
      <w:tr>
        <w:tc>
          <w:tcPr>
            <w:tcW w:type="dxa" w:w="3120"/>
          </w:tcPr>
          <w:p>
            <w:r>
              <w:rPr>
                <w:sz w:val="18"/>
              </w:rPr>
              <w:t>8</w:t>
            </w:r>
          </w:p>
        </w:tc>
        <w:tc>
          <w:tcPr>
            <w:tcW w:type="dxa" w:w="3120"/>
          </w:tcPr>
          <w:p>
            <w:r>
              <w:rPr>
                <w:sz w:val="18"/>
              </w:rPr>
              <w:t>Drawing register</w:t>
            </w:r>
          </w:p>
        </w:tc>
        <w:tc>
          <w:tcPr>
            <w:tcW w:type="dxa" w:w="3120"/>
          </w:tcPr>
          <w:p>
            <w:r>
              <w:rPr>
                <w:sz w:val="18"/>
              </w:rPr>
              <w:t>DOCS - SHEET MANAGER - Register</w:t>
            </w:r>
          </w:p>
        </w:tc>
      </w:tr>
      <w:tr>
        <w:tc>
          <w:tcPr>
            <w:tcW w:type="dxa" w:w="3120"/>
          </w:tcPr>
          <w:p>
            <w:r>
              <w:rPr>
                <w:sz w:val="18"/>
              </w:rPr>
              <w:t>9</w:t>
            </w:r>
          </w:p>
        </w:tc>
        <w:tc>
          <w:tcPr>
            <w:tcW w:type="dxa" w:w="3120"/>
          </w:tcPr>
          <w:p>
            <w:r>
              <w:rPr>
                <w:sz w:val="18"/>
              </w:rPr>
              <w:t>Transmittal and publish</w:t>
            </w:r>
          </w:p>
        </w:tc>
        <w:tc>
          <w:tcPr>
            <w:tcW w:type="dxa" w:w="3120"/>
          </w:tcPr>
          <w:p>
            <w:r>
              <w:rPr>
                <w:sz w:val="18"/>
              </w:rPr>
              <w:t>BIM - DELIVERABLE LIFECYCLE - New Transmittal</w:t>
            </w:r>
          </w:p>
        </w:tc>
      </w:tr>
      <w:tr>
        <w:tc>
          <w:tcPr>
            <w:tcW w:type="dxa" w:w="3120"/>
          </w:tcPr>
          <w:p>
            <w:r>
              <w:rPr>
                <w:sz w:val="18"/>
              </w:rPr>
              <w:t>10</w:t>
            </w:r>
          </w:p>
        </w:tc>
        <w:tc>
          <w:tcPr>
            <w:tcW w:type="dxa" w:w="3120"/>
          </w:tcPr>
          <w:p>
            <w:r>
              <w:rPr>
                <w:sz w:val="18"/>
              </w:rPr>
              <w:t>Assemble the gate pack (contents list in the team playbook, appendix A2)</w:t>
            </w:r>
          </w:p>
        </w:tc>
        <w:tc>
          <w:tcPr>
            <w:tcW w:type="dxa" w:w="3120"/>
          </w:tcPr>
          <w:p>
            <w:r>
              <w:rPr>
                <w:sz w:val="18"/>
              </w:rPr>
              <w:t>-</w:t>
            </w:r>
          </w:p>
        </w:tc>
      </w:tr>
    </w:tbl>
    <w:p/>
    <w:p>
      <w:r>
        <w:rPr>
          <w:b/>
          <w:i w:val="0"/>
        </w:rPr>
        <w:t>The rule that protects you</w:t>
      </w:r>
    </w:p>
    <w:p>
      <w:r>
        <w:rPr>
          <w:b w:val="0"/>
          <w:i w:val="0"/>
        </w:rPr>
        <w:t>Cross-check the first gate audit, the first BOQ and the first COBie by hand before you trust the repeatable run. Not the second - the first. After that you are checking a process you have already verified; before that you are trusting a tool you have not.</w:t>
      </w:r>
    </w:p>
    <w:p>
      <w:r>
        <w:br w:type="page"/>
      </w:r>
    </w:p>
    <w:p>
      <w:pPr>
        <w:pStyle w:val="Heading2"/>
      </w:pPr>
      <w:r>
        <w:t>PART M - When it goes wrong</w:t>
      </w:r>
    </w:p>
    <w:p>
      <w:r>
        <w:rPr>
          <w:b/>
          <w:i w:val="0"/>
        </w:rPr>
        <w:t>A command does nothing and reports nothing</w:t>
      </w:r>
    </w:p>
    <w:p>
      <w:r>
        <w:rPr>
          <w:b w:val="0"/>
          <w:i w:val="0"/>
        </w:rPr>
        <w:t>The most common cause is that Revit is not running the build you think it is. The add-in manifest's Assembly path moves between checkouts and it fails silently - the copy succeeds, Revit loads a different DLL, and you debug code that never ran. Check the manifest first, then the log beside the DLL. The log filename is date-stamped (StingTools_yyyyMMdd.log); searching for an undated name finds nothing and reads as "it never logged", which is a different and much more alarming conclusion.</w:t>
      </w:r>
    </w:p>
    <w:p>
      <w:r>
        <w:rPr>
          <w:b/>
          <w:i w:val="0"/>
        </w:rPr>
        <w:t>A workflow preset reports success but nothing happened</w:t>
      </w:r>
    </w:p>
    <w:p>
      <w:r>
        <w:rPr>
          <w:b w:val="0"/>
          <w:i w:val="0"/>
        </w:rPr>
        <w:t>A preset step whose command tag does not resolve is skipped in silence. Eleven shipped presets once executed zero steps and reported success. If a preset finishes suspiciously fast, run its steps individually from the panel before believing the result.</w:t>
      </w:r>
    </w:p>
    <w:p>
      <w:r>
        <w:rPr>
          <w:b/>
          <w:i w:val="0"/>
        </w:rPr>
        <w:t>A gate report says 100%</w:t>
      </w:r>
    </w:p>
    <w:p>
      <w:r>
        <w:rPr>
          <w:b w:val="0"/>
          <w:i w:val="0"/>
        </w:rPr>
        <w:t>Check the element count. An empty scope reports as a pass. It now says "no elements in scope" explicitly rather than a percentage, but read the count every time regardless.</w:t>
      </w:r>
    </w:p>
    <w:p>
      <w:r>
        <w:rPr>
          <w:b/>
          <w:i w:val="0"/>
        </w:rPr>
        <w:t>The tag scheme stops rendering</w:t>
      </w:r>
    </w:p>
    <w:p>
      <w:r>
        <w:rPr>
          <w:b w:val="0"/>
          <w:i w:val="0"/>
        </w:rPr>
        <w:t>Run Scheme Inspect. The usual cause is Project Information losing the project or originator code, which the scheme reads at render time. Fix the field, then run Render Scheme.</w:t>
      </w:r>
    </w:p>
    <w:p>
      <w:r>
        <w:rPr>
          <w:b/>
          <w:i w:val="0"/>
        </w:rPr>
        <w:t>A discipline misses the share window</w:t>
      </w:r>
    </w:p>
    <w:p>
      <w:r>
        <w:rPr>
          <w:b w:val="0"/>
          <w:i w:val="0"/>
        </w:rPr>
        <w:t>Run the cycle without them and say so in the report - name the model and the state you used. One cycle of visible absence corrects the behaviour; quietly waiting teaches everyone that the deadline is soft.</w:t>
      </w:r>
    </w:p>
    <w:p>
      <w:r>
        <w:rPr>
          <w:b/>
          <w:i w:val="0"/>
        </w:rPr>
        <w:t>A gate is at risk</w:t>
      </w:r>
    </w:p>
    <w:p>
      <w:r>
        <w:rPr>
          <w:b w:val="0"/>
          <w:i w:val="0"/>
        </w:rPr>
        <w:t>Escalate two weeks out, in writing, with the gap list and a date-by-date recovery plan. Never let a gate fail on the day with the Owner in the room. That is the one failure they remember.</w:t>
      </w:r>
    </w:p>
    <w:p>
      <w:r>
        <w:br w:type="page"/>
      </w:r>
    </w:p>
    <w:p>
      <w:pPr>
        <w:pStyle w:val="Heading2"/>
      </w:pPr>
      <w:r>
        <w:t>PART N - Holding the line: boundary, continuity and my own risks</w:t>
      </w:r>
    </w:p>
    <w:p>
      <w:r>
        <w:rPr>
          <w:b/>
          <w:i w:val="0"/>
        </w:rPr>
        <w:t>The design boundary</w:t>
      </w:r>
    </w:p>
    <w:p>
      <w:r>
        <w:rPr>
          <w:b w:val="0"/>
          <w:i w:val="0"/>
        </w:rPr>
        <w:t>The appointment is information management, coordination and verification - not authoring. The plugin can generate engineering content: panel schedules, cable and load calculations, sizing. If you run any of it for a discipline, the discipline remains responsible and must check and sign the output. Put that in writing the first time you offer it. Drifting into design carries design liability, and your professional indemnity almost certainly does not cover it.</w:t>
      </w:r>
    </w:p>
    <w:p>
      <w:r>
        <w:rPr>
          <w:b/>
          <w:i w:val="0"/>
        </w:rPr>
        <w:t>The tool stays private</w:t>
      </w:r>
    </w:p>
    <w:p>
      <w:r>
        <w:rPr>
          <w:b w:val="0"/>
          <w:i w:val="0"/>
        </w:rPr>
        <w:t>Everything the team or the client receives is standard: standard Revit families, PDFs, schedules, registers, BCF, COBie. The tool is never named in a project document, an email or a meeting. You are paid for the outputs, not for the tool - and that is also what keeps the intellectual property yours.</w:t>
      </w:r>
    </w:p>
    <w:p>
      <w:r>
        <w:rPr>
          <w:b/>
          <w:i w:val="0"/>
        </w:rPr>
        <w:t>Continuity - the bus test</w:t>
      </w:r>
    </w:p>
    <w:p>
      <w:pPr>
        <w:ind w:left="360"/>
      </w:pPr>
      <w:r>
        <w:t>•  The _BIM_COORD overlay, the tag configuration, the workflow presets and the title-block definitions are the project. Keep them in version control with the project, not only on your machine.</w:t>
      </w:r>
    </w:p>
    <w:p>
      <w:pPr>
        <w:ind w:left="360"/>
      </w:pPr>
      <w:r>
        <w:t>•  Write down the deployment: which Revit versions, where the add-in manifest points, which build is live.</w:t>
      </w:r>
    </w:p>
    <w:p>
      <w:pPr>
        <w:ind w:left="360"/>
      </w:pPr>
      <w:r>
        <w:t>•  Keep one exported copy of the current kit - template, families, title blocks - in the CDE, so the project can continue for a fortnight without you.</w:t>
      </w:r>
    </w:p>
    <w:p>
      <w:pPr>
        <w:ind w:left="360"/>
      </w:pPr>
      <w:r>
        <w:t>•  Everything you produce for the team must be reproducible from standard Revit by someone else, given the kit. If a deliverable can only be made by you, that is a project risk, not a moat.</w:t>
      </w:r>
    </w:p>
    <w:p>
      <w:r>
        <w:rPr>
          <w:b/>
          <w:i w:val="0"/>
        </w:rPr>
        <w:t>My risk register</w:t>
      </w:r>
    </w:p>
    <w:tbl>
      <w:tblPr>
        <w:tblW w:type="auto" w:w="0"/>
        <w:tblLook w:firstColumn="1" w:firstRow="1" w:lastColumn="0" w:lastRow="0" w:noHBand="0" w:noVBand="1" w:val="04A0"/>
      </w:tblPr>
      <w:tblGrid>
        <w:gridCol w:w="3120"/>
        <w:gridCol w:w="3120"/>
        <w:gridCol w:w="3120"/>
      </w:tblGrid>
      <w:tr>
        <w:tc>
          <w:tcPr>
            <w:tcW w:type="dxa" w:w="3120"/>
          </w:tcPr>
          <w:p>
            <w:r>
              <w:rPr>
                <w:b/>
                <w:sz w:val="18"/>
              </w:rPr>
              <w:t>Risk</w:t>
            </w:r>
          </w:p>
        </w:tc>
        <w:tc>
          <w:tcPr>
            <w:tcW w:type="dxa" w:w="3120"/>
          </w:tcPr>
          <w:p>
            <w:r>
              <w:rPr>
                <w:b/>
                <w:sz w:val="18"/>
              </w:rPr>
              <w:t>Why it bites</w:t>
            </w:r>
          </w:p>
        </w:tc>
        <w:tc>
          <w:tcPr>
            <w:tcW w:type="dxa" w:w="3120"/>
          </w:tcPr>
          <w:p>
            <w:r>
              <w:rPr>
                <w:b/>
                <w:sz w:val="18"/>
              </w:rPr>
              <w:t>What I do about it</w:t>
            </w:r>
          </w:p>
        </w:tc>
      </w:tr>
      <w:tr>
        <w:tc>
          <w:tcPr>
            <w:tcW w:type="dxa" w:w="3120"/>
          </w:tcPr>
          <w:p>
            <w:r>
              <w:rPr>
                <w:sz w:val="18"/>
              </w:rPr>
              <w:t>Owner standards arrive after mobilisation</w:t>
            </w:r>
          </w:p>
        </w:tc>
        <w:tc>
          <w:tcPr>
            <w:tcW w:type="dxa" w:w="3120"/>
          </w:tcPr>
          <w:p>
            <w:r>
              <w:rPr>
                <w:sz w:val="18"/>
              </w:rPr>
              <w:t>Naming and LOD could change after numbering has started</w:t>
            </w:r>
          </w:p>
        </w:tc>
        <w:tc>
          <w:tcPr>
            <w:tcW w:type="dxa" w:w="3120"/>
          </w:tcPr>
          <w:p>
            <w:r>
              <w:rPr>
                <w:sz w:val="18"/>
              </w:rPr>
              <w:t>Standards are held as configuration, not hand-work, so adopting them is a file edit. Hand-number nothing.</w:t>
            </w:r>
          </w:p>
        </w:tc>
      </w:tr>
      <w:tr>
        <w:tc>
          <w:tcPr>
            <w:tcW w:type="dxa" w:w="3120"/>
          </w:tcPr>
          <w:p>
            <w:r>
              <w:rPr>
                <w:sz w:val="18"/>
              </w:rPr>
              <w:t xml:space="preserve">Originator register not yet issued</w:t>
            </w:r>
          </w:p>
        </w:tc>
        <w:tc>
          <w:tcPr>
            <w:tcW w:type="dxa" w:w="3120"/>
          </w:tcPr>
          <w:p>
            <w:r>
              <w:rPr>
                <w:sz w:val="18"/>
              </w:rPr>
              <w:t xml:space="preserve">Containers numbered against a guessed code all need renaming, visibly to the client</w:t>
            </w:r>
          </w:p>
        </w:tc>
        <w:tc>
          <w:tcPr>
            <w:tcW w:type="dxa" w:w="3120"/>
          </w:tcPr>
          <w:p>
            <w:r>
              <w:rPr>
                <w:sz w:val="18"/>
              </w:rPr>
              <w:t xml:space="preserve">Chase the register in Week 1, in writing; number nothing until it is issued.</w:t>
            </w:r>
          </w:p>
        </w:tc>
      </w:tr>
      <w:tr>
        <w:tc>
          <w:tcPr>
            <w:tcW w:type="dxa" w:w="3120"/>
          </w:tcPr>
          <w:p>
            <w:r>
              <w:rPr>
                <w:sz w:val="18"/>
              </w:rPr>
              <w:t>Trusting an unverified output at a gate</w:t>
            </w:r>
          </w:p>
        </w:tc>
        <w:tc>
          <w:tcPr>
            <w:tcW w:type="dxa" w:w="3120"/>
          </w:tcPr>
          <w:p>
            <w:r>
              <w:rPr>
                <w:sz w:val="18"/>
              </w:rPr>
              <w:t>A wrong BOQ or COBie in front of the Owner is a credibility event</w:t>
            </w:r>
          </w:p>
        </w:tc>
        <w:tc>
          <w:tcPr>
            <w:tcW w:type="dxa" w:w="3120"/>
          </w:tcPr>
          <w:p>
            <w:r>
              <w:rPr>
                <w:sz w:val="18"/>
              </w:rPr>
              <w:t>Hand-check the first of each. Only then rely on the repeatable run.</w:t>
            </w:r>
          </w:p>
        </w:tc>
      </w:tr>
      <w:tr>
        <w:tc>
          <w:tcPr>
            <w:tcW w:type="dxa" w:w="3120"/>
          </w:tcPr>
          <w:p>
            <w:r>
              <w:rPr>
                <w:sz w:val="18"/>
              </w:rPr>
              <w:t>Weak volume attribution - no rooms, no worksets</w:t>
            </w:r>
          </w:p>
        </w:tc>
        <w:tc>
          <w:tcPr>
            <w:tcW w:type="dxa" w:w="3120"/>
          </w:tcPr>
          <w:p>
            <w:r>
              <w:rPr>
                <w:sz w:val="18"/>
              </w:rPr>
              <w:t>Elements silently default to BLD1 and the tag data is quietly wrong</w:t>
            </w:r>
          </w:p>
        </w:tc>
        <w:tc>
          <w:tcPr>
            <w:tcW w:type="dxa" w:w="3120"/>
          </w:tcPr>
          <w:p>
            <w:r>
              <w:rPr>
                <w:sz w:val="18"/>
              </w:rPr>
              <w:t>Rooms before the first share; confidence audit every gate; report the silent-default count.</w:t>
            </w:r>
          </w:p>
        </w:tc>
      </w:tr>
      <w:tr>
        <w:tc>
          <w:tcPr>
            <w:tcW w:type="dxa" w:w="3120"/>
          </w:tcPr>
          <w:p>
            <w:r>
              <w:rPr>
                <w:sz w:val="18"/>
              </w:rPr>
              <w:t>Asset data left to close-out</w:t>
            </w:r>
          </w:p>
        </w:tc>
        <w:tc>
          <w:tcPr>
            <w:tcW w:type="dxa" w:w="3120"/>
          </w:tcPr>
          <w:p>
            <w:r>
              <w:rPr>
                <w:sz w:val="18"/>
              </w:rPr>
              <w:t>LOD 500 and COBie become impossible at M44</w:t>
            </w:r>
          </w:p>
        </w:tc>
        <w:tc>
          <w:tcPr>
            <w:tcW w:type="dxa" w:w="3120"/>
          </w:tcPr>
          <w:p>
            <w:r>
              <w:rPr>
                <w:sz w:val="18"/>
              </w:rPr>
              <w:t>Asset data is a 3.1 activity, reported monthly from the first construction month.</w:t>
            </w:r>
          </w:p>
        </w:tc>
      </w:tr>
      <w:tr>
        <w:tc>
          <w:tcPr>
            <w:tcW w:type="dxa" w:w="3120"/>
          </w:tcPr>
          <w:p>
            <w:r>
              <w:rPr>
                <w:sz w:val="18"/>
              </w:rPr>
              <w:t>Being drawn into design</w:t>
            </w:r>
          </w:p>
        </w:tc>
        <w:tc>
          <w:tcPr>
            <w:tcW w:type="dxa" w:w="3120"/>
          </w:tcPr>
          <w:p>
            <w:r>
              <w:rPr>
                <w:sz w:val="18"/>
              </w:rPr>
              <w:t>Liability I am not insured for and not paid for</w:t>
            </w:r>
          </w:p>
        </w:tc>
        <w:tc>
          <w:tcPr>
            <w:tcW w:type="dxa" w:w="3120"/>
          </w:tcPr>
          <w:p>
            <w:r>
              <w:rPr>
                <w:sz w:val="18"/>
              </w:rPr>
              <w:t>Offer automation, never a design decision. The discipline signs its own output.</w:t>
            </w:r>
          </w:p>
        </w:tc>
      </w:tr>
      <w:tr>
        <w:tc>
          <w:tcPr>
            <w:tcW w:type="dxa" w:w="3120"/>
          </w:tcPr>
          <w:p>
            <w:r>
              <w:rPr>
                <w:sz w:val="18"/>
              </w:rPr>
              <w:t>Single point of failure - me</w:t>
            </w:r>
          </w:p>
        </w:tc>
        <w:tc>
          <w:tcPr>
            <w:tcW w:type="dxa" w:w="3120"/>
          </w:tcPr>
          <w:p>
            <w:r>
              <w:rPr>
                <w:sz w:val="18"/>
              </w:rPr>
              <w:t>The project stops if I stop</w:t>
            </w:r>
          </w:p>
        </w:tc>
        <w:tc>
          <w:tcPr>
            <w:tcW w:type="dxa" w:w="3120"/>
          </w:tcPr>
          <w:p>
            <w:r>
              <w:rPr>
                <w:sz w:val="18"/>
              </w:rPr>
              <w:t>Kit in the CDE, configuration in version control, deployment documented.</w:t>
            </w:r>
          </w:p>
        </w:tc>
      </w:tr>
    </w:tbl>
    <w:p/>
    <w:p>
      <w:r>
        <w:rPr>
          <w:b w:val="0"/>
          <w:i/>
        </w:rPr>
        <w:t>End of the additions. Parts A-H remain valid except where Part I corrects them.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BIM Manager Playbook — Internal (with STINGTOOLS)</dc:title>
  <dc:creator>Author</dc:creator>
  <cp:keywords/>
  <dcterms:created xsi:type="dcterms:W3CDTF">2026-06-20T23:14:49Z</dcterms:created>
  <dcterms:modified xsi:type="dcterms:W3CDTF">2026-06-20T23:14:49Z</dcterms:modified>
</cp:coreProperties>
</file>

<file path=docProps/custom.xml><?xml version="1.0" encoding="utf-8"?>
<Properties xmlns="http://schemas.openxmlformats.org/officeDocument/2006/custom-properties" xmlns:vt="http://schemas.openxmlformats.org/officeDocument/2006/docPropsVTypes"/>
</file>